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color w:val="auto"/>
        </w:rPr>
        <w:t>September 30, 2021</w:t>
      </w:r>
    </w:p>
    <w:p>
      <w:pPr>
        <w:spacing w:after="0" w:line="225" w:lineRule="exact"/>
        <w:rPr>
          <w:sz w:val="24"/>
          <w:szCs w:val="24"/>
          <w:color w:val="auto"/>
        </w:rPr>
      </w:pPr>
    </w:p>
    <w:p>
      <w:pPr>
        <w:ind w:left="4380" w:right="4060" w:hanging="4372"/>
        <w:spacing w:after="0" w:line="547" w:lineRule="auto"/>
        <w:tabs>
          <w:tab w:leader="none" w:pos="368"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No.: 000-27701</w:t>
      </w: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17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gridSpan w:val="5"/>
          </w:tcPr>
          <w:p>
            <w:pPr>
              <w:jc w:val="right"/>
              <w:ind w:right="2380"/>
              <w:spacing w:after="0"/>
              <w:rPr>
                <w:sz w:val="20"/>
                <w:szCs w:val="20"/>
                <w:color w:val="auto"/>
              </w:rPr>
            </w:pPr>
            <w:r>
              <w:rPr>
                <w:rFonts w:ascii="Arial" w:cs="Arial" w:eastAsia="Arial" w:hAnsi="Arial"/>
                <w:sz w:val="18"/>
                <w:szCs w:val="18"/>
                <w:b w:val="1"/>
                <w:bCs w:val="1"/>
                <w:color w:val="auto"/>
              </w:rPr>
              <w:t>62-1443555</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900" w:type="dxa"/>
            <w:vAlign w:val="bottom"/>
            <w:gridSpan w:val="6"/>
          </w:tcPr>
          <w:p>
            <w:pPr>
              <w:jc w:val="center"/>
              <w:ind w:left="650"/>
              <w:spacing w:after="0"/>
              <w:rPr>
                <w:sz w:val="20"/>
                <w:szCs w:val="20"/>
                <w:color w:val="auto"/>
              </w:rPr>
            </w:pPr>
            <w:r>
              <w:rPr>
                <w:rFonts w:ascii="Arial" w:cs="Arial" w:eastAsia="Arial" w:hAnsi="Arial"/>
                <w:sz w:val="18"/>
                <w:szCs w:val="18"/>
                <w:b w:val="1"/>
                <w:bCs w:val="1"/>
                <w:color w:val="auto"/>
                <w:w w:val="90"/>
              </w:rPr>
              <w:t>(State or other jurisdiction of</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gridSpan w:val="5"/>
          </w:tcPr>
          <w:p>
            <w:pPr>
              <w:jc w:val="center"/>
              <w:ind w:right="2060"/>
              <w:spacing w:after="0"/>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4900" w:type="dxa"/>
            <w:vAlign w:val="bottom"/>
            <w:gridSpan w:val="6"/>
          </w:tcPr>
          <w:p>
            <w:pPr>
              <w:jc w:val="center"/>
              <w:ind w:left="650"/>
              <w:spacing w:after="0"/>
              <w:rPr>
                <w:sz w:val="20"/>
                <w:szCs w:val="20"/>
                <w:color w:val="auto"/>
              </w:rPr>
            </w:pPr>
            <w:r>
              <w:rPr>
                <w:rFonts w:ascii="Arial" w:cs="Arial" w:eastAsia="Arial" w:hAnsi="Arial"/>
                <w:sz w:val="18"/>
                <w:szCs w:val="18"/>
                <w:b w:val="1"/>
                <w:bCs w:val="1"/>
                <w:color w:val="auto"/>
                <w:w w:val="91"/>
              </w:rPr>
              <w:t>incorporation or organization)</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5"/>
          </w:tcPr>
          <w:p>
            <w:pPr>
              <w:jc w:val="center"/>
              <w:ind w:right="2060"/>
              <w:spacing w:after="0"/>
              <w:rPr>
                <w:sz w:val="20"/>
                <w:szCs w:val="20"/>
                <w:color w:val="auto"/>
              </w:rPr>
            </w:pPr>
            <w:r>
              <w:rPr>
                <w:rFonts w:ascii="Arial" w:cs="Arial" w:eastAsia="Arial" w:hAnsi="Arial"/>
                <w:sz w:val="18"/>
                <w:szCs w:val="18"/>
                <w:b w:val="1"/>
                <w:bCs w:val="1"/>
                <w:color w:val="auto"/>
                <w:w w:val="93"/>
              </w:rPr>
              <w:t>Identification No.)</w:t>
            </w:r>
          </w:p>
        </w:tc>
        <w:tc>
          <w:tcPr>
            <w:tcW w:w="0" w:type="dxa"/>
            <w:vAlign w:val="bottom"/>
          </w:tcPr>
          <w:p>
            <w:pPr>
              <w:spacing w:after="0"/>
              <w:rPr>
                <w:sz w:val="1"/>
                <w:szCs w:val="1"/>
                <w:color w:val="auto"/>
              </w:rPr>
            </w:pPr>
          </w:p>
        </w:tc>
      </w:tr>
      <w:tr>
        <w:trPr>
          <w:trHeight w:val="414"/>
        </w:trPr>
        <w:tc>
          <w:tcPr>
            <w:tcW w:w="4900" w:type="dxa"/>
            <w:vAlign w:val="bottom"/>
            <w:gridSpan w:val="6"/>
          </w:tcPr>
          <w:p>
            <w:pPr>
              <w:jc w:val="center"/>
              <w:ind w:left="650"/>
              <w:spacing w:after="0"/>
              <w:rPr>
                <w:sz w:val="20"/>
                <w:szCs w:val="20"/>
                <w:color w:val="auto"/>
              </w:rPr>
            </w:pPr>
            <w:r>
              <w:rPr>
                <w:rFonts w:ascii="Arial" w:cs="Arial" w:eastAsia="Arial" w:hAnsi="Arial"/>
                <w:sz w:val="18"/>
                <w:szCs w:val="18"/>
                <w:b w:val="1"/>
                <w:bCs w:val="1"/>
                <w:color w:val="auto"/>
                <w:w w:val="89"/>
              </w:rPr>
              <w:t>500 11th Avenue North, Suite 1000,</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900" w:type="dxa"/>
            <w:vAlign w:val="bottom"/>
            <w:gridSpan w:val="6"/>
          </w:tcPr>
          <w:p>
            <w:pPr>
              <w:jc w:val="center"/>
              <w:ind w:left="650"/>
              <w:spacing w:after="0" w:line="194" w:lineRule="exact"/>
              <w:rPr>
                <w:sz w:val="20"/>
                <w:szCs w:val="20"/>
                <w:color w:val="auto"/>
              </w:rPr>
            </w:pPr>
            <w:r>
              <w:rPr>
                <w:rFonts w:ascii="Arial" w:cs="Arial" w:eastAsia="Arial" w:hAnsi="Arial"/>
                <w:sz w:val="18"/>
                <w:szCs w:val="18"/>
                <w:b w:val="1"/>
                <w:bCs w:val="1"/>
                <w:color w:val="auto"/>
                <w:w w:val="85"/>
              </w:rPr>
              <w:t>Nashville, Tennessee</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4"/>
          </w:tcPr>
          <w:p>
            <w:pPr>
              <w:jc w:val="right"/>
              <w:ind w:right="200"/>
              <w:spacing w:after="0" w:line="194" w:lineRule="exact"/>
              <w:rPr>
                <w:sz w:val="20"/>
                <w:szCs w:val="20"/>
                <w:color w:val="auto"/>
              </w:rPr>
            </w:pPr>
            <w:r>
              <w:rPr>
                <w:rFonts w:ascii="Arial" w:cs="Arial" w:eastAsia="Arial" w:hAnsi="Arial"/>
                <w:sz w:val="18"/>
                <w:szCs w:val="18"/>
                <w:b w:val="1"/>
                <w:bCs w:val="1"/>
                <w:color w:val="auto"/>
              </w:rPr>
              <w:t>37203</w:t>
            </w: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40" w:type="dxa"/>
            <w:vAlign w:val="bottom"/>
            <w:gridSpan w:val="4"/>
          </w:tcPr>
          <w:p>
            <w:pPr>
              <w:jc w:val="center"/>
              <w:ind w:right="2380"/>
              <w:spacing w:after="0"/>
              <w:rPr>
                <w:sz w:val="20"/>
                <w:szCs w:val="20"/>
                <w:color w:val="auto"/>
              </w:rPr>
            </w:pPr>
            <w:r>
              <w:rPr>
                <w:rFonts w:ascii="Arial" w:cs="Arial" w:eastAsia="Arial" w:hAnsi="Arial"/>
                <w:sz w:val="18"/>
                <w:szCs w:val="18"/>
                <w:b w:val="1"/>
                <w:bCs w:val="1"/>
                <w:color w:val="auto"/>
                <w:w w:val="92"/>
              </w:rPr>
              <w:t>(Zip Code)</w:t>
            </w:r>
          </w:p>
        </w:tc>
        <w:tc>
          <w:tcPr>
            <w:tcW w:w="0" w:type="dxa"/>
            <w:vAlign w:val="bottom"/>
          </w:tcPr>
          <w:p>
            <w:pPr>
              <w:spacing w:after="0"/>
              <w:rPr>
                <w:sz w:val="1"/>
                <w:szCs w:val="1"/>
                <w:color w:val="auto"/>
              </w:rPr>
            </w:pPr>
          </w:p>
        </w:tc>
      </w:tr>
      <w:tr>
        <w:trPr>
          <w:trHeight w:val="391"/>
        </w:trPr>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(615) 301-3100</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80" w:type="dxa"/>
            <w:vAlign w:val="bottom"/>
            <w:gridSpan w:val="7"/>
          </w:tcPr>
          <w:p>
            <w:pPr>
              <w:jc w:val="center"/>
              <w:ind w:left="29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4900" w:type="dxa"/>
            <w:vAlign w:val="bottom"/>
            <w:gridSpan w:val="6"/>
          </w:tcPr>
          <w:p>
            <w:pPr>
              <w:jc w:val="center"/>
              <w:ind w:right="1140"/>
              <w:spacing w:after="0"/>
              <w:rPr>
                <w:sz w:val="20"/>
                <w:szCs w:val="20"/>
                <w:color w:val="auto"/>
              </w:rPr>
            </w:pPr>
            <w:r>
              <w:rPr>
                <w:rFonts w:ascii="Arial" w:cs="Arial" w:eastAsia="Arial" w:hAnsi="Arial"/>
                <w:sz w:val="18"/>
                <w:szCs w:val="18"/>
                <w:b w:val="1"/>
                <w:bCs w:val="1"/>
                <w:color w:val="auto"/>
                <w:w w:val="87"/>
              </w:rPr>
              <w:t>Title of each class</w:t>
            </w: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340" w:type="dxa"/>
            <w:vAlign w:val="bottom"/>
            <w:gridSpan w:val="2"/>
          </w:tcPr>
          <w:p>
            <w:pPr>
              <w:spacing w:after="0"/>
              <w:rPr>
                <w:sz w:val="24"/>
                <w:szCs w:val="24"/>
                <w:color w:val="auto"/>
              </w:rPr>
            </w:pPr>
          </w:p>
        </w:tc>
        <w:tc>
          <w:tcPr>
            <w:tcW w:w="35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1"/>
        </w:trPr>
        <w:tc>
          <w:tcPr>
            <w:tcW w:w="2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20" w:type="dxa"/>
            <w:vAlign w:val="bottom"/>
            <w:gridSpan w:val="3"/>
            <w:vMerge w:val="restart"/>
          </w:tcPr>
          <w:p>
            <w:pPr>
              <w:jc w:val="center"/>
              <w:ind w:right="1320"/>
              <w:spacing w:after="0"/>
              <w:rPr>
                <w:sz w:val="20"/>
                <w:szCs w:val="20"/>
                <w:color w:val="auto"/>
              </w:rPr>
            </w:pPr>
            <w:r>
              <w:rPr>
                <w:rFonts w:ascii="Arial" w:cs="Arial" w:eastAsia="Arial" w:hAnsi="Arial"/>
                <w:sz w:val="18"/>
                <w:szCs w:val="18"/>
                <w:color w:val="auto"/>
                <w:w w:val="97"/>
              </w:rPr>
              <w:t>HSTM</w:t>
            </w: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3740" w:type="dxa"/>
            <w:vAlign w:val="bottom"/>
            <w:gridSpan w:val="5"/>
          </w:tcPr>
          <w:p>
            <w:pPr>
              <w:jc w:val="center"/>
              <w:spacing w:after="0"/>
              <w:rPr>
                <w:sz w:val="20"/>
                <w:szCs w:val="20"/>
                <w:color w:val="auto"/>
              </w:rPr>
            </w:pPr>
            <w:r>
              <w:rPr>
                <w:rFonts w:ascii="Arial" w:cs="Arial" w:eastAsia="Arial" w:hAnsi="Arial"/>
                <w:sz w:val="18"/>
                <w:szCs w:val="18"/>
                <w:color w:val="auto"/>
                <w:w w:val="90"/>
              </w:rPr>
              <w:t>Common Stock (Par Value $0.00)</w:t>
            </w:r>
          </w:p>
        </w:tc>
        <w:tc>
          <w:tcPr>
            <w:tcW w:w="116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4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40" w:type="dxa"/>
            <w:vAlign w:val="bottom"/>
            <w:gridSpan w:val="3"/>
          </w:tcPr>
          <w:p>
            <w:pPr>
              <w:jc w:val="center"/>
              <w:ind w:right="720"/>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7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760"/>
              <w:spacing w:after="0"/>
              <w:rPr>
                <w:sz w:val="20"/>
                <w:szCs w:val="20"/>
                <w:color w:val="auto"/>
              </w:rPr>
            </w:pPr>
            <w:r>
              <w:rPr>
                <w:rFonts w:ascii="Arial" w:cs="Arial" w:eastAsia="Arial" w:hAnsi="Arial"/>
                <w:sz w:val="18"/>
                <w:szCs w:val="18"/>
                <w:color w:val="auto"/>
                <w:w w:val="97"/>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25, 2021, there were 31,562,193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40" w:type="dxa"/>
            <w:vAlign w:val="bottom"/>
            <w:gridSpan w:val="1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6"/>
        </w:trPr>
        <w:tc>
          <w:tcPr>
            <w:tcW w:w="9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9"/>
          </w:tcPr>
          <w:p>
            <w:pPr>
              <w:jc w:val="center"/>
              <w:ind w:right="1680"/>
              <w:spacing w:after="0" w:line="207" w:lineRule="exact"/>
              <w:rPr>
                <w:sz w:val="20"/>
                <w:szCs w:val="20"/>
                <w:color w:val="auto"/>
              </w:rPr>
            </w:pPr>
            <w:r>
              <w:rPr>
                <w:rFonts w:ascii="Arial" w:cs="Arial" w:eastAsia="Arial" w:hAnsi="Arial"/>
                <w:sz w:val="18"/>
                <w:szCs w:val="18"/>
                <w:b w:val="1"/>
                <w:bCs w:val="1"/>
                <w:color w:val="auto"/>
                <w:w w:val="94"/>
              </w:rPr>
              <w:t>Index to Form 10</w:t>
            </w:r>
            <w:r>
              <w:rPr>
                <w:rFonts w:ascii="MS PGothic" w:cs="MS PGothic" w:eastAsia="MS PGothic" w:hAnsi="MS PGothic"/>
                <w:sz w:val="18"/>
                <w:szCs w:val="18"/>
                <w:color w:val="auto"/>
                <w:w w:val="94"/>
              </w:rPr>
              <w:t>‑</w:t>
            </w:r>
            <w:r>
              <w:rPr>
                <w:rFonts w:ascii="Arial" w:cs="Arial" w:eastAsia="Arial" w:hAnsi="Arial"/>
                <w:sz w:val="18"/>
                <w:szCs w:val="18"/>
                <w:b w:val="1"/>
                <w:bCs w:val="1"/>
                <w:color w:val="auto"/>
                <w:w w:val="94"/>
              </w:rPr>
              <w:t>Q</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9"/>
          </w:tcPr>
          <w:p>
            <w:pPr>
              <w:jc w:val="center"/>
              <w:ind w:right="1680"/>
              <w:spacing w:after="0"/>
              <w:rPr>
                <w:sz w:val="20"/>
                <w:szCs w:val="20"/>
                <w:color w:val="auto"/>
              </w:rPr>
            </w:pPr>
            <w:r>
              <w:rPr>
                <w:rFonts w:ascii="Arial" w:cs="Arial" w:eastAsia="Arial" w:hAnsi="Arial"/>
                <w:sz w:val="18"/>
                <w:szCs w:val="18"/>
                <w:b w:val="1"/>
                <w:bCs w:val="1"/>
                <w:color w:val="auto"/>
              </w:rPr>
              <w:t>HEALTHSTREAM, INC.</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1"/>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34"/>
        </w:trPr>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27"/>
        </w:trPr>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940" w:type="dxa"/>
            <w:vAlign w:val="bottom"/>
          </w:tcPr>
          <w:p>
            <w:pPr>
              <w:ind w:left="40"/>
              <w:spacing w:after="0" w:line="196" w:lineRule="exact"/>
              <w:rPr>
                <w:sz w:val="20"/>
                <w:szCs w:val="20"/>
                <w:color w:val="auto"/>
              </w:rPr>
            </w:pPr>
            <w:r>
              <w:rPr>
                <w:rFonts w:ascii="Arial" w:cs="Arial" w:eastAsia="Arial" w:hAnsi="Arial"/>
                <w:sz w:val="18"/>
                <w:szCs w:val="18"/>
                <w:color w:val="auto"/>
              </w:rPr>
              <w:t>Part I.</w:t>
            </w:r>
          </w:p>
        </w:tc>
        <w:tc>
          <w:tcPr>
            <w:tcW w:w="158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7720" w:type="dxa"/>
            <w:vAlign w:val="bottom"/>
            <w:gridSpan w:val="10"/>
          </w:tcPr>
          <w:p>
            <w:pPr>
              <w:spacing w:after="0"/>
              <w:rPr>
                <w:sz w:val="17"/>
                <w:szCs w:val="17"/>
                <w:color w:val="auto"/>
              </w:rPr>
            </w:pPr>
          </w:p>
        </w:tc>
        <w:tc>
          <w:tcPr>
            <w:tcW w:w="8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17"/>
                <w:szCs w:val="17"/>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1.</w:t>
            </w:r>
          </w:p>
        </w:tc>
        <w:tc>
          <w:tcPr>
            <w:tcW w:w="93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0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72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(Unaudited) – September 30, 2021 and December 31, 2020</w:t>
              </w:r>
            </w:hyperlink>
          </w:p>
        </w:tc>
        <w:tc>
          <w:tcPr>
            <w:tcW w:w="2060" w:type="dxa"/>
            <w:vAlign w:val="bottom"/>
            <w:gridSpan w:val="5"/>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7"/>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Statements of Income (Unaudited) – Three and Nine Months ended September 30, 2021 and 2020</w:t>
              </w:r>
            </w:hyperlink>
          </w:p>
        </w:tc>
        <w:tc>
          <w:tcPr>
            <w:tcW w:w="10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28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Comprehensive Income (Unaudited) – Three and Nine Months ended September 30,</w:t>
              </w:r>
            </w:hyperlink>
          </w:p>
        </w:tc>
        <w:tc>
          <w:tcPr>
            <w:tcW w:w="20" w:type="dxa"/>
            <w:vAlign w:val="bottom"/>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930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2021 and 2020</w:t>
              </w:r>
            </w:hyperlink>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7"/>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 of Shareholders' Equity (Unaudited) – Three and Nine Months ended September 30, 2021</w:t>
              </w:r>
            </w:hyperlink>
          </w:p>
        </w:tc>
        <w:tc>
          <w:tcPr>
            <w:tcW w:w="10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196"/>
        </w:trPr>
        <w:tc>
          <w:tcPr>
            <w:tcW w:w="940" w:type="dxa"/>
            <w:vAlign w:val="bottom"/>
          </w:tcPr>
          <w:p>
            <w:pPr>
              <w:spacing w:after="0"/>
              <w:rPr>
                <w:sz w:val="17"/>
                <w:szCs w:val="17"/>
                <w:color w:val="auto"/>
              </w:rPr>
            </w:pPr>
          </w:p>
        </w:tc>
        <w:tc>
          <w:tcPr>
            <w:tcW w:w="92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2020</w:t>
              </w:r>
            </w:hyperlink>
          </w:p>
        </w:tc>
        <w:tc>
          <w:tcPr>
            <w:tcW w:w="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2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(Unaudited) – Three and Nine Months ended September 30, 2021 and 2020</w:t>
              </w:r>
            </w:hyperlink>
          </w:p>
        </w:tc>
        <w:tc>
          <w:tcPr>
            <w:tcW w:w="100" w:type="dxa"/>
            <w:vAlign w:val="bottom"/>
            <w:gridSpan w:val="3"/>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100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2.</w:t>
            </w:r>
          </w:p>
        </w:tc>
        <w:tc>
          <w:tcPr>
            <w:tcW w:w="6440" w:type="dxa"/>
            <w:vAlign w:val="bottom"/>
            <w:gridSpan w:val="11"/>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2860" w:type="dxa"/>
            <w:vAlign w:val="bottom"/>
            <w:gridSpan w:val="6"/>
          </w:tcPr>
          <w:p>
            <w:pPr>
              <w:spacing w:after="0"/>
              <w:rPr>
                <w:sz w:val="21"/>
                <w:szCs w:val="21"/>
                <w:color w:val="auto"/>
              </w:rPr>
            </w:pPr>
          </w:p>
        </w:tc>
        <w:tc>
          <w:tcPr>
            <w:tcW w:w="100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16</w:t>
              </w:r>
            </w:hyperlink>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3.</w:t>
            </w:r>
          </w:p>
        </w:tc>
        <w:tc>
          <w:tcPr>
            <w:tcW w:w="6440" w:type="dxa"/>
            <w:vAlign w:val="bottom"/>
            <w:gridSpan w:val="1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2860" w:type="dxa"/>
            <w:vAlign w:val="bottom"/>
            <w:gridSpan w:val="6"/>
          </w:tcPr>
          <w:p>
            <w:pPr>
              <w:spacing w:after="0"/>
              <w:rPr>
                <w:sz w:val="21"/>
                <w:szCs w:val="21"/>
                <w:color w:val="auto"/>
              </w:rPr>
            </w:pPr>
          </w:p>
        </w:tc>
        <w:tc>
          <w:tcPr>
            <w:tcW w:w="100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4.</w:t>
            </w:r>
          </w:p>
        </w:tc>
        <w:tc>
          <w:tcPr>
            <w:tcW w:w="4300" w:type="dxa"/>
            <w:vAlign w:val="bottom"/>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5000" w:type="dxa"/>
            <w:vAlign w:val="bottom"/>
            <w:gridSpan w:val="8"/>
          </w:tcPr>
          <w:p>
            <w:pPr>
              <w:spacing w:after="0"/>
              <w:rPr>
                <w:sz w:val="21"/>
                <w:szCs w:val="21"/>
                <w:color w:val="auto"/>
              </w:rPr>
            </w:pPr>
          </w:p>
        </w:tc>
        <w:tc>
          <w:tcPr>
            <w:tcW w:w="10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54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Part II.</w:t>
            </w:r>
          </w:p>
        </w:tc>
        <w:tc>
          <w:tcPr>
            <w:tcW w:w="1320" w:type="dxa"/>
            <w:vAlign w:val="bottom"/>
            <w:gridSpan w:val="5"/>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Other Information</w:t>
              </w:r>
            </w:hyperlink>
          </w:p>
        </w:tc>
        <w:tc>
          <w:tcPr>
            <w:tcW w:w="440" w:type="dxa"/>
            <w:vAlign w:val="bottom"/>
            <w:gridSpan w:val="3"/>
          </w:tcPr>
          <w:p>
            <w:pPr>
              <w:spacing w:after="0"/>
              <w:rPr>
                <w:sz w:val="21"/>
                <w:szCs w:val="21"/>
                <w:color w:val="auto"/>
              </w:rPr>
            </w:pPr>
          </w:p>
        </w:tc>
        <w:tc>
          <w:tcPr>
            <w:tcW w:w="7540" w:type="dxa"/>
            <w:vAlign w:val="bottom"/>
            <w:gridSpan w:val="9"/>
          </w:tcPr>
          <w:p>
            <w:pPr>
              <w:spacing w:after="0"/>
              <w:rPr>
                <w:sz w:val="21"/>
                <w:szCs w:val="21"/>
                <w:color w:val="auto"/>
              </w:rPr>
            </w:pPr>
          </w:p>
        </w:tc>
        <w:tc>
          <w:tcPr>
            <w:tcW w:w="10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98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1A.</w:t>
            </w:r>
          </w:p>
        </w:tc>
        <w:tc>
          <w:tcPr>
            <w:tcW w:w="1320" w:type="dxa"/>
            <w:vAlign w:val="bottom"/>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7980" w:type="dxa"/>
            <w:vAlign w:val="bottom"/>
            <w:gridSpan w:val="12"/>
          </w:tcPr>
          <w:p>
            <w:pPr>
              <w:spacing w:after="0"/>
              <w:rPr>
                <w:sz w:val="21"/>
                <w:szCs w:val="21"/>
                <w:color w:val="auto"/>
              </w:rPr>
            </w:pPr>
          </w:p>
        </w:tc>
        <w:tc>
          <w:tcPr>
            <w:tcW w:w="10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4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Exhibits</w:t>
              </w:r>
            </w:hyperlink>
          </w:p>
        </w:tc>
        <w:tc>
          <w:tcPr>
            <w:tcW w:w="300" w:type="dxa"/>
            <w:vAlign w:val="bottom"/>
          </w:tcPr>
          <w:p>
            <w:pPr>
              <w:spacing w:after="0"/>
              <w:rPr>
                <w:sz w:val="21"/>
                <w:szCs w:val="21"/>
                <w:color w:val="auto"/>
              </w:rPr>
            </w:pPr>
          </w:p>
        </w:tc>
        <w:tc>
          <w:tcPr>
            <w:tcW w:w="8400" w:type="dxa"/>
            <w:vAlign w:val="bottom"/>
            <w:gridSpan w:val="14"/>
          </w:tcPr>
          <w:p>
            <w:pPr>
              <w:spacing w:after="0"/>
              <w:rPr>
                <w:sz w:val="21"/>
                <w:szCs w:val="21"/>
                <w:color w:val="auto"/>
              </w:rPr>
            </w:pPr>
          </w:p>
        </w:tc>
        <w:tc>
          <w:tcPr>
            <w:tcW w:w="10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4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w:t>
              </w:r>
            </w:hyperlink>
          </w:p>
        </w:tc>
        <w:tc>
          <w:tcPr>
            <w:tcW w:w="100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r>
      <w:tr>
        <w:trPr>
          <w:trHeight w:val="622"/>
        </w:trPr>
        <w:tc>
          <w:tcPr>
            <w:tcW w:w="940" w:type="dxa"/>
            <w:vAlign w:val="bottom"/>
            <w:tcBorders>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8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r>
      <w:tr>
        <w:trPr>
          <w:trHeight w:val="199"/>
        </w:trPr>
        <w:tc>
          <w:tcPr>
            <w:tcW w:w="8000" w:type="dxa"/>
            <w:vAlign w:val="bottom"/>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55,459</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36,566</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Marketable securities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9,928</w:t>
            </w:r>
          </w:p>
        </w:tc>
      </w:tr>
      <w:tr>
        <w:trPr>
          <w:trHeight w:val="19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net of allowance for doubtful accounts of $408 and $549 at September 30, 2021 and</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80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December 31, 2020, respectively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40,726</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Accounts receivable - unbilled</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5,374</w:t>
            </w: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royalties, net of amortization</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9,571</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Other prepaid expenses and other current assets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12,560</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112,256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114,725</w:t>
            </w:r>
          </w:p>
        </w:tc>
      </w:tr>
      <w:tr>
        <w:trPr>
          <w:trHeight w:val="203"/>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w w:val="93"/>
              </w:rPr>
              <w:t>Property and equipment, net of accumulated depreciation of $24,131 and $19,237 at September 30, 2021 and December</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31, 2020, respectively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22,218</w:t>
            </w:r>
          </w:p>
        </w:tc>
      </w:tr>
      <w:tr>
        <w:trPr>
          <w:trHeight w:val="193"/>
        </w:trPr>
        <w:tc>
          <w:tcPr>
            <w:tcW w:w="8000" w:type="dxa"/>
            <w:vAlign w:val="bottom"/>
          </w:tcPr>
          <w:p>
            <w:pPr>
              <w:spacing w:after="0"/>
              <w:rPr>
                <w:sz w:val="20"/>
                <w:szCs w:val="20"/>
                <w:color w:val="auto"/>
              </w:rPr>
            </w:pPr>
            <w:r>
              <w:rPr>
                <w:rFonts w:ascii="Arial" w:cs="Arial" w:eastAsia="Arial" w:hAnsi="Arial"/>
                <w:sz w:val="16"/>
                <w:szCs w:val="16"/>
                <w:color w:val="auto"/>
                <w:w w:val="94"/>
              </w:rPr>
              <w:t>Capitalized software development, net of accumulated amortization of $81,734 and $70,516 at September 30, 2021 and</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8000" w:type="dxa"/>
            <w:vAlign w:val="bottom"/>
          </w:tcPr>
          <w:p>
            <w:pPr>
              <w:ind w:left="180"/>
              <w:spacing w:after="0"/>
              <w:rPr>
                <w:sz w:val="20"/>
                <w:szCs w:val="20"/>
                <w:color w:val="auto"/>
              </w:rPr>
            </w:pPr>
            <w:r>
              <w:rPr>
                <w:rFonts w:ascii="Arial" w:cs="Arial" w:eastAsia="Arial" w:hAnsi="Arial"/>
                <w:sz w:val="16"/>
                <w:szCs w:val="16"/>
                <w:color w:val="auto"/>
              </w:rPr>
              <w:t>December 31, 2020, respectively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31,250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26,631</w:t>
            </w:r>
          </w:p>
        </w:tc>
      </w:tr>
      <w:tr>
        <w:trPr>
          <w:trHeight w:val="206"/>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 of use assets, net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28,081</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181,114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178,440</w:t>
            </w:r>
          </w:p>
        </w:tc>
      </w:tr>
      <w:tr>
        <w:trPr>
          <w:trHeight w:val="19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w w:val="98"/>
              </w:rPr>
              <w:t>Customer-related intangibles, net of accumulated amortization of $43,362 and $36,723 at September 30, 2021 and</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December 31, 2020, respectively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76,927</w:t>
            </w:r>
          </w:p>
        </w:tc>
      </w:tr>
      <w:tr>
        <w:trPr>
          <w:trHeight w:val="193"/>
        </w:trPr>
        <w:tc>
          <w:tcPr>
            <w:tcW w:w="8000" w:type="dxa"/>
            <w:vAlign w:val="bottom"/>
          </w:tcPr>
          <w:p>
            <w:pPr>
              <w:spacing w:after="0"/>
              <w:rPr>
                <w:sz w:val="20"/>
                <w:szCs w:val="20"/>
                <w:color w:val="auto"/>
              </w:rPr>
            </w:pPr>
            <w:r>
              <w:rPr>
                <w:rFonts w:ascii="Arial" w:cs="Arial" w:eastAsia="Arial" w:hAnsi="Arial"/>
                <w:sz w:val="16"/>
                <w:szCs w:val="16"/>
                <w:color w:val="auto"/>
                <w:w w:val="93"/>
              </w:rPr>
              <w:t>Other intangible assets, net of accumulated amortization of $15,431 and $10,748 at September 30, 2021 and December</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8000" w:type="dxa"/>
            <w:vAlign w:val="bottom"/>
          </w:tcPr>
          <w:p>
            <w:pPr>
              <w:ind w:left="180"/>
              <w:spacing w:after="0"/>
              <w:rPr>
                <w:sz w:val="20"/>
                <w:szCs w:val="20"/>
                <w:color w:val="auto"/>
              </w:rPr>
            </w:pPr>
            <w:r>
              <w:rPr>
                <w:rFonts w:ascii="Arial" w:cs="Arial" w:eastAsia="Arial" w:hAnsi="Arial"/>
                <w:sz w:val="16"/>
                <w:szCs w:val="16"/>
                <w:color w:val="auto"/>
              </w:rPr>
              <w:t>31, 2020, respectively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19,563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23,788</w:t>
            </w:r>
          </w:p>
        </w:tc>
      </w:tr>
      <w:tr>
        <w:trPr>
          <w:trHeight w:val="205"/>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974</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Deferred commissions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22,860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19,907</w:t>
            </w:r>
          </w:p>
        </w:tc>
      </w:tr>
      <w:tr>
        <w:trPr>
          <w:trHeight w:val="20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Non-marketable equity investments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6,845</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1,777</w:t>
            </w:r>
          </w:p>
        </w:tc>
        <w:tc>
          <w:tcPr>
            <w:tcW w:w="100" w:type="dxa"/>
            <w:vAlign w:val="bottom"/>
          </w:tcPr>
          <w:p>
            <w:pPr>
              <w:spacing w:after="0"/>
              <w:rPr>
                <w:sz w:val="17"/>
                <w:szCs w:val="17"/>
                <w:color w:val="auto"/>
              </w:rPr>
            </w:pPr>
          </w:p>
        </w:tc>
      </w:tr>
      <w:tr>
        <w:trPr>
          <w:trHeight w:val="236"/>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494,714</w:t>
            </w: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500,313</w:t>
            </w:r>
          </w:p>
        </w:tc>
      </w:tr>
      <w:tr>
        <w:trPr>
          <w:trHeight w:val="183"/>
        </w:trPr>
        <w:tc>
          <w:tcPr>
            <w:tcW w:w="80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8000" w:type="dxa"/>
            <w:vAlign w:val="bottom"/>
            <w:shd w:val="clear" w:color="auto" w:fill="CCEEFF"/>
          </w:tcPr>
          <w:p>
            <w:pPr>
              <w:ind w:left="2180"/>
              <w:spacing w:after="0"/>
              <w:rPr>
                <w:sz w:val="20"/>
                <w:szCs w:val="20"/>
                <w:color w:val="auto"/>
              </w:rPr>
            </w:pPr>
            <w:r>
              <w:rPr>
                <w:rFonts w:ascii="Arial" w:cs="Arial" w:eastAsia="Arial" w:hAnsi="Arial"/>
                <w:sz w:val="16"/>
                <w:szCs w:val="16"/>
                <w:b w:val="1"/>
                <w:bCs w:val="1"/>
                <w:color w:val="auto"/>
              </w:rPr>
              <w:t>LIABILITIES AND SHAREHOLDERS’ EQUITY</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22,170</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29,457</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Accrued royalties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8,809</w:t>
            </w:r>
          </w:p>
        </w:tc>
      </w:tr>
      <w:tr>
        <w:trPr>
          <w:trHeight w:val="203"/>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74,577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81,176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66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101,950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119,442</w:t>
            </w:r>
          </w:p>
        </w:tc>
      </w:tr>
      <w:tr>
        <w:trPr>
          <w:trHeight w:val="203"/>
        </w:trPr>
        <w:tc>
          <w:tcPr>
            <w:tcW w:w="8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18,205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14,523</w:t>
            </w:r>
          </w:p>
        </w:tc>
      </w:tr>
      <w:tr>
        <w:trPr>
          <w:trHeight w:val="20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 noncurrent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1,603</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Operating lease liability, noncurrent</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26,852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28,479</w:t>
            </w:r>
          </w:p>
        </w:tc>
      </w:tr>
      <w:tr>
        <w:trPr>
          <w:trHeight w:val="20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Other long term liabilities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2,204</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8"/>
              </w:rPr>
              <w:t>Common stock, no par value, 75,000 shares authorized; 31,562 and 31,493 shares issued and outstanding at</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80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September 30, 2021 and December 31, 2020, respectively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273,573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271,784</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68,510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62,277</w:t>
            </w:r>
          </w:p>
        </w:tc>
      </w:tr>
      <w:tr>
        <w:trPr>
          <w:trHeight w:val="203"/>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income</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66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342,198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334,062</w:t>
            </w:r>
          </w:p>
        </w:tc>
        <w:tc>
          <w:tcPr>
            <w:tcW w:w="100" w:type="dxa"/>
            <w:vAlign w:val="bottom"/>
          </w:tcPr>
          <w:p>
            <w:pPr>
              <w:spacing w:after="0"/>
              <w:rPr>
                <w:sz w:val="17"/>
                <w:szCs w:val="17"/>
                <w:color w:val="auto"/>
              </w:rPr>
            </w:pPr>
          </w:p>
        </w:tc>
      </w:tr>
      <w:tr>
        <w:trPr>
          <w:trHeight w:val="236"/>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494,714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500,313</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740" w:type="dxa"/>
            <w:vAlign w:val="bottom"/>
            <w:gridSpan w:val="4"/>
          </w:tcPr>
          <w:p>
            <w:pPr>
              <w:jc w:val="center"/>
              <w:ind w:right="720"/>
              <w:spacing w:after="0"/>
              <w:rPr>
                <w:sz w:val="20"/>
                <w:szCs w:val="20"/>
                <w:color w:val="auto"/>
              </w:rPr>
            </w:pPr>
            <w:r>
              <w:rPr>
                <w:rFonts w:ascii="Arial" w:cs="Arial" w:eastAsia="Arial" w:hAnsi="Arial"/>
                <w:sz w:val="18"/>
                <w:szCs w:val="18"/>
                <w:b w:val="1"/>
                <w:bCs w:val="1"/>
                <w:color w:val="auto"/>
              </w:rPr>
              <w:t>HEALTHSTREAM,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60" w:type="dxa"/>
            <w:vAlign w:val="bottom"/>
            <w:gridSpan w:val="9"/>
          </w:tcPr>
          <w:p>
            <w:pPr>
              <w:jc w:val="center"/>
              <w:ind w:left="950"/>
              <w:spacing w:after="0"/>
              <w:rPr>
                <w:sz w:val="20"/>
                <w:szCs w:val="20"/>
                <w:color w:val="auto"/>
              </w:rPr>
            </w:pPr>
            <w:r>
              <w:rPr>
                <w:rFonts w:ascii="Arial" w:cs="Arial" w:eastAsia="Arial" w:hAnsi="Arial"/>
                <w:sz w:val="18"/>
                <w:szCs w:val="18"/>
                <w:b w:val="1"/>
                <w:bCs w:val="1"/>
                <w:color w:val="auto"/>
              </w:rPr>
              <w:t>CONDENSED CONSOLIDATED STATEMENTS OF INCOME (UNAUDITED)</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080" w:type="dxa"/>
            <w:vAlign w:val="bottom"/>
            <w:gridSpan w:val="5"/>
          </w:tcPr>
          <w:p>
            <w:pPr>
              <w:jc w:val="center"/>
              <w:ind w:left="251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ind w:left="20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1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net</w:t>
            </w:r>
          </w:p>
        </w:tc>
        <w:tc>
          <w:tcPr>
            <w:tcW w:w="16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60,883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192,374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183,008</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Cost of revenues (excluding depreciation and amortization)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23,302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66,596</w:t>
            </w:r>
          </w:p>
        </w:tc>
      </w:tr>
      <w:tr>
        <w:trPr>
          <w:trHeight w:val="216"/>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Product development</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10,344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8,192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30,205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23,491</w:t>
            </w:r>
          </w:p>
        </w:tc>
      </w:tr>
      <w:tr>
        <w:trPr>
          <w:trHeight w:val="216"/>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26,286</w:t>
            </w:r>
          </w:p>
        </w:tc>
      </w:tr>
      <w:tr>
        <w:trPr>
          <w:trHeight w:val="216"/>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9,986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29,445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29,949</w:t>
            </w:r>
          </w:p>
        </w:tc>
      </w:tr>
      <w:tr>
        <w:trPr>
          <w:trHeight w:val="216"/>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22,005</w:t>
            </w: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2"/>
          </w:tcPr>
          <w:p>
            <w:pPr>
              <w:ind w:left="660"/>
              <w:spacing w:after="0"/>
              <w:rPr>
                <w:sz w:val="20"/>
                <w:szCs w:val="20"/>
                <w:color w:val="auto"/>
              </w:rPr>
            </w:pPr>
            <w:r>
              <w:rPr>
                <w:rFonts w:ascii="Arial" w:cs="Arial" w:eastAsia="Arial" w:hAnsi="Arial"/>
                <w:sz w:val="18"/>
                <w:szCs w:val="18"/>
                <w:color w:val="auto"/>
              </w:rPr>
              <w:t>Total operating costs and expenses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62,306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57,749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183,859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168,327</w:t>
            </w: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3,134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8,515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14,681</w:t>
            </w: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Other (loss) income, net</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2,006</w:t>
            </w:r>
          </w:p>
        </w:tc>
      </w:tr>
      <w:tr>
        <w:trPr>
          <w:trHeight w:val="210"/>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Income before income tax provision</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3,234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8,265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16,687</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3,519</w:t>
            </w: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2,634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6,232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13,168</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6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62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Diluted</w:t>
            </w:r>
          </w:p>
        </w:tc>
        <w:tc>
          <w:tcPr>
            <w:tcW w:w="1600" w:type="dxa"/>
            <w:vAlign w:val="bottom"/>
            <w:gridSpan w:val="2"/>
          </w:tcPr>
          <w:p>
            <w:pPr>
              <w:ind w:left="136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0.05</w:t>
            </w:r>
          </w:p>
        </w:tc>
        <w:tc>
          <w:tcPr>
            <w:tcW w:w="260" w:type="dxa"/>
            <w:vAlign w:val="bottom"/>
          </w:tcPr>
          <w:p>
            <w:pPr>
              <w:spacing w:after="0"/>
              <w:rPr>
                <w:sz w:val="17"/>
                <w:szCs w:val="17"/>
                <w:color w:val="auto"/>
              </w:rPr>
            </w:pP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0.08</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0.20</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0.41</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31,558</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31,955</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31,538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32,095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62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Diluted</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31,684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31,981</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31,609</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32,121</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1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900" w:type="dxa"/>
            <w:vAlign w:val="bottom"/>
          </w:tcPr>
          <w:p>
            <w:pPr>
              <w:spacing w:after="0"/>
              <w:rPr>
                <w:sz w:val="24"/>
                <w:szCs w:val="24"/>
                <w:color w:val="auto"/>
              </w:rPr>
            </w:pPr>
          </w:p>
        </w:tc>
        <w:tc>
          <w:tcPr>
            <w:tcW w:w="318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rPr>
              <w:t>HEALTHSTREAM,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740" w:type="dxa"/>
            <w:vAlign w:val="bottom"/>
            <w:gridSpan w:val="11"/>
          </w:tcPr>
          <w:p>
            <w:pPr>
              <w:jc w:val="center"/>
              <w:ind w:right="60"/>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10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90"/>
              </w:rPr>
              <w:t>(In thousands)</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7"/>
              </w:rPr>
              <w:t>Three Months Ended</w:t>
            </w:r>
          </w:p>
        </w:tc>
        <w:tc>
          <w:tcPr>
            <w:tcW w:w="240" w:type="dxa"/>
            <w:vAlign w:val="bottom"/>
          </w:tcPr>
          <w:p>
            <w:pPr>
              <w:spacing w:after="0"/>
              <w:rPr>
                <w:sz w:val="24"/>
                <w:szCs w:val="24"/>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12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13,168</w:t>
            </w:r>
          </w:p>
        </w:tc>
      </w:tr>
      <w:tr>
        <w:trPr>
          <w:trHeight w:val="216"/>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net of taxes:</w:t>
            </w:r>
          </w:p>
        </w:tc>
        <w:tc>
          <w:tcPr>
            <w:tcW w:w="1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(470)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4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(loss) gain on marketable securities</w:t>
            </w:r>
          </w:p>
        </w:tc>
        <w:tc>
          <w:tcPr>
            <w:tcW w:w="1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0"/>
        </w:trPr>
        <w:tc>
          <w:tcPr>
            <w:tcW w:w="12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180" w:type="dxa"/>
            <w:vAlign w:val="bottom"/>
            <w:gridSpan w:val="2"/>
          </w:tcPr>
          <w:p>
            <w:pPr>
              <w:spacing w:after="0"/>
              <w:rPr>
                <w:sz w:val="20"/>
                <w:szCs w:val="20"/>
                <w:color w:val="auto"/>
              </w:rPr>
            </w:pPr>
            <w:r>
              <w:rPr>
                <w:rFonts w:ascii="Arial" w:cs="Arial" w:eastAsia="Arial" w:hAnsi="Arial"/>
                <w:sz w:val="18"/>
                <w:szCs w:val="18"/>
                <w:color w:val="auto"/>
              </w:rPr>
              <w:t>Total other comprehensive (loss) income</w:t>
            </w: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(471)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0"/>
        </w:trPr>
        <w:tc>
          <w:tcPr>
            <w:tcW w:w="1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1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68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rPr>
              <w:t>HEALTHSTREAM, INC.</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240" w:type="dxa"/>
            <w:vAlign w:val="bottom"/>
            <w:gridSpan w:val="10"/>
          </w:tcPr>
          <w:p>
            <w:pPr>
              <w:jc w:val="center"/>
              <w:ind w:left="350"/>
              <w:spacing w:after="0"/>
              <w:rPr>
                <w:sz w:val="20"/>
                <w:szCs w:val="20"/>
                <w:color w:val="auto"/>
              </w:rPr>
            </w:pPr>
            <w:r>
              <w:rPr>
                <w:rFonts w:ascii="Arial" w:cs="Arial" w:eastAsia="Arial" w:hAnsi="Arial"/>
                <w:sz w:val="18"/>
                <w:szCs w:val="18"/>
                <w:b w:val="1"/>
                <w:bCs w:val="1"/>
                <w:color w:val="auto"/>
                <w:w w:val="99"/>
              </w:rPr>
              <w:t>CONDENSED CONSOLIDATED STATEMENTS OF SHAREHOLDERS' EQUITY (UNAUDITED)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58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0"/>
              </w:rPr>
              <w:t>(In thousands)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ind w:left="140"/>
              <w:spacing w:after="0"/>
              <w:rPr>
                <w:sz w:val="20"/>
                <w:szCs w:val="20"/>
                <w:color w:val="auto"/>
              </w:rPr>
            </w:pPr>
            <w:r>
              <w:rPr>
                <w:rFonts w:ascii="Arial" w:cs="Arial" w:eastAsia="Arial" w:hAnsi="Arial"/>
                <w:sz w:val="18"/>
                <w:szCs w:val="18"/>
                <w:b w:val="1"/>
                <w:bCs w:val="1"/>
                <w:color w:val="auto"/>
                <w:w w:val="92"/>
              </w:rPr>
              <w:t>Nine Months Ended September 30, 2021</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80" w:type="dxa"/>
            <w:vAlign w:val="bottom"/>
            <w:gridSpan w:val="5"/>
            <w:vMerge w:val="restart"/>
          </w:tcPr>
          <w:p>
            <w:pPr>
              <w:jc w:val="right"/>
              <w:ind w:right="86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left="19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6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8"/>
              </w:rPr>
              <w:t>Income</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271,784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62,277</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334,062</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2,291</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234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Stock based compensation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under stock plans, net of shares</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(399)</w:t>
            </w:r>
          </w:p>
        </w:tc>
        <w:tc>
          <w:tcPr>
            <w:tcW w:w="14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7"/>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withheld for employee taxes</w:t>
            </w:r>
          </w:p>
        </w:tc>
        <w:tc>
          <w:tcPr>
            <w:tcW w:w="1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color w:val="auto"/>
              </w:rPr>
              <w:t>Balance at March 31, 2021</w:t>
            </w:r>
          </w:p>
        </w:tc>
        <w:tc>
          <w:tcPr>
            <w:tcW w:w="1140" w:type="dxa"/>
            <w:vAlign w:val="bottom"/>
          </w:tcPr>
          <w:p>
            <w:pPr>
              <w:jc w:val="right"/>
              <w:spacing w:after="0"/>
              <w:rPr>
                <w:sz w:val="20"/>
                <w:szCs w:val="20"/>
                <w:color w:val="auto"/>
              </w:rPr>
            </w:pPr>
            <w:r>
              <w:rPr>
                <w:rFonts w:ascii="Arial" w:cs="Arial" w:eastAsia="Arial" w:hAnsi="Arial"/>
                <w:sz w:val="18"/>
                <w:szCs w:val="18"/>
                <w:color w:val="auto"/>
              </w:rPr>
              <w:t>31,553</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272,001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64,569</w:t>
            </w: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235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336,805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2,441</w:t>
            </w:r>
          </w:p>
        </w:tc>
        <w:tc>
          <w:tcPr>
            <w:tcW w:w="9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351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Common stock issued under stock plans, net of shares</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withheld for employee taxes</w:t>
            </w:r>
          </w:p>
        </w:tc>
        <w:tc>
          <w:tcPr>
            <w:tcW w:w="11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272,783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67,010</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586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340,379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gridSpan w:val="2"/>
          </w:tcPr>
          <w:p>
            <w:pPr>
              <w:spacing w:after="0" w:line="196" w:lineRule="exact"/>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1,500</w:t>
            </w:r>
          </w:p>
        </w:tc>
        <w:tc>
          <w:tcPr>
            <w:tcW w:w="900" w:type="dxa"/>
            <w:vAlign w:val="bottom"/>
          </w:tcPr>
          <w:p>
            <w:pPr>
              <w:spacing w:after="0"/>
              <w:rPr>
                <w:sz w:val="17"/>
                <w:szCs w:val="17"/>
                <w:color w:val="auto"/>
              </w:rPr>
            </w:pPr>
          </w:p>
        </w:tc>
        <w:tc>
          <w:tcPr>
            <w:tcW w:w="5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Stock based compensation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862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under stock plans, net of shares</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7"/>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withheld for employee taxes</w:t>
            </w:r>
          </w:p>
        </w:tc>
        <w:tc>
          <w:tcPr>
            <w:tcW w:w="1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color w:val="auto"/>
              </w:rPr>
              <w:t>Balance at September 30, 2021</w:t>
            </w:r>
          </w:p>
        </w:tc>
        <w:tc>
          <w:tcPr>
            <w:tcW w:w="1140" w:type="dxa"/>
            <w:vAlign w:val="bottom"/>
          </w:tcPr>
          <w:p>
            <w:pPr>
              <w:jc w:val="right"/>
              <w:spacing w:after="0"/>
              <w:rPr>
                <w:sz w:val="20"/>
                <w:szCs w:val="20"/>
                <w:color w:val="auto"/>
              </w:rPr>
            </w:pPr>
            <w:r>
              <w:rPr>
                <w:rFonts w:ascii="Arial" w:cs="Arial" w:eastAsia="Arial" w:hAnsi="Arial"/>
                <w:sz w:val="18"/>
                <w:szCs w:val="18"/>
                <w:color w:val="auto"/>
              </w:rPr>
              <w:t>31,562</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273,573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68,510</w:t>
            </w: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342,198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68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rPr>
              <w:t>HEALTHSTREAM, INC.</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740" w:type="dxa"/>
            <w:vAlign w:val="bottom"/>
            <w:gridSpan w:val="12"/>
          </w:tcPr>
          <w:p>
            <w:pPr>
              <w:jc w:val="center"/>
              <w:ind w:right="60"/>
              <w:spacing w:after="0"/>
              <w:rPr>
                <w:sz w:val="20"/>
                <w:szCs w:val="20"/>
                <w:color w:val="auto"/>
              </w:rPr>
            </w:pPr>
            <w:r>
              <w:rPr>
                <w:rFonts w:ascii="Arial" w:cs="Arial" w:eastAsia="Arial" w:hAnsi="Arial"/>
                <w:sz w:val="18"/>
                <w:szCs w:val="18"/>
                <w:b w:val="1"/>
                <w:bCs w:val="1"/>
                <w:color w:val="auto"/>
                <w:w w:val="99"/>
              </w:rPr>
              <w:t>CONDENSED CONSOLIDATED STATEMENTS OF SHAREHOLDERS' EQUITY (UNAUDITED)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58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0"/>
              </w:rPr>
              <w:t>(In thousands)</w:t>
            </w:r>
          </w:p>
        </w:tc>
        <w:tc>
          <w:tcPr>
            <w:tcW w:w="3260" w:type="dxa"/>
            <w:vAlign w:val="bottom"/>
            <w:gridSpan w:val="6"/>
            <w:vMerge w:val="restart"/>
          </w:tcPr>
          <w:p>
            <w:pPr>
              <w:ind w:left="140"/>
              <w:spacing w:after="0"/>
              <w:rPr>
                <w:sz w:val="20"/>
                <w:szCs w:val="20"/>
                <w:color w:val="auto"/>
              </w:rPr>
            </w:pPr>
            <w:r>
              <w:rPr>
                <w:rFonts w:ascii="Arial" w:cs="Arial" w:eastAsia="Arial" w:hAnsi="Arial"/>
                <w:sz w:val="18"/>
                <w:szCs w:val="18"/>
                <w:b w:val="1"/>
                <w:bCs w:val="1"/>
                <w:color w:val="auto"/>
                <w:w w:val="90"/>
              </w:rPr>
              <w:t>Nine Months Ended September 30, 2020</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80" w:type="dxa"/>
            <w:vAlign w:val="bottom"/>
            <w:gridSpan w:val="5"/>
            <w:vMerge w:val="restart"/>
          </w:tcPr>
          <w:p>
            <w:pPr>
              <w:jc w:val="right"/>
              <w:ind w:right="86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ind w:left="250"/>
              <w:spacing w:after="0"/>
              <w:rPr>
                <w:sz w:val="20"/>
                <w:szCs w:val="20"/>
                <w:color w:val="auto"/>
              </w:rPr>
            </w:pPr>
            <w:r>
              <w:rPr>
                <w:rFonts w:ascii="Arial" w:cs="Arial" w:eastAsia="Arial" w:hAnsi="Arial"/>
                <w:sz w:val="18"/>
                <w:szCs w:val="18"/>
                <w:b w:val="1"/>
                <w:bCs w:val="1"/>
                <w:color w:val="auto"/>
                <w:w w:val="95"/>
              </w:rPr>
              <w:t>Other</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6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32,379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48,143</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338,168</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7,092</w:t>
            </w:r>
          </w:p>
        </w:tc>
        <w:tc>
          <w:tcPr>
            <w:tcW w:w="8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7,092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(145)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Stock based compensation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under stock plans, net of shares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withheld for employee taxes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Repurchase of common stock</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(9,876)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(9,876)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280,322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55,235</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(141)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335,416</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gridSpan w:val="2"/>
          </w:tcPr>
          <w:p>
            <w:pPr>
              <w:spacing w:after="0" w:line="196" w:lineRule="exact"/>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3,442</w:t>
            </w:r>
          </w:p>
        </w:tc>
        <w:tc>
          <w:tcPr>
            <w:tcW w:w="840" w:type="dxa"/>
            <w:vAlign w:val="bottom"/>
          </w:tcPr>
          <w:p>
            <w:pPr>
              <w:spacing w:after="0"/>
              <w:rPr>
                <w:sz w:val="17"/>
                <w:szCs w:val="17"/>
                <w:color w:val="auto"/>
              </w:rPr>
            </w:pPr>
          </w:p>
        </w:tc>
        <w:tc>
          <w:tcPr>
            <w:tcW w:w="5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3,442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Stock based compensation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Arial" w:cs="Arial" w:eastAsia="Arial" w:hAnsi="Arial"/>
                <w:sz w:val="18"/>
                <w:szCs w:val="18"/>
                <w:color w:val="auto"/>
              </w:rPr>
              <w:t>Balance at June 30, 2020</w:t>
            </w:r>
          </w:p>
        </w:tc>
        <w:tc>
          <w:tcPr>
            <w:tcW w:w="1140" w:type="dxa"/>
            <w:vAlign w:val="bottom"/>
          </w:tcPr>
          <w:p>
            <w:pPr>
              <w:jc w:val="right"/>
              <w:spacing w:after="0"/>
              <w:rPr>
                <w:sz w:val="20"/>
                <w:szCs w:val="20"/>
                <w:color w:val="auto"/>
              </w:rPr>
            </w:pPr>
            <w:r>
              <w:rPr>
                <w:rFonts w:ascii="Arial" w:cs="Arial" w:eastAsia="Arial" w:hAnsi="Arial"/>
                <w:sz w:val="18"/>
                <w:szCs w:val="18"/>
                <w:color w:val="auto"/>
              </w:rPr>
              <w:t>31,997</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280,746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58,677</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339,424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2,634</w:t>
            </w:r>
          </w:p>
        </w:tc>
        <w:tc>
          <w:tcPr>
            <w:tcW w:w="8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Dividend forfeitures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8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Stock based compensation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under stock plans, net of shares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withheld for employee taxes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Repurchase of common stock</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(319)</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(6,343)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(6,343)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274,905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61,354</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336,265</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rPr>
              <w:t>HEALTHSTREAM,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9"/>
              </w:rPr>
              <w:t>CONDENSED CONSOLIDATED STATEMENTS OF CASH FLOWS (UNAUDITED)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6,232</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13,168</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27,443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22,005</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Amortization of deferred commissions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6,900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6,555</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doubtful accounts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2,066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2,330</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non-marketable equity investments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Non-cash paid time off expense</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Non-cash royalty expense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(3,440)</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Change in fair value of non-marketable equity investments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(1,181)</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and unbilled receivables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Prepaid royalties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1,394</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prepaid expenses and other current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Deferred commissions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(9,854)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(6,693)</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(3,062)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(450)</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royalties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(3,218)</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(6,223)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(3,142)</w:t>
            </w:r>
          </w:p>
        </w:tc>
      </w:tr>
      <w:tr>
        <w:trPr>
          <w:trHeight w:val="210"/>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30,753</w:t>
            </w: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Business combinations, net of cash acquired</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(21,449)</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maturities of marketable securities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59,522</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(5,223)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(61,178)</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to acquire non-marketable equity investments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Payments to acquire equity method investments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(1,750)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(12,366)</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(2,602)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(1,734)</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(38,462)</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(429)</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(16,352)</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Payment of cash dividends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(16,821)</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18,893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(24,531)</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55,459</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107,007</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SUPPLEMENTAL CASH FLOW INFORMATION: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Non-cash additions to non-marketable equity investments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w:t>
      </w:r>
      <w:r>
        <w:rPr>
          <w:rFonts w:ascii="MS PGothic" w:cs="MS PGothic" w:eastAsia="MS PGothic" w:hAnsi="MS PGothic"/>
          <w:sz w:val="17"/>
          <w:szCs w:val="17"/>
          <w:color w:val="auto"/>
        </w:rPr>
        <w:t>‑</w:t>
      </w:r>
      <w:r>
        <w:rPr>
          <w:rFonts w:ascii="Arial" w:cs="Arial" w:eastAsia="Arial" w:hAnsi="Arial"/>
          <w:sz w:val="17"/>
          <w:szCs w:val="17"/>
          <w:color w:val="auto"/>
        </w:rPr>
        <w:t>Q and Article 10 of Regulation S</w:t>
      </w:r>
      <w:r>
        <w:rPr>
          <w:rFonts w:ascii="MS PGothic" w:cs="MS PGothic" w:eastAsia="MS PGothic" w:hAnsi="MS PGothic"/>
          <w:sz w:val="17"/>
          <w:szCs w:val="17"/>
          <w:color w:val="auto"/>
        </w:rPr>
        <w:t>‑</w:t>
      </w:r>
      <w:r>
        <w:rPr>
          <w:rFonts w:ascii="Arial" w:cs="Arial" w:eastAsia="Arial" w:hAnsi="Arial"/>
          <w:sz w:val="17"/>
          <w:szCs w:val="17"/>
          <w:color w:val="auto"/>
        </w:rPr>
        <w:t>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Operating results for the three and nine months ended September 30, 2021 are not necessarily indicative of the results that may be expected for the year ending December 31, 2021.</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Condensed Consolidated Balance Sheet at December 31, 2020 was derived from the audited Consolidated Financial Statements at that date but does not include all of the information and footnotes required by US GAAP for a complete set of financial statements. For further information, refer to the Consolidated Financial Statements and Notes thereto for the year ended December 31, 2020 (included in the Company's Annual Report on Form 10-K, filed with the Securities and Exchange Commission on February 25,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AND SALES COMMISSIONS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the customer in an amount that reflects the consideration the Company expects to be entitled in exchange for transferring those goods or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recognized based on the following five step model:</w:t>
      </w:r>
    </w:p>
    <w:p>
      <w:pPr>
        <w:spacing w:after="0" w:line="225" w:lineRule="exact"/>
        <w:rPr>
          <w:sz w:val="20"/>
          <w:szCs w:val="20"/>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with a customer</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revenues disaggregated by revenue source (in thousands). Sales taxes are excluded from revenues.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1"/>
              </w:rPr>
              <w:t>Three Months Ended September 30, 2021</w:t>
            </w:r>
          </w:p>
        </w:tc>
        <w:tc>
          <w:tcPr>
            <w:tcW w:w="120" w:type="dxa"/>
            <w:vAlign w:val="bottom"/>
          </w:tcPr>
          <w:p>
            <w:pPr>
              <w:spacing w:after="0"/>
              <w:rPr>
                <w:sz w:val="20"/>
                <w:szCs w:val="20"/>
                <w:color w:val="auto"/>
              </w:rPr>
            </w:pPr>
          </w:p>
        </w:tc>
        <w:tc>
          <w:tcPr>
            <w:tcW w:w="342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0"/>
              </w:rPr>
              <w:t>Nine Months Ended September 30, 2021</w:t>
            </w:r>
          </w:p>
        </w:tc>
      </w:tr>
      <w:tr>
        <w:trPr>
          <w:trHeight w:val="191"/>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rPr>
              <w:t>Workforce</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Provider</w:t>
            </w:r>
          </w:p>
        </w:tc>
        <w:tc>
          <w:tcPr>
            <w:tcW w:w="3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top w:val="single" w:sz="8" w:color="auto"/>
            </w:tcBorders>
            <w:gridSpan w:val="3"/>
          </w:tcPr>
          <w:p>
            <w:pPr>
              <w:jc w:val="right"/>
              <w:ind w:right="300"/>
              <w:spacing w:after="0" w:line="191" w:lineRule="exact"/>
              <w:rPr>
                <w:sz w:val="20"/>
                <w:szCs w:val="20"/>
                <w:color w:val="auto"/>
              </w:rPr>
            </w:pPr>
            <w:r>
              <w:rPr>
                <w:rFonts w:ascii="Arial" w:cs="Arial" w:eastAsia="Arial" w:hAnsi="Arial"/>
                <w:sz w:val="18"/>
                <w:szCs w:val="18"/>
                <w:b w:val="1"/>
                <w:bCs w:val="1"/>
                <w:color w:val="auto"/>
              </w:rPr>
              <w:t>Workforce</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Provider</w:t>
            </w: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820" w:type="dxa"/>
            <w:vAlign w:val="bottom"/>
          </w:tcPr>
          <w:p>
            <w:pPr>
              <w:spacing w:after="0"/>
              <w:rPr>
                <w:sz w:val="20"/>
                <w:szCs w:val="20"/>
                <w:color w:val="auto"/>
              </w:rPr>
            </w:pPr>
            <w:r>
              <w:rPr>
                <w:rFonts w:ascii="Arial" w:cs="Arial" w:eastAsia="Arial" w:hAnsi="Arial"/>
                <w:sz w:val="18"/>
                <w:szCs w:val="18"/>
                <w:b w:val="1"/>
                <w:bCs w:val="1"/>
                <w:color w:val="auto"/>
              </w:rPr>
              <w:t>Business Segments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Solutions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Solutions</w:t>
            </w:r>
          </w:p>
        </w:tc>
        <w:tc>
          <w:tcPr>
            <w:tcW w:w="24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Consolidated</w:t>
            </w:r>
          </w:p>
        </w:tc>
        <w:tc>
          <w:tcPr>
            <w:tcW w:w="1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7"/>
              </w:rPr>
              <w:t>Solutions</w:t>
            </w: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Solutions</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4"/>
              </w:rPr>
              <w:t>Consolidated</w:t>
            </w:r>
          </w:p>
        </w:tc>
      </w:tr>
      <w:tr>
        <w:trPr>
          <w:trHeight w:val="20"/>
        </w:trPr>
        <w:tc>
          <w:tcPr>
            <w:tcW w:w="3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Subscription services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10,973</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150,239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32,475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182,714</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1,963</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3,389</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5,340</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9,660</w:t>
            </w: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12,936</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154,559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37,815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192,374</w:t>
            </w:r>
          </w:p>
        </w:tc>
      </w:tr>
      <w:tr>
        <w:trPr>
          <w:trHeight w:val="20"/>
        </w:trPr>
        <w:tc>
          <w:tcPr>
            <w:tcW w:w="3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1"/>
              </w:rPr>
              <w:t>Three Months Ended September 30, 2020</w:t>
            </w:r>
          </w:p>
        </w:tc>
        <w:tc>
          <w:tcPr>
            <w:tcW w:w="120" w:type="dxa"/>
            <w:vAlign w:val="bottom"/>
          </w:tcPr>
          <w:p>
            <w:pPr>
              <w:spacing w:after="0"/>
              <w:rPr>
                <w:sz w:val="20"/>
                <w:szCs w:val="20"/>
                <w:color w:val="auto"/>
              </w:rPr>
            </w:pPr>
          </w:p>
        </w:tc>
        <w:tc>
          <w:tcPr>
            <w:tcW w:w="342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0"/>
              </w:rPr>
              <w:t>Nine Months Ended September 30, 2020</w:t>
            </w:r>
          </w:p>
        </w:tc>
      </w:tr>
      <w:tr>
        <w:trPr>
          <w:trHeight w:val="191"/>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rPr>
              <w:t>Workforce</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Provider</w:t>
            </w:r>
          </w:p>
        </w:tc>
        <w:tc>
          <w:tcPr>
            <w:tcW w:w="3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top w:val="single" w:sz="8" w:color="auto"/>
            </w:tcBorders>
            <w:gridSpan w:val="3"/>
          </w:tcPr>
          <w:p>
            <w:pPr>
              <w:jc w:val="right"/>
              <w:ind w:right="300"/>
              <w:spacing w:after="0" w:line="191" w:lineRule="exact"/>
              <w:rPr>
                <w:sz w:val="20"/>
                <w:szCs w:val="20"/>
                <w:color w:val="auto"/>
              </w:rPr>
            </w:pPr>
            <w:r>
              <w:rPr>
                <w:rFonts w:ascii="Arial" w:cs="Arial" w:eastAsia="Arial" w:hAnsi="Arial"/>
                <w:sz w:val="18"/>
                <w:szCs w:val="18"/>
                <w:b w:val="1"/>
                <w:bCs w:val="1"/>
                <w:color w:val="auto"/>
              </w:rPr>
              <w:t>Workforce</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Provider</w:t>
            </w: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820" w:type="dxa"/>
            <w:vAlign w:val="bottom"/>
          </w:tcPr>
          <w:p>
            <w:pPr>
              <w:spacing w:after="0"/>
              <w:rPr>
                <w:sz w:val="20"/>
                <w:szCs w:val="20"/>
                <w:color w:val="auto"/>
              </w:rPr>
            </w:pPr>
            <w:r>
              <w:rPr>
                <w:rFonts w:ascii="Arial" w:cs="Arial" w:eastAsia="Arial" w:hAnsi="Arial"/>
                <w:sz w:val="18"/>
                <w:szCs w:val="18"/>
                <w:b w:val="1"/>
                <w:bCs w:val="1"/>
                <w:color w:val="auto"/>
              </w:rPr>
              <w:t>Business Segments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Solutions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Solutions</w:t>
            </w:r>
          </w:p>
        </w:tc>
        <w:tc>
          <w:tcPr>
            <w:tcW w:w="24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Consolidated</w:t>
            </w:r>
          </w:p>
        </w:tc>
        <w:tc>
          <w:tcPr>
            <w:tcW w:w="1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7"/>
              </w:rPr>
              <w:t>Solutions</w:t>
            </w: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Solutions</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4"/>
              </w:rPr>
              <w:t>Consolidated</w:t>
            </w:r>
          </w:p>
        </w:tc>
      </w:tr>
      <w:tr>
        <w:trPr>
          <w:trHeight w:val="20"/>
        </w:trPr>
        <w:tc>
          <w:tcPr>
            <w:tcW w:w="3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Subscription services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9,999</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144,945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29,937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174,882</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1,687</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2,638</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2,964</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5,162</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8,126</w:t>
            </w: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49,197</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11,686</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147,909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35,099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183,008</w:t>
            </w:r>
          </w:p>
        </w:tc>
      </w:tr>
      <w:tr>
        <w:trPr>
          <w:trHeight w:val="20"/>
        </w:trPr>
        <w:tc>
          <w:tcPr>
            <w:tcW w:w="3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2021 and 2020, the Company recognized $0.1 million and $0.2 million in impairment losses on receivables and contract assets arising from the Company’s contracts with customers, respectively.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revenue represents contract liabilities that are recorded when cash payments are received or are due in advance of our satisfaction of performance obligations. During the three months ended September 30, 2021 and 2020, we recognized revenues of approximately $39.4 million and $34.4 million, respectively, from amounts included in deferred revenue at the beginning of the respective periods. During the nine months ended September 30, 2021 and 2020, we recognized $59.3 million and $60.5 million of revenue from amounts included in deferred revenues at the beginning of the respective periods. As of September 30, 2021, approximately $446 million of revenue is expected to be recognized from remaining performance obligations under contracts with customers. We expect to recognize revenue related to approximately 46% of these remaining performance obligations over the next 12 months, with the remaining amounts recognized thereafter.</w:t>
      </w:r>
    </w:p>
    <w:p>
      <w:pPr>
        <w:sectPr>
          <w:pgSz w:w="11900" w:h="16838" w:orient="portrait"/>
          <w:cols w:equalWidth="0" w:num="1">
            <w:col w:w="11240"/>
          </w:cols>
          <w:pgMar w:left="320" w:top="125" w:right="3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Commissions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Sales commissions earned by our sales force are considered incremental and recoverable costs of obtaining a contract with a customer. Under ASC 606, costs to acquire contracts with customers, such as the initial sales commission payment and associated payroll taxes, are capitalized in the period a customer contract is entered into and are amortized consistent with the transfer of the goods or services to the customer over the expected period of benefit, whereas subsequent sales commission payments which require a substantive performance condition of the employee are expensed ratably through the payment date. Capitalized contract costs are included in deferred commissions in the accompanying Condensed Consolidated Balance Sheets. The expected period of benefit is the contract term, except when the capitalized commission is expected to provide economic benefit to the Company for a period longer than the contract term, such as for new customer or incremental sales where renewals are expected and renewal commissions are not commensurate with initial commissions. Non-commensurate commissions are amortized over the greater of the contract term or technological obsolescence period of approximately three years. The Company recorded amortization of deferred commissions of approximately $2.4 million and $2.3 million for the three months ended September 30, 2021 and 2020, and $6.9 million and $6.6 million for the nine months ended September 30, 2021 and 2020, respectively, which is included in sales and marketing expenses in the accompanying Condensed Consolidated Statements of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computes its interim period provision for income taxes by applying the estimated annual effective tax rate to year-to-date pretax income or loss and adjusts the provision for discrete tax items recorded in the period. During the three months ended September 30, 2021 and 2020, the Company recorded a provision for income taxes of approximately $0.2 million and $0.6 million, respectively. During the nine months ended September 30, 2021 and 2020, the Company recorded a provision for income taxes of $2.0 million and $3.5 million, respectively. The Company’s effective tax rate for the nine months ended September 30, 2021 and 2020 was 25% and 21%, respectively. The Company’s effective tax rate primarily reflects the statutory corporate income tax rate, the net effect of state taxes, foreign income taxes, and the effect of various permanent tax differences. During the nine months ended September 30, 2021, the Company recorded discrete tax expense of $0.2 million, which included purchase accounting adjustments, changes in state tax rates enacted during the period, and lower research and development tax credits recognized than previously estimated. During the nine months ended September 30, 2020, the Company recorded a $1.2 million change in fair value of non-marketable equity investments as a result of the NurseGrid acquisition, which is not a taxable transaction, resulting in a tax benefit of $0.3 million, and recognized tax benefits resulting from higher research and development tax credits than previously estimated.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stock awards outstanding under its 2016 Omnibus Incentive Plan. The Company accounts for its stock based compensation plan using the fair-value based method for costs related to share based payments, including restricted share units (“RSUs”). During the nine months ended September 30, 2021, the Company issued 129,906 RSUs, subject to service-based time vesting, with a weighted average grant date fair value of $23.44 per share, measured based on the closing fair market value of the Company’s stock on the date of grant. During the nine months ended September 30, 2020, the Company issued 114,784 RSUs, subject to service-based time vesting, with a weighted average grant date fair value of $22.94 per share, measured based on the closing fair market value of the Company’s stock on the date of grant.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020" w:type="dxa"/>
            <w:vAlign w:val="bottom"/>
            <w:gridSpan w:val="12"/>
          </w:tcPr>
          <w:p>
            <w:pPr>
              <w:spacing w:after="0"/>
              <w:rPr>
                <w:sz w:val="20"/>
                <w:szCs w:val="20"/>
                <w:color w:val="auto"/>
              </w:rPr>
            </w:pPr>
            <w:r>
              <w:rPr>
                <w:rFonts w:ascii="Arial" w:cs="Arial" w:eastAsia="Arial" w:hAnsi="Arial"/>
                <w:sz w:val="18"/>
                <w:szCs w:val="18"/>
                <w:color w:val="auto"/>
                <w:w w:val="92"/>
              </w:rPr>
              <w:t>Total stock based compensation expense recognized in the Condensed Consolidated Statements of Income is as follows (in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720" w:type="dxa"/>
            <w:vAlign w:val="bottom"/>
            <w:gridSpan w:val="7"/>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4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8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Product development</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644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1,190</w:t>
            </w:r>
          </w:p>
        </w:tc>
      </w:tr>
      <w:tr>
        <w:trPr>
          <w:trHeight w:val="20"/>
        </w:trPr>
        <w:tc>
          <w:tcPr>
            <w:tcW w:w="4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 based compensation expense</w:t>
            </w:r>
          </w:p>
        </w:tc>
        <w:tc>
          <w:tcPr>
            <w:tcW w:w="18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862</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w:t>
            </w:r>
          </w:p>
        </w:tc>
      </w:tr>
      <w:tr>
        <w:trPr>
          <w:trHeight w:val="413"/>
        </w:trPr>
        <w:tc>
          <w:tcPr>
            <w:tcW w:w="494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rPr>
              <w:t>8</w:t>
            </w:r>
          </w:p>
        </w:tc>
        <w:tc>
          <w:tcPr>
            <w:tcW w:w="8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9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26,000 and 115,000 for the three months ended September 30, 2021 and 2020, respectively, and 95,000 and 112,000 for the nine months ended September 30, 2021 and 2020, respectively.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80" w:type="dxa"/>
            <w:vAlign w:val="bottom"/>
            <w:gridSpan w:val="8"/>
          </w:tcPr>
          <w:p>
            <w:pPr>
              <w:spacing w:after="0"/>
              <w:rPr>
                <w:sz w:val="20"/>
                <w:szCs w:val="20"/>
                <w:color w:val="auto"/>
              </w:rPr>
            </w:pPr>
            <w:r>
              <w:rPr>
                <w:rFonts w:ascii="Arial" w:cs="Arial" w:eastAsia="Arial" w:hAnsi="Arial"/>
                <w:sz w:val="18"/>
                <w:szCs w:val="18"/>
                <w:color w:val="auto"/>
                <w:w w:val="90"/>
              </w:rPr>
              <w:t>The following table sets forth the computation of basic and diluted earnings per share (in thousands, except per share data):</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1,500</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2,634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6,232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13,168</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Weighted-average shares outstanding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31,558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31,955</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31,538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32,095</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dilutive shares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Weighted-average diluted shares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31,684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31,981</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31,609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32,121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ind w:left="180"/>
              <w:spacing w:after="0" w:line="196" w:lineRule="exact"/>
              <w:rPr>
                <w:sz w:val="20"/>
                <w:szCs w:val="20"/>
                <w:color w:val="auto"/>
              </w:rPr>
            </w:pPr>
            <w:r>
              <w:rPr>
                <w:rFonts w:ascii="Arial" w:cs="Arial" w:eastAsia="Arial" w:hAnsi="Arial"/>
                <w:sz w:val="18"/>
                <w:szCs w:val="18"/>
                <w:color w:val="auto"/>
              </w:rPr>
              <w:t>Diluted</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0.05</w:t>
            </w:r>
          </w:p>
        </w:tc>
        <w:tc>
          <w:tcPr>
            <w:tcW w:w="5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0.08</w:t>
            </w:r>
          </w:p>
        </w:tc>
        <w:tc>
          <w:tcPr>
            <w:tcW w:w="2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0.20</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0.41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marketable securities, which were all classified as available for sale and which the Company does not intend to sell nor will the Company be required to sell prior to recovery of their amortized cost basis, included the following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b w:val="1"/>
                <w:bCs w:val="1"/>
                <w:color w:val="auto"/>
                <w:w w:val="96"/>
              </w:rPr>
              <w:t>September 30, 2021</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Cash and</w:t>
            </w:r>
          </w:p>
        </w:tc>
        <w:tc>
          <w:tcPr>
            <w:tcW w:w="100" w:type="dxa"/>
            <w:vAlign w:val="bottom"/>
          </w:tcPr>
          <w:p>
            <w:pPr>
              <w:spacing w:after="0"/>
              <w:rPr>
                <w:sz w:val="16"/>
                <w:szCs w:val="16"/>
                <w:color w:val="auto"/>
              </w:rPr>
            </w:pPr>
          </w:p>
        </w:tc>
        <w:tc>
          <w:tcPr>
            <w:tcW w:w="9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5"/>
              </w:rPr>
              <w:t>Current</w:t>
            </w:r>
          </w:p>
        </w:tc>
        <w:tc>
          <w:tcPr>
            <w:tcW w:w="100" w:type="dxa"/>
            <w:vAlign w:val="bottom"/>
          </w:tcPr>
          <w:p>
            <w:pPr>
              <w:spacing w:after="0"/>
              <w:rPr>
                <w:sz w:val="16"/>
                <w:szCs w:val="16"/>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Adjusted</w:t>
            </w: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Cash</w:t>
            </w: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5"/>
              </w:rPr>
              <w:t>Marketable</w:t>
            </w:r>
          </w:p>
        </w:tc>
      </w:tr>
      <w:tr>
        <w:trPr>
          <w:trHeight w:val="234"/>
        </w:trPr>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Cost</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Gains</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Equivalents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20"/>
                <w:szCs w:val="20"/>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55,459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Level 2:</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5,095</w:t>
            </w:r>
          </w:p>
        </w:tc>
      </w:tr>
      <w:tr>
        <w:trPr>
          <w:trHeight w:val="20"/>
        </w:trPr>
        <w:tc>
          <w:tcPr>
            <w:tcW w:w="39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60,555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60,554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55,459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5,095</w:t>
            </w: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b w:val="1"/>
                <w:bCs w:val="1"/>
                <w:color w:val="auto"/>
                <w:w w:val="97"/>
              </w:rPr>
              <w:t>December 31, 2020</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Cash and</w:t>
            </w:r>
          </w:p>
        </w:tc>
        <w:tc>
          <w:tcPr>
            <w:tcW w:w="100" w:type="dxa"/>
            <w:vAlign w:val="bottom"/>
          </w:tcPr>
          <w:p>
            <w:pPr>
              <w:spacing w:after="0"/>
              <w:rPr>
                <w:sz w:val="16"/>
                <w:szCs w:val="16"/>
                <w:color w:val="auto"/>
              </w:rPr>
            </w:pPr>
          </w:p>
        </w:tc>
        <w:tc>
          <w:tcPr>
            <w:tcW w:w="9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5"/>
              </w:rPr>
              <w:t>Current</w:t>
            </w:r>
          </w:p>
        </w:tc>
        <w:tc>
          <w:tcPr>
            <w:tcW w:w="100" w:type="dxa"/>
            <w:vAlign w:val="bottom"/>
          </w:tcPr>
          <w:p>
            <w:pPr>
              <w:spacing w:after="0"/>
              <w:rPr>
                <w:sz w:val="16"/>
                <w:szCs w:val="16"/>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Adjusted</w:t>
            </w: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Cash</w:t>
            </w: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5"/>
              </w:rPr>
              <w:t>Marketable</w:t>
            </w:r>
          </w:p>
        </w:tc>
      </w:tr>
      <w:tr>
        <w:trPr>
          <w:trHeight w:val="234"/>
        </w:trPr>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Cost</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Gains</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Equivalents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20"/>
                <w:szCs w:val="20"/>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Level 2:</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Time deposits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10,021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10,021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5,013</w:t>
            </w:r>
          </w:p>
        </w:tc>
      </w:tr>
      <w:tr>
        <w:trPr>
          <w:trHeight w:val="216"/>
        </w:trPr>
        <w:tc>
          <w:tcPr>
            <w:tcW w:w="394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4,915</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4,915</w:t>
            </w: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9,928</w:t>
            </w: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amounts reported in the Condensed Consolidated Balance Sheets approximate the fair value based on quoted market prices or alternative pricing sources and models utilizing market observable inputs. As of September 30, 2021, the Company did not recognize any allowance for credit impairments on its available for sale debt securities. All investments in marketable securities are classified as current assets on the Condensed Consolidated Balance Sheets because the underlying securities mature within one year from the balance sheet date.</w:t>
      </w:r>
    </w:p>
    <w:p>
      <w:pPr>
        <w:sectPr>
          <w:pgSz w:w="11900" w:h="16838" w:orient="portrait"/>
          <w:cols w:equalWidth="0" w:num="1">
            <w:col w:w="11240"/>
          </w:cols>
          <w:pgMar w:left="320" w:top="125" w:right="3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NurseGrid</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9, 2020, the Company acquired all of the outstanding stock of HcT2 Co. dba NurseGrid (“NurseGrid”), a Portland, Oregon-based healthcare technology company offering NurseGrid Mobile and its corollary application for nurse managers, NurseGrid Enterprise, for net cash consideration of approximately $21.5 million, after giving effect to the post-closing working capital adjustment. The Company accounted for this transaction as a business combination achieved in stages which required the Company to remeasure its previously existing minority ownership interest, which was accounted for as a non-marketable equity investment measured using the fair value alternative, to fair value at the acquisition date based on the total enterprise value, adjusting for a control premium. The fair value of the Company’s interest in NurseGrid was $3.6 million at closing, resulting in a gain of $1.2 million, recorded as a change in fair value of non-marketable equity investments in the Company’s Condensed Consolidated Statement of Income during the three months ended March 31, 2020. Additionally, the Company’s previously recorded non-marketable equity investment in NurseGrid was de-recognized from the Company’s Condensed Consolidated Balance Sheet during the same period. Acquisition-related transaction costs were $0.2 million. The financial results of NurseGrid have been included in the Workforce Solutions segment from March 9, 2020.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A summary of the purchase price is as follows (in thousands):</w:t>
            </w: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paid at closing</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25,485</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Post-closing adjustment, net of cash received</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acquired</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(4,064)</w:t>
            </w:r>
          </w:p>
        </w:tc>
      </w:tr>
      <w:tr>
        <w:trPr>
          <w:trHeight w:val="210"/>
        </w:trPr>
        <w:tc>
          <w:tcPr>
            <w:tcW w:w="96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Net consideration paid</w:t>
            </w: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21,454</w:t>
            </w:r>
          </w:p>
        </w:tc>
        <w:tc>
          <w:tcPr>
            <w:tcW w:w="100" w:type="dxa"/>
            <w:vAlign w:val="bottom"/>
            <w:tcBorders>
              <w:top w:val="single" w:sz="8" w:color="CCEEFF"/>
            </w:tcBorders>
          </w:tcPr>
          <w:p>
            <w:pPr>
              <w:spacing w:after="0"/>
              <w:rPr>
                <w:sz w:val="18"/>
                <w:szCs w:val="18"/>
                <w:color w:val="auto"/>
              </w:rPr>
            </w:pP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existing equity interest in NurseGrid</w:t>
            </w: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680" w:type="dxa"/>
            <w:vAlign w:val="bottom"/>
          </w:tcPr>
          <w:p>
            <w:pPr>
              <w:ind w:left="340"/>
              <w:spacing w:after="0"/>
              <w:rPr>
                <w:sz w:val="20"/>
                <w:szCs w:val="20"/>
                <w:color w:val="auto"/>
              </w:rPr>
            </w:pPr>
            <w:r>
              <w:rPr>
                <w:rFonts w:ascii="Arial" w:cs="Arial" w:eastAsia="Arial" w:hAnsi="Arial"/>
                <w:sz w:val="18"/>
                <w:szCs w:val="18"/>
                <w:color w:val="auto"/>
              </w:rPr>
              <w:t>Net consideration paid</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25,077</w:t>
            </w:r>
          </w:p>
        </w:tc>
        <w:tc>
          <w:tcPr>
            <w:tcW w:w="10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the assets acquired and liabilities assumed as of the date of acquisition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Accounts and unbilled receivable, net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Prepaid and other current assets</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Deferred tax assets</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21,085</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Intangible assets</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Deferred revenue</w:t>
            </w: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10"/>
        </w:trPr>
        <w:tc>
          <w:tcPr>
            <w:tcW w:w="96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Net assets acquired</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25,077</w:t>
            </w:r>
          </w:p>
        </w:tc>
        <w:tc>
          <w:tcPr>
            <w:tcW w:w="100" w:type="dxa"/>
            <w:vAlign w:val="bottom"/>
            <w:tcBorders>
              <w:top w:val="single" w:sz="8" w:color="CCEEFF"/>
            </w:tcBorders>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excess of purchase price over the fair values of net tangible and intangible assets is recorded as goodwill. The fair values of tangible and identifiable intangible assets and liabilities are based on management’s estimates and assumptions. The primary intangible assets acquired were developed technology and trade name. The fair value estimate for developed technology intangible asset included significant assumptions, including the estimate of employee hours that would be needed to recreate the technology. The fair value estimate for trade name intangible asset included significant assumptions in the prospective financial information, such as projected revenues, royalty rate, and the discount rate. Additionally, these assumptions are forward looking and could be affected by future economic and market conditions. The goodwill balance is primarily attributed to the assembled workforce, future market opportunities to engage and support the NurseGrid Mobile user community, and expected synergies from integrating NurseGrid with other combined functional areas within the Company. The goodwill balance is not deductible for U.S. income tax purposes. The net tangible assets include deferred revenue, which was adjusted down from a book value at the acquisition date of $157,000 to an estimated fair value of $78,000. The $79,000 write-down of deferred revenue will result in lower revenues than would have otherwise been recognized for such services.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identifiable intangible assets and their estimated useful lives as of the acquisition date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ind w:left="220"/>
              <w:spacing w:after="0"/>
              <w:rPr>
                <w:sz w:val="20"/>
                <w:szCs w:val="20"/>
                <w:color w:val="auto"/>
              </w:rPr>
            </w:pPr>
            <w:r>
              <w:rPr>
                <w:rFonts w:ascii="Arial" w:cs="Arial" w:eastAsia="Arial" w:hAnsi="Arial"/>
                <w:sz w:val="18"/>
                <w:szCs w:val="18"/>
                <w:b w:val="1"/>
                <w:bCs w:val="1"/>
                <w:color w:val="auto"/>
              </w:rPr>
              <w:t>Useful life (in</w:t>
            </w:r>
          </w:p>
        </w:tc>
      </w:tr>
      <w:tr>
        <w:trPr>
          <w:trHeight w:val="234"/>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Developed technology</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1,110</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Indefinite</w:t>
            </w: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unaudited pro forma financial information summarizes the results of operations of the Company and NurseGrid as though the companies were combined as of January 1, 2019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64,091</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192,379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183,133</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1,500</w:t>
            </w:r>
          </w:p>
        </w:tc>
        <w:tc>
          <w:tcPr>
            <w:tcW w:w="5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2,648</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6,236</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12,632</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per share - basic</w:t>
            </w: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5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0.08</w:t>
            </w: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0.39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Arial" w:cs="Arial" w:eastAsia="Arial" w:hAnsi="Arial"/>
                <w:sz w:val="18"/>
                <w:szCs w:val="18"/>
                <w:color w:val="auto"/>
              </w:rPr>
              <w:t>Net income per share - diluted</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0.05</w:t>
            </w:r>
          </w:p>
        </w:tc>
        <w:tc>
          <w:tcPr>
            <w:tcW w:w="5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0.08</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0.20</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0.39</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unaudited pro forma combined results of operations include certain adjustments arising from the acquisition, such as amortization of intangible assets, depreciation of property and equipment, interest expense related to NurseGrid’s previously outstanding debt, and fair value adjustments of acquired deferred revenue balances. The unaudited pro forma combined results of operations is for informational purposes only and is not indicative of what the Company’s results of operations would have been had the transaction occurred at the beginning of the earliest period presented or to project the Company’s results of operations in any future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ShiftWizard</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October 12, 2020, the Company acquired all of the outstanding stock of ShiftWizard, Inc., a Raleigh, North Carolina-based healthcare technology company offering a SaaS-based solution that integrates key workforce management capabilities, including scheduling, productivity, and forecasting. The consideration paid for ShiftWizard consisted of $30.5 million in cash after giving effect to the post-closing working capital adjustment. Acquisition-related transaction costs were $0.3 million. The financial results of ShiftWizard have been included in the Workforce Solutions segment from October 12,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the assets acquired and liabilities assumed as of the date of acquisition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Accounts and unbilled receivable, net</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Prepaid assets</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Indemnification assets</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19,307</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Intangible asset</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12,660</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Deferred revenue</w:t>
            </w: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(1,601)</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(1,559)</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Indemnification liability</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w:t>
            </w:r>
          </w:p>
        </w:tc>
      </w:tr>
      <w:tr>
        <w:trPr>
          <w:trHeight w:val="209"/>
        </w:trPr>
        <w:tc>
          <w:tcPr>
            <w:tcW w:w="96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Net assets acquired</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30,492</w:t>
            </w:r>
          </w:p>
        </w:tc>
        <w:tc>
          <w:tcPr>
            <w:tcW w:w="100" w:type="dxa"/>
            <w:vAlign w:val="bottom"/>
            <w:tcBorders>
              <w:top w:val="single" w:sz="8" w:color="CCEEFF"/>
            </w:tcBorders>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excess of purchase price over the fair values of net tangible and intangible assets is recorded as goodwill. The fair values of tangible and identifiable intangible assets and liabilities are based on management’s estimates and assumptions. Included in the assets and liabilities is an indemnification asset and liability of $0.5 million associated with a Paycheck Protection Program loan pending forgiveness as of the acquisition date that was subsequently forgiven. The primary intangible assets acquired were customer relationships and developed technology. The fair value estimate for customer relationships intangible asset included significant assumptions in the prospective financial information, such as revenue growth, customer attrition, EBITDA margin, and the discount rate. The fair value estimate for developed technology intangible asset included significant assumptions, including the estimate of employee hours that would be needed to recreate the technology. Additionally, these assumptions are forward looking and could be affected by future economic and market conditions. The goodwill balance is primarily attributed to the assembled workforce, additional market opportunities from offering ShiftWizard products, and expected synergies from integrating ShiftWizard with other products or other combined functional areas within the Company. The goodwill balance is not deductible for U.S. income tax purposes. The net tangible assets include deferred revenue, which was adjusted down from a book value at the acquisition date of $2.7 million to an estimated fair value of $1.6 million. The $1.1 million write-down of deferred revenue will result in lower revenues than would have otherwise been recognized for such services.</w:t>
      </w:r>
    </w:p>
    <w:p>
      <w:pPr>
        <w:sectPr>
          <w:pgSz w:w="11900" w:h="16838" w:orient="portrait"/>
          <w:cols w:equalWidth="0" w:num="1">
            <w:col w:w="11240"/>
          </w:cols>
          <w:pgMar w:left="320" w:top="125" w:right="339"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identifiable intangible assets and their estimated useful lives as of the acquisition date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ind w:left="220"/>
              <w:spacing w:after="0"/>
              <w:rPr>
                <w:sz w:val="20"/>
                <w:szCs w:val="20"/>
                <w:color w:val="auto"/>
              </w:rPr>
            </w:pPr>
            <w:r>
              <w:rPr>
                <w:rFonts w:ascii="Arial" w:cs="Arial" w:eastAsia="Arial" w:hAnsi="Arial"/>
                <w:sz w:val="18"/>
                <w:szCs w:val="18"/>
                <w:b w:val="1"/>
                <w:bCs w:val="1"/>
                <w:color w:val="auto"/>
              </w:rPr>
              <w:t>Useful life (in</w:t>
            </w:r>
          </w:p>
        </w:tc>
      </w:tr>
      <w:tr>
        <w:trPr>
          <w:trHeight w:val="234"/>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7,800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Developed technology</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4,050</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Non-compete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1 - 5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Trade name</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49"/>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12,660</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unaudited pro forma financial information summarizes the results of operations of the Company and ShiftWizard as though the companies were combined as of January 1, 2019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64,210</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61,930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192,910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186,049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1,615</w:t>
            </w:r>
          </w:p>
        </w:tc>
        <w:tc>
          <w:tcPr>
            <w:tcW w:w="5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2,169</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6,690</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11,985</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per share - basic</w:t>
            </w: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5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0.07</w:t>
            </w: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0.21</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0.37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Arial" w:cs="Arial" w:eastAsia="Arial" w:hAnsi="Arial"/>
                <w:sz w:val="18"/>
                <w:szCs w:val="18"/>
                <w:color w:val="auto"/>
              </w:rPr>
              <w:t>Net income per share - diluted</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0.05</w:t>
            </w:r>
          </w:p>
        </w:tc>
        <w:tc>
          <w:tcPr>
            <w:tcW w:w="5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0.07</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0.21</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0.37</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unaudited pro forma combined results of operations include certain adjustments arising from the acquisition, such as amortization of intangible assets, depreciation of property and equipment, and fair value adjustments of acquired deferred revenue balances. The unaudited pro forma combined results of operations is for informational purposes only and is not indicative of what the Company’s results of operations would have been had the transaction occurred at the beginning of the earliest period presented or to project the Company’s results of operations in any future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ANSOS</w:t>
      </w:r>
      <w:r>
        <w:rPr>
          <w:rFonts w:ascii="Arial" w:cs="Arial" w:eastAsia="Arial" w:hAnsi="Arial"/>
          <w:sz w:val="29"/>
          <w:szCs w:val="29"/>
          <w:b w:val="1"/>
          <w:bCs w:val="1"/>
          <w:color w:val="auto"/>
          <w:vertAlign w:val="superscript"/>
        </w:rPr>
        <w:t>™</w:t>
      </w:r>
      <w:r>
        <w:rPr>
          <w:rFonts w:ascii="Arial" w:cs="Arial" w:eastAsia="Arial" w:hAnsi="Arial"/>
          <w:sz w:val="18"/>
          <w:szCs w:val="18"/>
          <w:b w:val="1"/>
          <w:bCs w:val="1"/>
          <w:i w:val="1"/>
          <w:iCs w:val="1"/>
          <w:color w:val="auto"/>
        </w:rPr>
        <w:t xml:space="preserve"> Staff Scheduling application</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 2020, the Company acquired all of the equity interests of Change Healthcare’s staff scheduling business, consisting of the ANSOS™ Staff Scheduling application and related products (ANSOS). The consideration paid for ANSOS was $66.4 million in cash, after giving effect to the post-closing working capital adjustment. Acquisition-related transaction costs were $1.2 million. The financial results of ANSOS have been included in the Workforce Solutions segment from December 2, 2020.</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preliminary fair value of the assets acquired and liabilities assumed as of the date of acquisition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9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1,599</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Accounts and unbilled receivable, net</w:t>
            </w:r>
          </w:p>
        </w:tc>
        <w:tc>
          <w:tcPr>
            <w:tcW w:w="5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10,099</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Prepaid assets</w:t>
            </w:r>
          </w:p>
        </w:tc>
        <w:tc>
          <w:tcPr>
            <w:tcW w:w="5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5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888</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5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Deferred tax assets</w:t>
            </w:r>
          </w:p>
        </w:tc>
        <w:tc>
          <w:tcPr>
            <w:tcW w:w="5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2,855</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Indemnification asset</w:t>
            </w:r>
          </w:p>
        </w:tc>
        <w:tc>
          <w:tcPr>
            <w:tcW w:w="5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Goodwill</w:t>
            </w:r>
          </w:p>
        </w:tc>
        <w:tc>
          <w:tcPr>
            <w:tcW w:w="5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36,748</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32,440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5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(1,776)</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5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(14,204)</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5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(888)</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5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(1,612)</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Uncertain tax position liability</w:t>
            </w:r>
          </w:p>
        </w:tc>
        <w:tc>
          <w:tcPr>
            <w:tcW w:w="5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(2,029)</w:t>
            </w:r>
          </w:p>
        </w:tc>
      </w:tr>
      <w:tr>
        <w:trPr>
          <w:trHeight w:val="250"/>
        </w:trPr>
        <w:tc>
          <w:tcPr>
            <w:tcW w:w="4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assets acquired</w:t>
            </w:r>
          </w:p>
        </w:tc>
        <w:tc>
          <w:tcPr>
            <w:tcW w:w="54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66,448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2"/>
        </w:trPr>
        <w:tc>
          <w:tcPr>
            <w:tcW w:w="4220" w:type="dxa"/>
            <w:vAlign w:val="bottom"/>
          </w:tcPr>
          <w:p>
            <w:pPr>
              <w:spacing w:after="0"/>
              <w:rPr>
                <w:sz w:val="24"/>
                <w:szCs w:val="24"/>
                <w:color w:val="auto"/>
              </w:rPr>
            </w:pPr>
          </w:p>
        </w:tc>
        <w:tc>
          <w:tcPr>
            <w:tcW w:w="5460" w:type="dxa"/>
            <w:vAlign w:val="bottom"/>
          </w:tcPr>
          <w:p>
            <w:pPr>
              <w:jc w:val="right"/>
              <w:ind w:right="3870"/>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20" w:type="dxa"/>
            <w:vAlign w:val="bottom"/>
            <w:tcBorders>
              <w:bottom w:val="single" w:sz="8" w:color="auto"/>
            </w:tcBorders>
          </w:tcPr>
          <w:p>
            <w:pPr>
              <w:spacing w:after="0"/>
              <w:rPr>
                <w:sz w:val="10"/>
                <w:szCs w:val="10"/>
                <w:color w:val="auto"/>
              </w:rPr>
            </w:pPr>
          </w:p>
        </w:tc>
        <w:tc>
          <w:tcPr>
            <w:tcW w:w="54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excess of purchase price over the preliminary fair values of net tangible and intangible assets is recorded as goodwill. The fair values of tangible and identifiable intangible assets and liabilities are based on management’s estimates and assumptions. The preliminary fair values of assets acquired and liabilities assumed continue to be subject to change during the measurement period (up to one year from the acquisition date) as the Company finalizes the valuation of these items. The primary areas of the preliminary purchase price allocation that are not finalized include the composition and valuation of income tax attributes and working capital accounts. Included in the preliminary assets and liabilities acquired is an indemnification asset and an uncertain tax position liability determined based on management’s estimate of the most likely value related to income tax attributes. During the nine months ended September 30, 2021, the Company made adjustments to accounts receivable, deferred revenue, indemnification asset, uncertain tax position liability, accounts payable and accrued liabilities, and deferred tax assets based on updated information obtained since our preliminary estimates were made. As a result of these items, coupled with the impact of the post-closing working capital adjustment, the Company recorded a measurement period adjustment which increased goodwill by $1.5 million. The measurement period adjustment had no effect on current or prior period earnings. The primary intangible assets acquired were customer relationships and developed technology. The fair value estimate for customer relationships intangible asset included significant assumptions regarding prospective financial information with respect to the acquisition, including with respect to revenue growth, customer attrition, EBITDA margin, and the discount rate. The fair value estimate for developed technology intangible asset included significant assumptions, including the estimate of employee hours that would be needed to recreate the technology. Additionally, these assumptions are forward looking and could be affected by future economic and market conditions. The goodwill balance is primarily attributed to the assembled workforce, additional market opportunities from offering ANSOS products, and expected synergies from integrating ANSOS with other products or other combined functional areas within the Company.</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portion of goodwill allocated to the U.S. entity is deductible for U.S. income tax purposes (representing 95%). The net tangible assets include deferred revenue, which was adjusted down from a book value at the acquisition date of $17.5 million to an estimated fair value of $14.2 million. The $3.3 million write-down of deferred revenue will result in lower revenues than would have otherwise been recognized for such services.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identifiable intangible assets and their estimated useful lives as of the acquisition date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ind w:left="220"/>
              <w:spacing w:after="0"/>
              <w:rPr>
                <w:sz w:val="20"/>
                <w:szCs w:val="20"/>
                <w:color w:val="auto"/>
              </w:rPr>
            </w:pPr>
            <w:r>
              <w:rPr>
                <w:rFonts w:ascii="Arial" w:cs="Arial" w:eastAsia="Arial" w:hAnsi="Arial"/>
                <w:sz w:val="18"/>
                <w:szCs w:val="18"/>
                <w:b w:val="1"/>
                <w:bCs w:val="1"/>
                <w:color w:val="auto"/>
              </w:rPr>
              <w:t>Useful life (in</w:t>
            </w:r>
          </w:p>
        </w:tc>
      </w:tr>
      <w:tr>
        <w:trPr>
          <w:trHeight w:val="234"/>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21,100</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11 - 14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Developed technology</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9,800</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2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32,440</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unaudited pro forma financial information summarizes the results of operations of the Company and ANSOS as though the companies were combined as of January 1, 2019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64,636</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66,924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194,856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203,129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1,965</w:t>
            </w:r>
          </w:p>
        </w:tc>
        <w:tc>
          <w:tcPr>
            <w:tcW w:w="5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3,407</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8,190</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16,514</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per share - basic</w:t>
            </w: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0.06</w:t>
            </w:r>
          </w:p>
        </w:tc>
        <w:tc>
          <w:tcPr>
            <w:tcW w:w="5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0.11</w:t>
            </w: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0.26</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0.51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Arial" w:cs="Arial" w:eastAsia="Arial" w:hAnsi="Arial"/>
                <w:sz w:val="18"/>
                <w:szCs w:val="18"/>
                <w:color w:val="auto"/>
              </w:rPr>
              <w:t>Net income per share - diluted</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0.06</w:t>
            </w:r>
          </w:p>
        </w:tc>
        <w:tc>
          <w:tcPr>
            <w:tcW w:w="5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0.11</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0.26</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0.51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unaudited pro forma combined results of operations include certain adjustments arising from the acquisition, such as amortization of intangible assets, depreciation of property and equipment, and fair value adjustments of acquired deferred revenue balances. The unaudited pro forma combined results of operations is for informational purposes only and is not indicative of what the Company’s results of operations would have been had the transaction occurred at the beginning of the earliest period presented or to project the Company’s results of operations in any future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 Combinations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10, 2020, the Company acquired substantially all of the assets of myClinicalExchange, LLC, a Denver, Colorado-based information technologies company offering a SaaS-based solution that allows healthcare organizations to track, manage, and report the intern and clinical rotation educational requirements of medical, nursing, and allied healthcare students as well as host required documentation for medical residents. The consideration paid for myClinicalExchange consisted of $4.4 million in cash. Acquisition-related transaction costs were $0.1 million. The acquisition is not considered material to the Company’s Financial Statements. The Company accounted for the acquisition as a business combination and has allocated the purchase consideration based on management’s estimates of fair value. The results of operations for myClinicalExchange are included in the Company’s Condensed Consolidated Financial Statements from the date of acquisition and are included in the Workforce Solutions segment.</w:t>
      </w:r>
    </w:p>
    <w:p>
      <w:pPr>
        <w:sectPr>
          <w:pgSz w:w="11900" w:h="16838" w:orient="portrait"/>
          <w:cols w:equalWidth="0" w:num="1">
            <w:col w:w="11240"/>
          </w:cols>
          <w:pgMar w:left="320" w:top="125" w:right="339"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19, 2021, the Company acquired the issued and outstanding equity of ProcessDATA, Ltd. (d/b/a ComplyALIGN and HospitalPORTAL) (“ComplyALIGN”), a Chicago, Illinois-based healthcare technology company offering a SaaS-based policy management system for healthcare organizations, for $2.0 million in cash. The acquisition is not considered material to the Company’s financial statements. The Company accounted for the acquisition as a business combination and has allocated the purchase consideration based on management’s estimates of fair value. Acquisition-related transaction costs were $0.1 million. The results of operations for ComplyALIGN are included in the Company’s Condensed Consolidated Financial Statements from the date of acquisition and are included in the Workforce Solutions segment.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2021, the carrying amount of goodwill increased by $2.7 million, consisting of a $1.5 million of measurement period adjustment related to ANSOS, $1.0 million of acquired goodwill related to ComplyALIGN, and $0.2 million for the effect of currency translation adjustments.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provides services to healthcare organizations and other members within the healthcare industry. The Company’s services are focused on the delivery of workforce training, certification, assessment, development, and scheduling products and services (Workforce Solutions) and provider credentialing, privileging, call center, and enrollment products and services (Provider Solutions).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gains and losses from equity investments, and depreciation. The Unallocated component below includes corporate functions, such as accounting, human resources, legal, investor relations, information systems, administrative and executive personnel, depreciation, a portion of amortization, and certain other expenses, which are not currently allocated in measuring segment performance. The following is the Company’s business segment information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 net: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980" w:type="dxa"/>
            <w:vAlign w:val="bottom"/>
          </w:tcPr>
          <w:p>
            <w:pPr>
              <w:ind w:left="340"/>
              <w:spacing w:after="0"/>
              <w:rPr>
                <w:sz w:val="20"/>
                <w:szCs w:val="20"/>
                <w:color w:val="auto"/>
              </w:rPr>
            </w:pPr>
            <w:r>
              <w:rPr>
                <w:rFonts w:ascii="Arial" w:cs="Arial" w:eastAsia="Arial" w:hAnsi="Arial"/>
                <w:sz w:val="18"/>
                <w:szCs w:val="18"/>
                <w:color w:val="auto"/>
              </w:rPr>
              <w:t>Workforce Solutions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51,155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49,197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154,559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147,909</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Provider Solutions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12,936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35,099</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660"/>
              <w:spacing w:after="0"/>
              <w:rPr>
                <w:sz w:val="20"/>
                <w:szCs w:val="20"/>
                <w:color w:val="auto"/>
              </w:rPr>
            </w:pPr>
            <w:r>
              <w:rPr>
                <w:rFonts w:ascii="Arial" w:cs="Arial" w:eastAsia="Arial" w:hAnsi="Arial"/>
                <w:sz w:val="18"/>
                <w:szCs w:val="18"/>
                <w:color w:val="auto"/>
              </w:rPr>
              <w:t>Total revenues, net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64,091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60,883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192,374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183,008</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Workforce Solutions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7,732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9,758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25,981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33,575</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Provider Solutions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3,382</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Unallocated</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(7,921)</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(7,537)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(23,661)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(22,276)</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income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Segment assets *</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Workforce Solutions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259,036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270,924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Provider Solutions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134,793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140,490</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Unallocated</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100,885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88,899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494,714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500,313</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220" w:hanging="212"/>
        <w:spacing w:after="0" w:line="238" w:lineRule="auto"/>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Segment assets include accounts and unbilled receivables, prepaid royalties, prepaid and other current assets, other assets, capitalized software development, deferred commissions, certain property and equipment, goodwill, and intangible assets. Cash and cash equivalents, marketable securities, non-marketable equity investments, and certain ROU assets are not allocated to individual segments and are included within Unallocated. A significant portion of property and equipment assets are included within Unallocated.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28, 2020, the Company entered into a Third Amendment to Revolving Credit Agreement (Revolving Credit Facility), amending the Revolving Credit Facility dated as of November 24, 2014 with Truist Bank, successor by merger to SunTrust Bank (Truist), extending the maturity date to October 28, 2023. Under the Revolving Credit Facility, the Company may borrow up to $65.0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the Company’s election, the borrowings under the Revolving Credit Facility bear interest at either (1) a rate per annum equal to the highest of Truist’s prime rate or 0.5% in excess of the Federal Funds Rate or 1.0% in excess of one-month LIBOR (the Base Rate), plus an applicable margin, or (2) the one, two, three, or six-month per annum LIBOR for deposits in the applicable currency (the Eurocurrency Rate), as selected by the Company, plus an applicable margin. The applicable margin for Eurocurrency Rate loans depends on the Company’s funded debt leverage ratio and varies from 1.50% to 1.75%. The applicable margin for Base Rate loans depends on the Company’s funded debt leverage ratio and varies from 0.50% to 0.75%. Commitment fees and letter of credit fees are also payable under the Revolving Credit Facility. Principal is payable in full at maturity on October 28, 2023,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 The obligations under the Revolving Credit Facility are guaranteed by each of the Company’s subsidiaries.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Revolving Credit Facility), and for stock repurchase and/or redemption transactions that the Company may authorize.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225"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funded debt leverage ratio (consolidated debt/consolidated EBITDA) of not greater than 3.0 to 1.0; and</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interest coverage ratio (consolidated EBITDA/consolidated interest expense) of not less than 3.0 to 1.0.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2021, the Company was in compliance with all covenants. There were no balances outstanding on the Revolving Credit Facility as of or during the three and nine months ended September 30,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Special Cautionary Notice Regarding Forward</w:t>
      </w:r>
      <w:r>
        <w:rPr>
          <w:rFonts w:ascii="MS PGothic" w:cs="MS PGothic" w:eastAsia="MS PGothic" w:hAnsi="MS PGothic"/>
          <w:sz w:val="18"/>
          <w:szCs w:val="18"/>
          <w:color w:val="auto"/>
        </w:rPr>
        <w:t>‑</w:t>
      </w:r>
      <w:r>
        <w:rPr>
          <w:rFonts w:ascii="Arial" w:cs="Arial" w:eastAsia="Arial" w:hAnsi="Arial"/>
          <w:sz w:val="18"/>
          <w:szCs w:val="18"/>
          <w:b w:val="1"/>
          <w:bCs w:val="1"/>
          <w:color w:val="auto"/>
        </w:rPr>
        <w:t>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2020, appearing in our Annual Report on Form 10-K that was filed with the Securities and Exchange Commission (“SEC”) on February 25, 2021 (the “2020 Form 10-K”).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“projects,” “should,” “will,” “would,” and similar expressions are forward-looking statements.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set forth above and the risks set forth under the caption Part I, Item 1A. Risk Factors in our 2020 Form 10-K and other disclosures in our 2020 Form 10-K, earnings releases and other filings with the SEC from time to time, as well as other cautionary statements contained elsewhere in this report, including our critical accounting policies and estimates as discussed in this report and our 2020 Form 10-K. We undertake no obligation to update or revise any forward-looking statements. You should read this report and the documents that we reference in this report and have filed as exhibits to this report completely and with the understanding that our actual future results may be materially different from what we currently expect.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HealthStream provides workforce and provider solutions for healthcare organizations—all designed to support the people that deliver patient care, which, in turn, supports the improvement of business and clinical outcomes. Our solutions include multiple Software-as-a-Service (SaaS) applications, and focus on some of the most significant challenges facing the healthcare workforce and healthcare organizations today, including the need to effectively manage, retain, engage, schedule, and develop healthcare workforce talent; meet rigorous compliance requirements; and efficiently manage ongoing medical staff credentialing and privileging processes. HealthStream’s customers include healthcare organizations, pharmaceutical and medical device companies, and other participants in the healthcare industry. At September 30, 2021, we had approximately 4.92 million contracted subscriptions to hStream</w:t>
      </w:r>
      <w:r>
        <w:rPr>
          <w:rFonts w:ascii="Arial" w:cs="Arial" w:eastAsia="Arial" w:hAnsi="Arial"/>
          <w:sz w:val="28"/>
          <w:szCs w:val="28"/>
          <w:color w:val="auto"/>
          <w:vertAlign w:val="superscript"/>
        </w:rPr>
        <w:t>TM</w:t>
      </w:r>
      <w:r>
        <w:rPr>
          <w:rFonts w:ascii="Arial" w:cs="Arial" w:eastAsia="Arial" w:hAnsi="Arial"/>
          <w:sz w:val="17"/>
          <w:szCs w:val="17"/>
          <w:color w:val="auto"/>
        </w:rPr>
        <w:t>, our Platform-as-a-Service technology. hStream technology enables healthcare organizations and their respective workforces to easily connect to and gain value from the growing HealthStream ecosystem of applications, tools, and content.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Significant financial metrics for the third quarter of 2021 are set forth in the bullets below.</w:t>
      </w:r>
    </w:p>
    <w:p>
      <w:pPr>
        <w:spacing w:after="0" w:line="225" w:lineRule="exact"/>
        <w:rPr>
          <w:sz w:val="20"/>
          <w:szCs w:val="20"/>
          <w:color w:val="auto"/>
        </w:rPr>
      </w:pPr>
    </w:p>
    <w:p>
      <w:pPr>
        <w:ind w:left="220" w:hanging="212"/>
        <w:spacing w:after="0" w:line="277"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Revenues of $64.1 million in the third quarter of 2021, an increase of 5% from $60.9 million in the third quarter of 2020, offsetting a $9.2 million decline in legacy resuscitation revenues.</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income of $1.8 million in the third quarter of 2021, down 43% from $3.1 million in the third quarter of 2020.</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of $1.5 million in the third quarter of 2021, down 43% from $2.6 million in the third quarter of 2020.</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Earnings per share (“EPS”) of $0.05 per share (diluted) in the third quarter of 2021 compared to $0.08 per share (diluted) in the third quarter of 2020.</w:t>
      </w:r>
    </w:p>
    <w:p>
      <w:pPr>
        <w:spacing w:after="0" w:line="248" w:lineRule="exact"/>
        <w:rPr>
          <w:rFonts w:ascii="Arial" w:cs="Arial" w:eastAsia="Arial" w:hAnsi="Arial"/>
          <w:sz w:val="16"/>
          <w:szCs w:val="16"/>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$12.5 million in the third quarter of 2021, up 12% from $11.2 million in the third quarter of 2020.</w:t>
      </w:r>
    </w:p>
    <w:p>
      <w:pPr>
        <w:spacing w:after="0" w:line="94" w:lineRule="exact"/>
        <w:rPr>
          <w:sz w:val="20"/>
          <w:szCs w:val="20"/>
          <w:color w:val="auto"/>
        </w:rPr>
      </w:pPr>
    </w:p>
    <w:p>
      <w:pPr>
        <w:ind w:left="220" w:hanging="212"/>
        <w:spacing w:after="0" w:line="253" w:lineRule="auto"/>
        <w:tabs>
          <w:tab w:leader="none" w:pos="220" w:val="left"/>
        </w:tabs>
        <w:numPr>
          <w:ilvl w:val="0"/>
          <w:numId w:val="7"/>
        </w:numPr>
        <w:rPr>
          <w:rFonts w:ascii="Arial" w:cs="Arial" w:eastAsia="Arial" w:hAnsi="Arial"/>
          <w:sz w:val="12"/>
          <w:szCs w:val="12"/>
          <w:color w:val="auto"/>
        </w:rPr>
      </w:pPr>
      <w:r>
        <w:rPr>
          <w:rFonts w:ascii="Arial" w:cs="Arial" w:eastAsia="Arial" w:hAnsi="Arial"/>
          <w:sz w:val="14"/>
          <w:szCs w:val="14"/>
          <w:color w:val="auto"/>
        </w:rPr>
        <w:t>Adjusted EBITDA is a non-GAAP financial measure. A reconciliation of adjusted EBITDA to net income and disclosure regarding why we believe adjusted EBITDA provides useful information to investors is included later in this report.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and Response to COVID-19 Pandemic</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COVID-19 pandemic, which spread throughout the world and the United States during 2020, resulted in a significant economic downturn. As vaccines have become widely available in the United States, economic conditions have generally improved in 2021 compared to 2020. However, during the third quarter of 2021, the number of COVID-19 cases and hospitalizations increased in the United States in comparison to earlier levels as a result of the Delta variant, causing restrictive measures to be implemented or reinstituted, including by many of our healthcare customers. Uncertainty remains regarding the extent, timing, and duration of the pandemic, including the extent to which the availability and sustained efficacy of vaccines will positively impact public health conditions and whether potentially more contagious and/or virulent strains of the COVID-19 virus, including strains that may be resistant to currently available vaccines, may pose additional public health risks. The pandemic continues to cause uncertainty and potential economic volatility, including with regard to the pandemic’s various and unpredictable impacts on our healthcare customers and our business.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is focused on providing workforce and provider solutions to healthcare organizations, and as such, the pandemic’s adverse impact on healthcare organizations has resulted in an adverse impact on our Company. Although COVID-19 did not have a significant negative impact on our revenues or net income during 2020, we believe that it began to have a negative impact on our revenues during the nine months ended September 30, 2021. Additionally, certain developments related to COVID-19 have negatively impacted and are expected to continue to negatively impact our business during the remainder of 2021 and potentially thereafter. In particular, sales cycles have been delayed or postponed such that declines in sales bookings by customers during 2020 and the nine months ended September 30, 2021 will result in a negative impact to revenue and potentially to earnings during the remainder of 2021 and in 2022.</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operating results have benefited from a temporary reduction of operating expenses related to COVID-19 conditions, but the operating expense reduction itself—despite its positive impact on operating income and adjusted EBITDA—is indicative of the negative impact the pandemic has had, and may continue to have on new bookings and renewals. We have experienced, and expect to continue to experience, delayed and reduced bookings and renewals due to the pandemic. Given that we sell multiple year subscriptions to our solutions, the revenue impact of lost or delayed sales in a given period generally does not manifest until future periods, just as the revenue we recognize in a given period is generally the result of sales from a prior period. Since mid-March 2020, our sales organization has had limited opportunities to travel and conduct onsite sales meetings with existing or prospective customers, and we have also cancelled in-person tradeshows, which typically generate future sales opportunities. As a result, operating income and adjusted EBITDA benefitted from a $1.0 million reduction in operating expense related to travel restrictions during the first nine months of 2021 compared to the first nine months of 2020.</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travel restrictions lessen and travel resumes at a more normal level, we expect operating expenses associated with travel to have a negative impact on operating income and EBITDA, and we do not expect revenue generated from such activities to begin offsetting such increases to operating expenses at the same time we incur such expenses. However, the uncertain trajectory of COVID-19 may impact when and to what extent normal operating expenses, including expenses related to sales travel and in-person tradeshows, accelerate or remain abated.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closely monitor developments related to COVID-19 that may have an adverse impact on our operational and financial performance. We also continue to take actions focused on the safety and well-being of our employees, assisting our customers in this time of need, and mitigating operational and financial impacts to our business. We intend to continue serving our customers both in their battle to defeat the coronavirus and across the continuum of their other workforce and provider solution needs.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to promote the safety and well-being of our employees, we required our entire workforce to begin working remotely from home beginning March 16, 2020, and the entire workforce continues to work remotely to date. Although we previously intended to reopen our offices during the third quarter of 2021, due to the recent surges in COVID-19 cases as noted above, we have deferred the time at which our offices will reopen, and are continuing to monitor local public health conditions before making a decision to reopen.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healthcare organizations have been, and may continue to be, substantially adversely impacted by the COVID-19 pandemic. The period of time over which this adverse impact continues, the extent to which certain healthcare organizations continue to receive and/or are eligible to utilize governmental funds as the result of federal stimulus and relief measures, and ongoing public health conditions related to the pandemic are important factors that may impact our business.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light of adverse developments with respect to healthcare organizations as noted above, we are continuing to monitor the ability or willingness of our customers to:</w:t>
      </w:r>
    </w:p>
    <w:p>
      <w:pPr>
        <w:spacing w:after="0" w:line="170" w:lineRule="exact"/>
        <w:rPr>
          <w:sz w:val="20"/>
          <w:szCs w:val="20"/>
          <w:color w:val="auto"/>
        </w:rPr>
      </w:pPr>
    </w:p>
    <w:p>
      <w:pPr>
        <w:ind w:left="420" w:hanging="210"/>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for our solutions in a timely manner, in full, or at all;</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 solutions they have purchased from us; and</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renew existing or purchase new products or services from 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monitor our cash position and credit exposure by evaluating, among other things, weekly cash receipts, days sales outstanding (DSO), customer requests to modify payment or contract terms, and bankruptcy notices. We experienced modest improvements in DSO during the third quarter of 2021 compared to the third quarter of 2020. However, while we have not experienced any adverse impacts to customer defaults resulting from COVID-19, we are unable to know whether or to what extent negative trends related to the pandemic may arise in the future. Any deterioration in the collectability (or the timing of payments) of our accounts receivable could adversely impact our financial results.</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timing of implementation of our services is also relevant to our business because our software solutions do not result in revenue recognition until they are made available for use. To the extent our customers delay or fail to implement products they have purchased, our financial results will be adversely impacted. While we have experienced a negative impact from certain implementation delays related to COVID-19, these delays have not been consistent across products or across customers. In fact, we have become more efficient in implementing certain products during the pandemic, particularly with respect to certain Workforce Solutions segment products. In contrast, our Provider Solutions business segment has, in some instances, been more sensitive to implementation delays as the result of complexities associated with implementing certain of the solutions offered through that business segment.</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Conditions related to the pandemic have caused some customers to delay purchasing decisions they would have otherwise made. Such conditions also adversely impacted the ability or willingness of some customers to renew their contracts with us or to renew contracts at the same levels. Pandemic-related conditions have also delayed or otherwise adversely impacted our ability to enter into contracts with new potential customers, as some potential customers have been focused on dealing with the impact and demands that COVID-19 is having on their businesses. In addition, the limitations noted above on onsite sales meetings and in-person trade shows, as well as our customers’ ongoing uncertainties due to COVID-19 have reduced, and may continue to reduce, the ability of our sales team to make sales they otherwise would likely make but for the impact of COVID-19. As the pandemic has persisted, we have, however, continued to evolve our sales approach such that our sales representatives have been in frequent contact with customers via video conference and other remote means that do not require physical travel or onsite visits to our customers’ facilities. The timing and extent of the resumption of in-person activities will be dependent on the prevalence of future COVID-19 outbreaks, including with regard to new variants that may continue to emerge.</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Given the uncertainty surrounding the adverse impacts that COVID-19 could have on our business, we took certain expense management measures in 2020 as previously disclosed. We have generally discontinued these expense management measures taking into account the improved economic environment and current conditions related to the pandemic, provided that certain expenses such as those associated with travel and tradeshows remain significantly lower than pre-pandemic levels due to limitations on our ability to engage in such activities at the same levels as prior to the pandemic. We are continuing to monitor developments related to the COVID-19 pandemic and will continue to make such expense management adjustments as we deem necessary.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management utilizes the following financial and non-financial metrics in connection with managing our business.</w:t>
      </w:r>
    </w:p>
    <w:p>
      <w:pPr>
        <w:spacing w:after="0" w:line="225" w:lineRule="exact"/>
        <w:rPr>
          <w:sz w:val="20"/>
          <w:szCs w:val="20"/>
          <w:color w:val="auto"/>
        </w:rPr>
      </w:pPr>
    </w:p>
    <w:p>
      <w:pPr>
        <w:jc w:val="both"/>
        <w:ind w:left="420" w:hanging="210"/>
        <w:spacing w:after="0" w:line="257"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Revenues, net</w:t>
      </w:r>
      <w:r>
        <w:rPr>
          <w:rFonts w:ascii="Arial" w:cs="Arial" w:eastAsia="Arial" w:hAnsi="Arial"/>
          <w:sz w:val="18"/>
          <w:szCs w:val="18"/>
          <w:color w:val="auto"/>
        </w:rPr>
        <w:t>. Revenues, net, reflect income generated by the sales of goods and services related to our operations and reflects deferred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write-downs associated with fair value accounting for acquired businesses. Revenues, net, were $64.1 million and $192.4 million for the three and nine months ended September 30, 2021 compared to $60.9 million and $183.0 million for the three and nine months ended September 30, 2020. Management utilizes revenue in connection with managing our business and believes that this metric provides useful information to investors as a key indicator of the growth and success of our products.</w:t>
      </w:r>
    </w:p>
    <w:p>
      <w:pPr>
        <w:spacing w:after="0" w:line="187" w:lineRule="exact"/>
        <w:rPr>
          <w:rFonts w:ascii="Arial" w:cs="Arial" w:eastAsia="Arial" w:hAnsi="Arial"/>
          <w:sz w:val="18"/>
          <w:szCs w:val="18"/>
          <w:color w:val="auto"/>
        </w:rPr>
      </w:pPr>
    </w:p>
    <w:p>
      <w:pPr>
        <w:jc w:val="both"/>
        <w:ind w:left="420" w:hanging="210"/>
        <w:spacing w:after="0" w:line="257"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Operating Income</w:t>
      </w:r>
      <w:r>
        <w:rPr>
          <w:rFonts w:ascii="Arial" w:cs="Arial" w:eastAsia="Arial" w:hAnsi="Arial"/>
          <w:sz w:val="18"/>
          <w:szCs w:val="18"/>
          <w:color w:val="auto"/>
        </w:rPr>
        <w:t>. Operating income represents the amount of profit realized from our operations and is calculated as the difference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net and operating costs and expenses. Operating income was $1.8 million and $8.5 million for the three and nine months ended September 30, 2021 compared to $3.1 million and $14.7 million for the three and nine months ended September 30, 2020. Management utilizes operating income in connection with managing our business and believes that our operating income provides useful information to investors as a key indicator of profitability.</w:t>
      </w:r>
    </w:p>
    <w:p>
      <w:pPr>
        <w:spacing w:after="0" w:line="187" w:lineRule="exact"/>
        <w:rPr>
          <w:rFonts w:ascii="Arial" w:cs="Arial" w:eastAsia="Arial" w:hAnsi="Arial"/>
          <w:sz w:val="18"/>
          <w:szCs w:val="18"/>
          <w:color w:val="auto"/>
        </w:rPr>
      </w:pPr>
    </w:p>
    <w:p>
      <w:pPr>
        <w:jc w:val="both"/>
        <w:ind w:left="420" w:hanging="210"/>
        <w:spacing w:after="0" w:line="296"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Adjusted EBITDA</w:t>
      </w:r>
      <w:r>
        <w:rPr>
          <w:rFonts w:ascii="Arial" w:cs="Arial" w:eastAsia="Arial" w:hAnsi="Arial"/>
          <w:sz w:val="16"/>
          <w:szCs w:val="16"/>
          <w:color w:val="auto"/>
        </w:rPr>
        <w:t>. Adjusted EBITDA, calculated as set forth below under “Reconciliation of Non-GAAP Financial Measures,” is utilized by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 connection with managing our business and provides useful information to investors because adjusted EBITDA reflects net income adjusted for certain non-cash and non-operating items. We also believe that adjusted EBITDA is useful to investors to assess the Company’s ongoing operations. Additionally, beginning in 2021, executive bonuses are based on the achievement of adjusted EBITDA targets. Adjusted EBITDA was $12.5 million for the three months ended September 30, 2021, compared to $11.2 million for the three months ended September 30, 2020.</w:t>
      </w:r>
    </w:p>
    <w:p>
      <w:pPr>
        <w:spacing w:after="0" w:line="161" w:lineRule="exact"/>
        <w:rPr>
          <w:rFonts w:ascii="Arial" w:cs="Arial" w:eastAsia="Arial" w:hAnsi="Arial"/>
          <w:sz w:val="16"/>
          <w:szCs w:val="16"/>
          <w:color w:val="auto"/>
        </w:rPr>
      </w:pPr>
    </w:p>
    <w:p>
      <w:pPr>
        <w:jc w:val="both"/>
        <w:ind w:left="420" w:hanging="210"/>
        <w:spacing w:after="0" w:line="296"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hStream Subscriptions</w:t>
      </w:r>
      <w:r>
        <w:rPr>
          <w:rFonts w:ascii="Arial" w:cs="Arial" w:eastAsia="Arial" w:hAnsi="Arial"/>
          <w:sz w:val="16"/>
          <w:szCs w:val="16"/>
          <w:color w:val="auto"/>
        </w:rPr>
        <w:t>. hStream subscriptions are determined as the number of subscriptions under contract for hStream, our Platform-as-a-Service</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that enables healthcare organizations and their respective workforces to easily connect to and gain value from the growing HealthStream ecosystem of applications, tools, and content. Management utilizes hStream subscriptions in connection with managing our business and believes that this metric provides useful information to investors as a measure of our progress in growing the value of our customer base. At September 30, 2021, we had approximately 4.92 million contracted subscriptions to hStream, compared to 3.82 million as of September 30, 2020.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Condensed Consolidated Financial Statements are prepared in accordance with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170" w:lineRule="exact"/>
        <w:rPr>
          <w:sz w:val="20"/>
          <w:szCs w:val="20"/>
          <w:color w:val="auto"/>
        </w:rPr>
      </w:pPr>
    </w:p>
    <w:p>
      <w:pPr>
        <w:ind w:left="420" w:hanging="210"/>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Goodwill, intangibles, and other long-lived assets</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the Consolidated Financial Statements in our 2020 Form 10-K and the Notes to the Condensed Consolidated Financial Statements herein which contain additional information regarding our accounting policies and other disclosures required by US GAAP. There have been no changes in our critical accounting policies and estimates from those reported in our 2020 Form 10-K.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Comparability of Operating Results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comparability of our operating results for the nine months ended September 30, 2021 to the same period for 2020 are impacted by several factors, including acquisitions, the reduction of revenues associated with legacy resuscitation products, and other non-cash items.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Between March 9, 2020 and January 19, 2021, we completed five acquisitions, which resulted in additional revenues and higher operating expenses during the three and nine months ended September 30, 2021 compared to the three and nine months ended September 30, 2020.</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legacy agreements with Laerdal (Legacy Agreements) for the HeartCode and Resuscitation Quality Improvement (RQI) products expired pursuant to their terms on December 31, 2018. Revenues associated with sales of HeartCode and RQI products pursuant to the Legacy Agreements were significant in past years, although margins on such products were lower than HealthStream’s average margin. Revenue generated by HeartCode and RQI products pursuant to the Legacy Agreements was $9.7 million in the third quarter of 2020 compared to $0.5 million in the third quarter of 2021. For additional information, see below under “Other Developments.”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2021, the Company recorded a $1.0 million non-recurring, non-cash reduction to paid time off (PTO) expense as a result of modifications to the Company’s PTO policy. During the nine months ended September 30, 2020, the Company recorded a $3.4 million non-cash contractual adjustment that resulted in a decrease to royalty expense upon the resolution of a mutual disagreement relating to various elements of a past partnership.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Compared to Three Months Ended September 30, 2020</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$3.2 million, or 5%, to $64.1 million for the three months ended September 30, 2021 from $60.9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September 30,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w w:val="95"/>
              </w:rPr>
              <w:t>A comparison of revenues by business segment is as follows (in thousands):</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20" w:type="dxa"/>
            <w:vAlign w:val="bottom"/>
            <w:gridSpan w:val="7"/>
          </w:tcPr>
          <w:p>
            <w:pPr>
              <w:jc w:val="center"/>
              <w:ind w:right="460"/>
              <w:spacing w:after="0"/>
              <w:rPr>
                <w:sz w:val="20"/>
                <w:szCs w:val="20"/>
                <w:color w:val="auto"/>
              </w:rPr>
            </w:pPr>
            <w:r>
              <w:rPr>
                <w:rFonts w:ascii="Arial" w:cs="Arial" w:eastAsia="Arial" w:hAnsi="Arial"/>
                <w:sz w:val="18"/>
                <w:szCs w:val="18"/>
                <w:b w:val="1"/>
                <w:bCs w:val="1"/>
                <w:color w:val="auto"/>
                <w:w w:val="90"/>
              </w:rPr>
              <w:t>Three Months Ended September 30,</w:t>
            </w:r>
          </w:p>
        </w:tc>
      </w:tr>
      <w:tr>
        <w:trPr>
          <w:trHeight w:val="191"/>
        </w:trPr>
        <w:tc>
          <w:tcPr>
            <w:tcW w:w="5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6"/>
                <w:szCs w:val="16"/>
                <w:color w:val="auto"/>
              </w:rPr>
            </w:pPr>
          </w:p>
        </w:tc>
      </w:t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Revenues by Business Segment:</w:t>
            </w: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20"/>
                <w:szCs w:val="20"/>
                <w:color w:val="auto"/>
              </w:rPr>
            </w:pPr>
          </w:p>
        </w:tc>
      </w:tr>
      <w:tr>
        <w:trPr>
          <w:trHeight w:val="210"/>
        </w:trPr>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Workforce Solutions</w:t>
            </w:r>
          </w:p>
        </w:tc>
        <w:tc>
          <w:tcPr>
            <w:tcW w:w="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51,155</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49,197</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216"/>
        </w:trPr>
        <w:tc>
          <w:tcPr>
            <w:tcW w:w="5840" w:type="dxa"/>
            <w:vAlign w:val="bottom"/>
          </w:tcPr>
          <w:p>
            <w:pPr>
              <w:ind w:left="340"/>
              <w:spacing w:after="0"/>
              <w:rPr>
                <w:sz w:val="20"/>
                <w:szCs w:val="20"/>
                <w:color w:val="auto"/>
              </w:rPr>
            </w:pPr>
            <w:r>
              <w:rPr>
                <w:rFonts w:ascii="Arial" w:cs="Arial" w:eastAsia="Arial" w:hAnsi="Arial"/>
                <w:sz w:val="18"/>
                <w:szCs w:val="18"/>
                <w:color w:val="auto"/>
              </w:rPr>
              <w:t>Provider Solutions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12,936</w:t>
            </w: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11,686</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0"/>
        </w:trPr>
        <w:tc>
          <w:tcPr>
            <w:tcW w:w="5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8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revenues, net</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64,091</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60,883</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of Revenues</w:t>
            </w:r>
          </w:p>
        </w:tc>
        <w:tc>
          <w:tcPr>
            <w:tcW w:w="3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r>
      <w:tr>
        <w:trPr>
          <w:trHeight w:val="216"/>
        </w:trPr>
        <w:tc>
          <w:tcPr>
            <w:tcW w:w="4640" w:type="dxa"/>
            <w:vAlign w:val="bottom"/>
          </w:tcPr>
          <w:p>
            <w:pPr>
              <w:ind w:left="340"/>
              <w:spacing w:after="0"/>
              <w:rPr>
                <w:sz w:val="20"/>
                <w:szCs w:val="20"/>
                <w:color w:val="auto"/>
              </w:rPr>
            </w:pPr>
            <w:r>
              <w:rPr>
                <w:rFonts w:ascii="Arial" w:cs="Arial" w:eastAsia="Arial" w:hAnsi="Arial"/>
                <w:sz w:val="18"/>
                <w:szCs w:val="18"/>
                <w:color w:val="auto"/>
              </w:rPr>
              <w:t>Workforce Solutions</w:t>
            </w:r>
          </w:p>
        </w:tc>
        <w:tc>
          <w:tcPr>
            <w:tcW w:w="3860" w:type="dxa"/>
            <w:vAlign w:val="bottom"/>
          </w:tcPr>
          <w:p>
            <w:pPr>
              <w:jc w:val="right"/>
              <w:ind w:right="610"/>
              <w:spacing w:after="0"/>
              <w:rPr>
                <w:sz w:val="20"/>
                <w:szCs w:val="20"/>
                <w:color w:val="auto"/>
              </w:rPr>
            </w:pPr>
            <w:r>
              <w:rPr>
                <w:rFonts w:ascii="Arial" w:cs="Arial" w:eastAsia="Arial" w:hAnsi="Arial"/>
                <w:sz w:val="18"/>
                <w:szCs w:val="18"/>
                <w:color w:val="auto"/>
              </w:rPr>
              <w:t>80%</w:t>
            </w:r>
          </w:p>
        </w:tc>
        <w:tc>
          <w:tcPr>
            <w:tcW w:w="2740" w:type="dxa"/>
            <w:vAlign w:val="bottom"/>
          </w:tcPr>
          <w:p>
            <w:pPr>
              <w:jc w:val="right"/>
              <w:ind w:right="1630"/>
              <w:spacing w:after="0"/>
              <w:rPr>
                <w:sz w:val="20"/>
                <w:szCs w:val="20"/>
                <w:color w:val="auto"/>
              </w:rPr>
            </w:pPr>
            <w:r>
              <w:rPr>
                <w:rFonts w:ascii="Arial" w:cs="Arial" w:eastAsia="Arial" w:hAnsi="Arial"/>
                <w:sz w:val="18"/>
                <w:szCs w:val="18"/>
                <w:color w:val="auto"/>
              </w:rPr>
              <w:t>81%</w:t>
            </w:r>
          </w:p>
        </w:tc>
      </w:tr>
      <w:tr>
        <w:trPr>
          <w:trHeight w:val="216"/>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Provider Solutions</w:t>
            </w:r>
          </w:p>
        </w:tc>
        <w:tc>
          <w:tcPr>
            <w:tcW w:w="38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20%</w:t>
            </w:r>
          </w:p>
        </w:tc>
        <w:tc>
          <w:tcPr>
            <w:tcW w:w="2740" w:type="dxa"/>
            <w:vAlign w:val="bottom"/>
            <w:shd w:val="clear" w:color="auto" w:fill="CCEEFF"/>
          </w:tcPr>
          <w:p>
            <w:pPr>
              <w:jc w:val="right"/>
              <w:ind w:right="1630"/>
              <w:spacing w:after="0"/>
              <w:rPr>
                <w:sz w:val="20"/>
                <w:szCs w:val="20"/>
                <w:color w:val="auto"/>
              </w:rPr>
            </w:pPr>
            <w:r>
              <w:rPr>
                <w:rFonts w:ascii="Arial" w:cs="Arial" w:eastAsia="Arial" w:hAnsi="Arial"/>
                <w:sz w:val="18"/>
                <w:szCs w:val="18"/>
                <w:color w:val="auto"/>
              </w:rPr>
              <w:t>19%</w:t>
            </w: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Revenues for Workforce Solutions increased $2.0 million, or 4%, to $51.2 million for the three months ended September 30, 2021 from $49.2 million for the three months ended September 30, 2020. The Workforce Solutions segment achieved this 4% growth while overcoming a $9.2 million decline from the legacy resuscitation business. In this regard, while revenues from legacy resuscitation products effectively ceased at the end of 2020, revenues for the three months ended September 30, 2021 included $0.5 million as we extended, with support from Laerdal, utilization of these products in 2021 for a small group of customers. Revenues from recent acquisitions and growth in other solutions more than offset the decline in legacy resuscitation revenues. Workforce revenues also benefited from a $0.5 million increase in professional services revenues, primarily associated with recently acquired businesses.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for Provider Solutions increased $1.2 million, or 11%, to $12.9 million for the three months ended September 30, 2021 from $11.7 million for the three months ended September 30, 2020. Revenue growth was primarily attributable to new subscription revenues.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decreased $0.7 million, or 3%, to $22.6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from $23.3 million for the three months ended September 30, 2020. Cost of revenues as a percentage of revenues was 35% and 38% for the three months ended September 30, 2021 and 2020, respectively.</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 of revenues for Workforce Solutions decreased $0.9 million to $18.4 million for the three months ended September 30, 2021 compared to the prior year period and approximated 36% and 39% of revenues for Workforce Solutions for the three months ended September 30, 2021 and 2020, respectively. The decrease is primarily attributable to a decrease in royalties payable by us related to legacy resuscitation products, partially offset by increased expenses related to recent acquisitions coupled with an increase in software expense classified as cost of revenues during the three months ended September 30, 2021. Cost of revenues for Provider Solutions increased $0.2 million to $4.2 million for the three months ended September 30, 2021 compared to the prior year period and approximated 33% and 34% of Provider Solutions revenues for the three months ended September 30, 2021 and 2020, respectively. The increase in amount is primarily associated with an increase in software expense classified as cost of revenues during the three months ended September 30, 2021.</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$2.1 million, or 26%, to $10.3 million for the three months ended September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from $8.2 million for the three months ended September 30, 2020. Product development expenses as a percentage of revenues were 16% and 13% for the three months ended September 30, 2021 and 2020, respectively.</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Product development expenses for Workforce Solutions increased $2.2 million to $8.7 million for the three months ended September 30, 2021 compared to the prior year period and approximated 17% and 13% of revenues for Workforce Solutions for the three months ended September 30, 2021 and 2020, respectively. The increase is primarily associated with recent acquisitions and increased product development efforts across other workforce solutions. Product development expenses for Provider Solutions decreased $0.1 million to $1.6 million for the three months ended September 30, 2021 compared to the prior year period and approximated 12% and 15% of revenues for Provider Solutions for the three months ended September 30, 2021 and 2020, respectively. The decrease in product development expenses is primarily due to an increase in labor capitalized for internally developed software related to additional product investments across the VerityStream product suite.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$1.3 million, or 15%, to $10.2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from $8.9 million for the three months ended September 30, 2020. Sales and marketing expenses were 16% and 15% of revenues for the three months ended September 30, 2021 and 2020, respectively.</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and marketing expenses for Workforce Solutions increased $1.2 million to $8.2 million for the three months ended September 30, 2021 compared to the prior year period and approximated 16% and 14% of revenues for Workforce Solutions for the three months ended September 30, 2021 and 2020, respectively. The increase is primarily due to an increase in general marketing expenses and additional personnel expenses due to recent acquisitions partially offset by lower sales commissions associated with the decline in legacy resuscitation revenues. Sales and marketing expenses for Provider Solutions increased $0.1 million to $1.7 million for the three months ended September 30, 2021 compared to the prior year period and approximated 13% and 14% of revenues for Provider Solutions for the three months ended September 30, 2021 and 2020, respectively. The unallocated corporate portion of sales and marketing expenses increased $70,000 to $0.3 million for the three months ended September 30, 2021 compared to the prior year period.</w:t>
      </w:r>
    </w:p>
    <w:p>
      <w:pPr>
        <w:sectPr>
          <w:pgSz w:w="11900" w:h="16838" w:orient="portrait"/>
          <w:cols w:equalWidth="0" w:num="1">
            <w:col w:w="11240"/>
          </w:cols>
          <w:pgMar w:left="320" w:top="125" w:right="339"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was $10.0 million for both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September 30, 2020. Other general and administrative expenses were 16% of revenues for both the three months ended September 30, 2021 and 2020.</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Other general and administrative expenses for Workforce Solutions decreased $0.5 million to $2.9 million for the three months ended September 30, 2021 compared to the prior year period and approximated 6% and 7% of Workforce Solutions revenues for the three months ended September 30, 2021 and 2020, respectively. The decrease is primarily due to a decrease in software expense classified as general and administrative expenses partially offset by expenses related to recent acquisitions. Other general and administrative expenses for Provider Solutions increased $0.1 million to $1.0 million for the three months ended September 30, 2021 compared to the prior year period and approximated 8% and 7% of Provider Solutions revenues for the three months ended September 30, 2021 and 2020, respectively. The increase is primarily due to increased personnel costs compared to the prior year period. The unallocated corporate portion of other general and administrative expenses increased $0.4 million to $6.1 million for the three months ended September 30, 2021 compared to the prior year period primarily due to increased personnel costs.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increased $1.7 million, or 23%, to $9.1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2021 from $7.4 million for the three months ended September 30, 2020. This increase is primarily a result of increases to amortization associated with capitalized software and intangible assets from recent acquisitions.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Other (Loss) Income, Net</w:t>
      </w:r>
      <w:r>
        <w:rPr>
          <w:rFonts w:ascii="Arial" w:cs="Arial" w:eastAsia="Arial" w:hAnsi="Arial"/>
          <w:sz w:val="17"/>
          <w:szCs w:val="17"/>
          <w:color w:val="auto"/>
        </w:rPr>
        <w:t>. Other (loss) income, net was a loss of $99,000 for the three months ended September 30, 2021 compared to income of</w:t>
      </w:r>
      <w:r>
        <w:rPr>
          <w:rFonts w:ascii="Arial" w:cs="Arial" w:eastAsia="Arial" w:hAnsi="Arial"/>
          <w:sz w:val="17"/>
          <w:szCs w:val="17"/>
          <w:i w:val="1"/>
          <w:iCs w:val="1"/>
          <w:color w:val="auto"/>
        </w:rPr>
        <w:t xml:space="preserve"> </w:t>
      </w:r>
      <w:r>
        <w:rPr>
          <w:rFonts w:ascii="Arial" w:cs="Arial" w:eastAsia="Arial" w:hAnsi="Arial"/>
          <w:sz w:val="17"/>
          <w:szCs w:val="17"/>
          <w:color w:val="auto"/>
        </w:rPr>
        <w:t>$0.1 million for the three months ended September 30, 2020. The decrease is a result of lower interest income due to reductions in cash and investment balances and lower interest rate yields during the three months ended September 30, 2021 compared to the prior year period.</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Income Tax Provision. </w:t>
      </w:r>
      <w:r>
        <w:rPr>
          <w:rFonts w:ascii="Arial" w:cs="Arial" w:eastAsia="Arial" w:hAnsi="Arial"/>
          <w:sz w:val="16"/>
          <w:szCs w:val="16"/>
          <w:color w:val="auto"/>
        </w:rPr>
        <w:t>The Company recorded a provision for income taxes of $0.2 million for the three months ended September 30, 2021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$0.6 million for the three months ended September 30, 2020. The Company’s effective tax rate was 11% for the three months ended September 30, 2021 compared to 19% for the three months ended September 30, 2020. The Company’s effective tax rate primarily reflects the statutory corporate income tax rate, the net effect of state taxes, foreign income taxes, the effect of various permanent tax differences, and recognition of discrete tax items.</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was approximately $1.5 million and $2.6 million for the three months ended September 30, 2021 and 2020, respectively.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per share (EPS) was $0.05 per share (diluted) and $0.08 per share (diluted) for the three months ended September 30, 2021 and 2020, respectively.</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Adjusted EBITDA was $12.5 million for the three months ended September 30, 2021 compared to $11.2 million for the three months ended September 30, 2020. See “Reconciliation of Non-GAAP Financial Measures” below for our reconciliation of adjusted EBITDA to the most directly comparable measures under US GAAP and disclosure regarding why we believe Adjusted EBITDA provides useful information to investors.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 Compared to Nine Months Ended September 30, 2020</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$9.4 million, or 5%, to $192.4 million for the nine months ended September 30, 2021 from $183.0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w w:val="95"/>
              </w:rPr>
              <w:t>A comparison of revenues by business segment is as follows (in thousands):</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20" w:type="dxa"/>
            <w:vAlign w:val="bottom"/>
            <w:gridSpan w:val="7"/>
          </w:tcPr>
          <w:p>
            <w:pPr>
              <w:jc w:val="center"/>
              <w:ind w:right="48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191"/>
        </w:trPr>
        <w:tc>
          <w:tcPr>
            <w:tcW w:w="5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6"/>
                <w:szCs w:val="16"/>
                <w:color w:val="auto"/>
              </w:rPr>
            </w:pPr>
          </w:p>
        </w:tc>
      </w:t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Revenues by Business Segment:</w:t>
            </w: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20"/>
                <w:szCs w:val="20"/>
                <w:color w:val="auto"/>
              </w:rPr>
            </w:pPr>
          </w:p>
        </w:tc>
      </w:tr>
      <w:tr>
        <w:trPr>
          <w:trHeight w:val="210"/>
        </w:trPr>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Workforce Solutions</w:t>
            </w:r>
          </w:p>
        </w:tc>
        <w:tc>
          <w:tcPr>
            <w:tcW w:w="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154,559</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147,909</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216"/>
        </w:trPr>
        <w:tc>
          <w:tcPr>
            <w:tcW w:w="5840" w:type="dxa"/>
            <w:vAlign w:val="bottom"/>
          </w:tcPr>
          <w:p>
            <w:pPr>
              <w:ind w:left="340"/>
              <w:spacing w:after="0"/>
              <w:rPr>
                <w:sz w:val="20"/>
                <w:szCs w:val="20"/>
                <w:color w:val="auto"/>
              </w:rPr>
            </w:pPr>
            <w:r>
              <w:rPr>
                <w:rFonts w:ascii="Arial" w:cs="Arial" w:eastAsia="Arial" w:hAnsi="Arial"/>
                <w:sz w:val="18"/>
                <w:szCs w:val="18"/>
                <w:color w:val="auto"/>
              </w:rPr>
              <w:t>Provider Solutions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37,815</w:t>
            </w: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35,099</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0"/>
        </w:trPr>
        <w:tc>
          <w:tcPr>
            <w:tcW w:w="5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8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revenues, net</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192,374</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183,008</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of Revenues</w:t>
            </w:r>
          </w:p>
        </w:tc>
        <w:tc>
          <w:tcPr>
            <w:tcW w:w="3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r>
      <w:tr>
        <w:trPr>
          <w:trHeight w:val="216"/>
        </w:trPr>
        <w:tc>
          <w:tcPr>
            <w:tcW w:w="4640" w:type="dxa"/>
            <w:vAlign w:val="bottom"/>
          </w:tcPr>
          <w:p>
            <w:pPr>
              <w:ind w:left="340"/>
              <w:spacing w:after="0"/>
              <w:rPr>
                <w:sz w:val="20"/>
                <w:szCs w:val="20"/>
                <w:color w:val="auto"/>
              </w:rPr>
            </w:pPr>
            <w:r>
              <w:rPr>
                <w:rFonts w:ascii="Arial" w:cs="Arial" w:eastAsia="Arial" w:hAnsi="Arial"/>
                <w:sz w:val="18"/>
                <w:szCs w:val="18"/>
                <w:color w:val="auto"/>
              </w:rPr>
              <w:t>Workforce Solutions</w:t>
            </w:r>
          </w:p>
        </w:tc>
        <w:tc>
          <w:tcPr>
            <w:tcW w:w="3860" w:type="dxa"/>
            <w:vAlign w:val="bottom"/>
          </w:tcPr>
          <w:p>
            <w:pPr>
              <w:jc w:val="right"/>
              <w:ind w:right="610"/>
              <w:spacing w:after="0"/>
              <w:rPr>
                <w:sz w:val="20"/>
                <w:szCs w:val="20"/>
                <w:color w:val="auto"/>
              </w:rPr>
            </w:pPr>
            <w:r>
              <w:rPr>
                <w:rFonts w:ascii="Arial" w:cs="Arial" w:eastAsia="Arial" w:hAnsi="Arial"/>
                <w:sz w:val="18"/>
                <w:szCs w:val="18"/>
                <w:color w:val="auto"/>
              </w:rPr>
              <w:t>80%</w:t>
            </w:r>
          </w:p>
        </w:tc>
        <w:tc>
          <w:tcPr>
            <w:tcW w:w="2740" w:type="dxa"/>
            <w:vAlign w:val="bottom"/>
          </w:tcPr>
          <w:p>
            <w:pPr>
              <w:jc w:val="right"/>
              <w:ind w:right="1630"/>
              <w:spacing w:after="0"/>
              <w:rPr>
                <w:sz w:val="20"/>
                <w:szCs w:val="20"/>
                <w:color w:val="auto"/>
              </w:rPr>
            </w:pPr>
            <w:r>
              <w:rPr>
                <w:rFonts w:ascii="Arial" w:cs="Arial" w:eastAsia="Arial" w:hAnsi="Arial"/>
                <w:sz w:val="18"/>
                <w:szCs w:val="18"/>
                <w:color w:val="auto"/>
              </w:rPr>
              <w:t>81%</w:t>
            </w:r>
          </w:p>
        </w:tc>
      </w:tr>
      <w:tr>
        <w:trPr>
          <w:trHeight w:val="216"/>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Provider Solutions</w:t>
            </w:r>
          </w:p>
        </w:tc>
        <w:tc>
          <w:tcPr>
            <w:tcW w:w="38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20%</w:t>
            </w:r>
          </w:p>
        </w:tc>
        <w:tc>
          <w:tcPr>
            <w:tcW w:w="2740" w:type="dxa"/>
            <w:vAlign w:val="bottom"/>
            <w:shd w:val="clear" w:color="auto" w:fill="CCEEFF"/>
          </w:tcPr>
          <w:p>
            <w:pPr>
              <w:jc w:val="right"/>
              <w:ind w:right="1630"/>
              <w:spacing w:after="0"/>
              <w:rPr>
                <w:sz w:val="20"/>
                <w:szCs w:val="20"/>
                <w:color w:val="auto"/>
              </w:rPr>
            </w:pPr>
            <w:r>
              <w:rPr>
                <w:rFonts w:ascii="Arial" w:cs="Arial" w:eastAsia="Arial" w:hAnsi="Arial"/>
                <w:sz w:val="18"/>
                <w:szCs w:val="18"/>
                <w:color w:val="auto"/>
              </w:rPr>
              <w:t>19%</w:t>
            </w: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Revenues for Workforce Solutions increased $6.7 million, or 4%, over the first nine months of 2020. Contributions from recent acquisitions and growth in other workforce solutions more than offset the expected decline in revenues from legacy resuscitation products of $28.3 million. While revenues from legacy resuscitation products effectively ceased at the end of 2020, revenues for the nine months ended September 30, 2021 included $3.2 million as we extended, with support from Laerdal, utilization of these products into 2021 for a small group of customers. Workforce revenues also benefited from a $1.4 million increase in professional services revenues, primarily associated with recently acquired businesses.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for Provider Solutions increased $2.7 million, or 8%, over the first nine months of 2020. Revenue growth was primarily attributable to new subscription revenues.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increased $1.5 million, or 2%, to $68.1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from $66.6 million for the nine months ended September 30, 2020. Cost of revenues as a percentage of revenues was 35% and 36% for the nine months ended September 30, 2021 and 2020, respectively. Cost of revenues were favorably impacted by $0.2 million during the nine months ended September 30, 2021, resulting from the non-cash reduction to PTO expense, and were favorably impacted in the amount of $3.4 million during the nine months ended September 30, 2020 from the one-time non-cash contractual adjustment to royalty expense.</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Cost of revenues for Workforce Solutions increased $1.2 million to $55.9 million and approximated 36% and 37% of revenues for Workforce Solutions for the nine months ended September 30, 2021 and 2020, respectively. The increase in amount is primarily associated with increased expenses related to recent acquisitions, the one-time contractual adjustment to cost of revenues in the amount of $3.4 million recorded during the nine months ended September 30, 2020, and an increase in software expense classified as cost of revenues during the nine months ended September 30, 2021, partially offset by a decline in royalties related to legacy resuscitation products. Cost of revenues for Provider Solutions increased $0.3 million to $12.1 million and approximated 32% and 34% of Provider Solutions revenues for the nine months ended September 30, 2021 and 2020, respectively. The increase in amount is primarily associated with an increase in software expense classified as cost of revenues during the nine months ended September 30, 2021.</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increased $6.7 million, or 29%, to $30.2 million for the nine months ended September 30, 2021 from</w:t>
      </w:r>
      <w:r>
        <w:rPr>
          <w:rFonts w:ascii="Arial" w:cs="Arial" w:eastAsia="Arial" w:hAnsi="Arial"/>
          <w:sz w:val="17"/>
          <w:szCs w:val="17"/>
          <w:i w:val="1"/>
          <w:iCs w:val="1"/>
          <w:color w:val="auto"/>
        </w:rPr>
        <w:t xml:space="preserve"> </w:t>
      </w:r>
      <w:r>
        <w:rPr>
          <w:rFonts w:ascii="Arial" w:cs="Arial" w:eastAsia="Arial" w:hAnsi="Arial"/>
          <w:sz w:val="17"/>
          <w:szCs w:val="17"/>
          <w:color w:val="auto"/>
        </w:rPr>
        <w:t>$23.5 million for the nine months ended September 30, 2020. Product development expenses as a percentage of revenues were 16% and 13% of revenues for the nine months ended September 30, 2021 and 2020, respectively. Product development expenses were favorably impacted in the amount of $0.4 million during the nine months ended September 30, 2021 from the non-cash reduction to PTO expense.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development expenses for Workforce Solutions increased $7.3 million to $25.8 million and approximated 17% and 13% of revenues for Workforce Solutions for the nine months ended September 30, 2021 and 2020, respectively. The increase in amount is primarily associated with recent acquisitions and increased product development efforts across other workforce solutions. Product development expenses for Provider Solutions decreased $0.6 million to $4.4 million and approximated 12% and 14% of revenues for Provider Solutions for the nine months ended September 30, 2021 and 2020, respectively. The decrease is primarily due to an increase in labor capitalized for internally developed software related to additional product investments across the VerityStream product suite.</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including personnel costs, increased $2.4 million, or 9%, to $28.7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from $26.3 million for the nine months ended September 30, 2020. Sales and marketing expenses were 15% and 14% of revenues for the nine months ended September 30, 2021 and 2020, respectively. Sales and marketing expenses were favorably impacted by $0.2 million during the nine months ended September 30, 2021 resulting from the non-cash reduction to PTO expense.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Sales and marketing expenses for Workforce Solutions increased $2.1 million to $22.9 million and approximated 15% and 14% of revenues for Workforce Solutions for the nine months ended September 30, 2021 and 2020, respectively. The increase is primarily associated with increases in general marketing expenses and recent acquisitions, partially offset by lower sales commissions associated with the decline in legacy resuscitation revenues and decreases in travel expenses as a result of the COVID-19 pandemic. Sales and marketing expenses for Provider Solutions increased $0.1 million to $4.9 million and approximated 13% of revenues for Provider Solutions for both the nine months ended September 30, 2021 and 2020. The unallocated portion of sales and marketing expenses increased $0.2 million to $1.0 million compared to the prior year period.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decreased $0.5 million, or 2%, to $29.4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2021 from $29.9 million for the nine months ended September 30, 2020. Other general and administrative expenses as a percentage of revenues were 15% and 16% of revenues for the nine months ended September 30, 2021 and 2020, respectively. Other general and administrative expenses were favorably impacted by $0.2 million during the nine months ended September 30, 2021 resulting from the non-cash reduction to PTO expense.</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general and administrative expenses for Workforce Solutions decreased $2.3 million to $9.0 million and approximated 6% and 8% of revenues for Workforce Solutions for the nine months ended September 30, 2021 and 2020, respectively. The decrease is primarily associated with a decrease in software expense classified as general and administrative expenses during the nine months ended September 30, 2021, partially offset by expenses associated with recent acquisitions. Other general and administrative expenses for Provider Solutions increased $0.2 million to $2.7 million and approximated 7% of revenues for Provider Solutions for both the nine months ended September 30, 2021 and 2020. The unallocated corporate portion of other general and administrative expenses increased $1.6 million to $17.8 million compared to the first nine months of 2020 primarily due to increased personnel expenses over the prior year period.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$5.4 million, or 25%, to $27.4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from $22.0 million for the nine months ended September 30, 2020. The increase resulted from increases in amortization associated with capitalized software and intangible assets from recent acquisitions.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Other (Loss) Income, Net</w:t>
      </w:r>
      <w:r>
        <w:rPr>
          <w:rFonts w:ascii="Arial" w:cs="Arial" w:eastAsia="Arial" w:hAnsi="Arial"/>
          <w:sz w:val="17"/>
          <w:szCs w:val="17"/>
          <w:color w:val="auto"/>
        </w:rPr>
        <w:t>. Other (loss) income, net was a loss of $0.3 million for the nine months ended September 30, 2021 compared to income of</w:t>
      </w:r>
      <w:r>
        <w:rPr>
          <w:rFonts w:ascii="Arial" w:cs="Arial" w:eastAsia="Arial" w:hAnsi="Arial"/>
          <w:sz w:val="17"/>
          <w:szCs w:val="17"/>
          <w:i w:val="1"/>
          <w:iCs w:val="1"/>
          <w:color w:val="auto"/>
        </w:rPr>
        <w:t xml:space="preserve"> </w:t>
      </w:r>
      <w:r>
        <w:rPr>
          <w:rFonts w:ascii="Arial" w:cs="Arial" w:eastAsia="Arial" w:hAnsi="Arial"/>
          <w:sz w:val="17"/>
          <w:szCs w:val="17"/>
          <w:color w:val="auto"/>
        </w:rPr>
        <w:t>$2.0 million for the nine months ended September 30, 2020. This decrease is driven by the $1.2 million gain associated with the change in fair value of the non-marketable equity investment in NurseGrid prior to the acquisition of NurseGrid on March 9, 2020, coupled with lower interest income due to reductions in bond yields and bank interest rates during the nine months ended September 30, 2021 compared to the prior year period.</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Income Tax Provision. </w:t>
      </w:r>
      <w:r>
        <w:rPr>
          <w:rFonts w:ascii="Arial" w:cs="Arial" w:eastAsia="Arial" w:hAnsi="Arial"/>
          <w:sz w:val="16"/>
          <w:szCs w:val="16"/>
          <w:color w:val="auto"/>
        </w:rPr>
        <w:t>The Company recorded a provision for income taxes of $2.0 million and $3.5 million for the nine months ended September 30, 2021</w:t>
      </w:r>
      <w:r>
        <w:rPr>
          <w:rFonts w:ascii="Arial" w:cs="Arial" w:eastAsia="Arial" w:hAnsi="Arial"/>
          <w:sz w:val="16"/>
          <w:szCs w:val="16"/>
          <w:i w:val="1"/>
          <w:iCs w:val="1"/>
          <w:color w:val="auto"/>
        </w:rPr>
        <w:t xml:space="preserve"> </w:t>
      </w:r>
      <w:r>
        <w:rPr>
          <w:rFonts w:ascii="Arial" w:cs="Arial" w:eastAsia="Arial" w:hAnsi="Arial"/>
          <w:sz w:val="16"/>
          <w:szCs w:val="16"/>
          <w:color w:val="auto"/>
        </w:rPr>
        <w:t>and 2020, respectively. The Company’s effective tax rate was 25% for the nine months ended September 30, 2021 compared to 21% for the nine months ended September 30, 2020. The Company’s effective tax rate primarily reflects the statutory corporate income tax rate, the net effect of state taxes, foreign income taxes, and the effect of various permanent tax differences. During the nine months ended September 30, 2021, the Company recorded discrete tax expense of $0.2 million, which included purchase accounting adjustments, changes in state tax rates enacted during the period, and lower research and development tax credits recognized than previously estimated. During the nine months ended September 30, 2020, the Company recorded a $1.2 million change in fair value of non-marketable equity investments as a result of the NurseGrid acquisition, which is not a taxable transaction, resulting in a tax benefit of $0.3 million, and recognized tax benefits resulting from higher research and development tax credits than previously estimated.</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was $6.2 million for the nine months ended September 30, 2021 compared to $13.2 million for the nine months ended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2020. Earnings per diluted share were $0.20 and $0.41 per share for the nine months ended September 30, 2021 and 2020, respectively.</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increased $5.4 million to $40.6 million for the nine months ended September 30, 2021 compared to $35.2 million for the nine months ended September 30, 2020. This increase resulted from the factors mentioned above. See “Reconciliation of Non-GAAP Financial Measures” below for our reconciliation of Adjusted EBITDA to the most directly comparable measure under US GAAP.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Developments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legacy agreements with Laerdal (Legacy Agreements) for the HeartCode and Resuscitation Quality Improvement (RQI) products expired pursuant to their terms on December 31, 2018. Revenues associated with sales of HeartCode and RQI products pursuant to the Legacy Agreements were significant in recent years, although margins on such products have been lower than HealthStream’s average margin. Revenue generated by HeartCode and RQI products pursuant to the Legacy Agreements was $38.4 million and $58.9 million in 2020 and 2019, respectively. While revenues from legacy resuscitation products effectively ceased at the end of 2020, revenues for the nine months ended September 30, 2021 included $3.2 million as we extended, with Laerdal’s support, utilization of these products for a small group of customers. We expect revenue from legacy products to be de minimis for the fourth quarter of 2021.</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6, 2018, we announced a new agreement with RQI Partners, a joint venture between Laerdal and the American Heart Association. This agreement with RQI Partners was not an extension or renewal of the expired Legacy Agreements with Laerdal and should not be construed as such. Under our agreement with RQI Partners, HealthStream will neither market nor sell HeartCode or RQI. Our RQI Partners agreement provides for continuity of service for customers that desire to purchase HeartCode or RQI from RQI Partners after December 31, 2018 and receive it via the HealthStream Learning Center. RQI Partners will remit a fee to us when sales of HeartCode and RQI are delivered via the HealthStream Learning Center. These fees will not be sufficient to supplant the revenue runout associated with the Legacy Agreements.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remain actively engaged in efforts to broaden the scope and utilization of our simulation-related offerings to include a range of clinical competencies that extend beyond resuscitation, and we intend to bring to market a broadened scope of simulation-based offerings, including resuscitation programs. On January 17, 2019, as part of a seven-year collaboration agreement with the American Red Cross which spans to 2026, we announced the launch of the American Red Cross Resuscitation Suite. We are actively engaged in efforts to market, sell, and deliver our new resuscitation offering, which includes the American Red Cross Resuscitation Suite and validation of skills through a technology enabled Innosonian manikin. A growing number of customers have been implemented on our new resuscitation offering and the solution continues to gain acceptance in the market. We believe our efforts to market, sell, and deliver the American Red Cross Resuscitation Suite, along with efforts to bring additional simulation-related offerings to market, are giving rise to additional and higher margin opportunities than those that existed under the Legacy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Quarterly Report on Form 10-Q presents adjusted EBITDA, which is a non-GAAP financial measure used by management in analyzing our financial results and ongoing operational performance.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order to better assess the Company’s financial results, management believes that net income excluding the impact of the deferred revenue write-downs associated with fair value accounting for acquired businesses and before interest, income taxes, stock based compensation, depreciation and amortization, changes in fair value of non-marketable equity investments, the de-recognition of non-cash expense resulting from the paid time off expense reduction in the first quarter of 2021, and the resolution of a mutual disagreement related to various elements of a past partnership which resulted in a reduction to cost of sales in the first quarter of 2020 (“adjusted EBITDA”) is a useful measure for evaluating the operating performance of the Company because adjusted EBITDA reflects net income adjusted for certain GAAP accounting, non-cash and non-operating items which may not, in any such case, fully reflect the underlying operating performance of our business. We also believe that adjusted EBITDA is useful to many investors to assess the Company’s ongoing operating performance and to compare the Company’s operating performance between periods. Additionally, beginning in 2021, executive bonuses are based on the achievement of adjusted EBITDA targets.</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noted above, the definition of adjusted EBITDA includes an adjustment for the impact of the deferred revenue write-downs associated with fair value accounting for acquired businesses. Following the completion of any acquisition by the Company, the Company must record the acquired deferred revenue at fair value as defined in GAAP, which may result in a write-down of deferred revenue. If the Company is required to record a write-down of deferred revenue, it may result in lower recognized revenue, operating income, and net income in subsequent periods. Revenue for any such acquired business is deferred and is typically recognized over a one-to-two year period following the completion of any particular acquisition, so our GAAP revenues for this one-to-two year period will not reflect the full amount of revenues that would have been reported if the acquired deferred revenue was not written down to fair value. Management believes that including an adjustment in the definition of adjusted EBITDA for the impact of the deferred write-downs associated with fair value accounting for acquired businesses provides useful information to investors because the deferred revenue write-down recognized in periods after an acquisition may, given the nature of this non-cash accounting impact, cause our GAAP financial results during such periods to not fully reflect our underlying operating performance and thus adjusting for this amount may assist in comparing the Company’s results of operations between periods.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is a non-GAAP financial measure and should not be considered as a measure of financial performance under GAAP. Because adjusted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EBITDA is not a measurement determined in accordance with GAAP, adjusted EBITDA is susceptible to varying calculations. Accordingly, adjusted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EBITDA, as presented, may not be comparable to other similarly titled measures of other companies and has limitations as analytical tools.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EBITDA to the most directly comparable GAAP measure is set forth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Deferred revenue write-down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805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Stock based compensation expense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861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1,665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9,141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Non-cash paid time off expense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non-marketable equity investments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Non-cash royalty expense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(3,440)</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12,502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11,210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35,248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cash provided by operating activities increased by $5.6 million to $36.4 million during the nine months ended September 30, 2021 from $30.8 million during the nine months ended September 30, 2020. Such increase was primarily driven by higher cash collections. Our DSO was 40 days for the third quarter of 2021 compared to 43 days for the third quarter of 2020.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cash used in investing activities was $17.0 million for the nine months ended September 30, 2021 compared to $38.5 million for the nine months ended September 30, 2020. During the nine months ended September 30, 2021, the Company spent $0.7 million on business combinations, invested in marketable securities of $5.2 million, made payments for capitalized software development of $16.6 million, purchased property and equipment of $2.6 million, and invested $1.8 million in equity method investments. These uses of cash were partially offset by $9.9 million in maturities of marketable securities. During the nine months ended September 30, 2020 the Company paid $21.4 million on business combinations, invested in marketable securities of $61.2 million, made payments for capitalized software development of $12.4 million, purchased property and equipment of $1.7 million, and invested $1.3 million in non-marketable equity investments. These uses of cash were partially offset by $59.5 million in maturities of marketable securities.</w:t>
      </w:r>
    </w:p>
    <w:p>
      <w:pPr>
        <w:sectPr>
          <w:pgSz w:w="11900" w:h="16838" w:orient="portrait"/>
          <w:cols w:equalWidth="0" w:num="1">
            <w:col w:w="11240"/>
          </w:cols>
          <w:pgMar w:left="320" w:top="125" w:right="339"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cash used in financing activities was approximately $0.5 million for the nine months ended September 30, 2021 compared to $16.8 million for the nine months ended September 30, 2020. The use of cash for the nine months ended September 30, 2021 included $0.5 million for the payment of employee payroll taxes in relation to the vesting of restricted share units. The uses of cash for the nine months ended September 30, 2020 included $16.4 million for common stock repurchases and $0.4 million for the payment of employee payroll taxes in relation to the vesting of restricted share units.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balance sheet reflects positive working capital of $10.3 million at September 30, 2021 compared to negative working capital of $4.7 million at December 31, 2020. The improvement in working capital is primarily a result of strong cash collections during the first nine months of 2021. The Company’s primary source of liquidity as of September 30, 2021 was $55.5 million of cash and cash equivalents and $5.1 million of marketable securities. The Company also has a $65.0 million revolving credit facility, all of which was available for additional borrowing at September 30, 2021. The revolving credit facility expires on October 28, 2023, unless earlier renewed or amended.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calculations at the time of borrowing. As of September 30, 2021, we were in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exposed to market risk from changes in interest rates, foreign currency risk, and investment risk. We do not have any commodity price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September 30, 2021 and during the three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$60.6 million at September 30, 2021. Assuming a hypothetical 10% decrease in interest rates for invested balances, interest income from cash and investments would decrease on an annualized basis by approximately $10,000.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foreign currency risks related to our revenue and operating expenses denominated in currencies other than the US dollar, including Canadian dollar, New Zealand dollar, and Australian dollar. Increases or decreases in our foreign-denominated revenue from movements in foreign exchange rates are often partially offset by the corresponding increases or decreases in our foreign-denominated operating expenses.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that our international operations grow, our risks associated with fluctuation in currency rates will become greater, and we will continue to assess our approach to managing this risk. In addition, currency fluctuations or a weakening US dollar can increase the costs of our international operations. To date, we have not entered into any foreign currency hedging contracts although we may do so in the future.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Risk</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investment portfolio that includes strategic investments in privately held companies, which primarily include early-stage companies. We primarily invest in healthcare technology companies that we believe can help expand our ecosystem. We may continue to make these types of strategic investments as opportunities arise that we find attractive. We may experience additional volatility to our Consolidated Financial Statements due to changes in market prices, observable price changes, and impairments to our strategic investments. These changes could be material based on market conditions and events.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third quarter of 2021 that has materially affected, or that is reasonably likely to materially affect, HealthStream’s internal control over financial reporting.</w:t>
      </w:r>
    </w:p>
    <w:p>
      <w:pPr>
        <w:spacing w:after="0" w:line="16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PART II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previously disclosed in the 2020 Form 10-K.</w:t>
      </w:r>
    </w:p>
    <w:p>
      <w:pPr>
        <w:spacing w:after="0" w:line="221" w:lineRule="exact"/>
        <w:rPr>
          <w:sz w:val="20"/>
          <w:szCs w:val="20"/>
          <w:color w:val="auto"/>
        </w:rPr>
      </w:pPr>
    </w:p>
    <w:p>
      <w:pPr>
        <w:jc w:val="center"/>
        <w:ind w:right="10020"/>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b w:val="1"/>
          <w:bCs w:val="1"/>
          <w:i w:val="1"/>
          <w:iCs w:val="1"/>
          <w:color w:val="auto"/>
        </w:rPr>
        <w:t>Exhibits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rPr>
              <w:t>31.1</w:t>
            </w:r>
          </w:p>
        </w:tc>
        <w:tc>
          <w:tcPr>
            <w:tcW w:w="600" w:type="dxa"/>
            <w:vAlign w:val="bottom"/>
          </w:tcPr>
          <w:p>
            <w:pPr>
              <w:spacing w:after="0"/>
              <w:rPr>
                <w:sz w:val="18"/>
                <w:szCs w:val="18"/>
                <w:color w:val="auto"/>
              </w:rPr>
            </w:pPr>
          </w:p>
        </w:tc>
        <w:tc>
          <w:tcPr>
            <w:tcW w:w="1018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Certification of the Chief Executive Officer Pursuant to Section 302 of the Sarbanes-Oxley Act of 2002</w:t>
              </w:r>
            </w:hyperlink>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600" w:type="dxa"/>
            <w:vAlign w:val="bottom"/>
          </w:tcPr>
          <w:p>
            <w:pPr>
              <w:spacing w:after="0"/>
              <w:rPr>
                <w:sz w:val="17"/>
                <w:szCs w:val="17"/>
                <w:color w:val="auto"/>
              </w:rPr>
            </w:pPr>
          </w:p>
        </w:tc>
        <w:tc>
          <w:tcPr>
            <w:tcW w:w="10180" w:type="dxa"/>
            <w:vAlign w:val="bottom"/>
            <w:gridSpan w:val="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Certification of the Principal Financial Officer Pursuant to Section 302 of the Sarbanes-Oxley Act of 2002</w:t>
              </w:r>
            </w:hyperlink>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6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600" w:type="dxa"/>
            <w:vAlign w:val="bottom"/>
          </w:tcPr>
          <w:p>
            <w:pPr>
              <w:spacing w:after="0"/>
              <w:rPr>
                <w:sz w:val="17"/>
                <w:szCs w:val="17"/>
                <w:color w:val="auto"/>
              </w:rPr>
            </w:pPr>
          </w:p>
        </w:tc>
        <w:tc>
          <w:tcPr>
            <w:tcW w:w="10180" w:type="dxa"/>
            <w:vAlign w:val="bottom"/>
            <w:gridSpan w:val="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Certification Pursuant to 18 U.S.C. Section 1350, as Adopted Pursuant to Section 906 of the Sarbanes-Oxley Act of 2002</w:t>
              </w:r>
            </w:hyperlink>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740" w:type="dxa"/>
            <w:vAlign w:val="bottom"/>
            <w:gridSpan w:val="3"/>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600" w:type="dxa"/>
            <w:vAlign w:val="bottom"/>
          </w:tcPr>
          <w:p>
            <w:pPr>
              <w:spacing w:after="0"/>
              <w:rPr>
                <w:sz w:val="17"/>
                <w:szCs w:val="17"/>
                <w:color w:val="auto"/>
              </w:rPr>
            </w:pPr>
          </w:p>
        </w:tc>
        <w:tc>
          <w:tcPr>
            <w:tcW w:w="10180" w:type="dxa"/>
            <w:vAlign w:val="bottom"/>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Certification Pursuant to 18 U.S.C. Section 1350, as Adopted Pursuant to Section 906 of the Sarbanes-Oxley Act of 2002</w:t>
              </w:r>
            </w:hyperlink>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740" w:type="dxa"/>
            <w:vAlign w:val="bottom"/>
            <w:gridSpan w:val="3"/>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22"/>
        </w:trPr>
        <w:tc>
          <w:tcPr>
            <w:tcW w:w="440" w:type="dxa"/>
            <w:vAlign w:val="bottom"/>
          </w:tcPr>
          <w:p>
            <w:pPr>
              <w:spacing w:after="0"/>
              <w:rPr>
                <w:sz w:val="20"/>
                <w:szCs w:val="20"/>
                <w:color w:val="auto"/>
              </w:rPr>
            </w:pPr>
            <w:r>
              <w:rPr>
                <w:rFonts w:ascii="Arial" w:cs="Arial" w:eastAsia="Arial" w:hAnsi="Arial"/>
                <w:sz w:val="18"/>
                <w:szCs w:val="18"/>
                <w:color w:val="auto"/>
                <w:w w:val="93"/>
              </w:rPr>
              <w:t>101.1</w:t>
            </w:r>
          </w:p>
        </w:tc>
        <w:tc>
          <w:tcPr>
            <w:tcW w:w="600" w:type="dxa"/>
            <w:vAlign w:val="bottom"/>
          </w:tcPr>
          <w:p>
            <w:pPr>
              <w:ind w:left="20"/>
              <w:spacing w:after="0"/>
              <w:rPr>
                <w:sz w:val="20"/>
                <w:szCs w:val="20"/>
                <w:color w:val="auto"/>
              </w:rPr>
            </w:pPr>
            <w:r>
              <w:rPr>
                <w:rFonts w:ascii="Arial" w:cs="Arial" w:eastAsia="Arial" w:hAnsi="Arial"/>
                <w:sz w:val="18"/>
                <w:szCs w:val="18"/>
                <w:color w:val="auto"/>
              </w:rPr>
              <w:t>INS</w:t>
            </w:r>
          </w:p>
        </w:tc>
        <w:tc>
          <w:tcPr>
            <w:tcW w:w="10180" w:type="dxa"/>
            <w:vAlign w:val="bottom"/>
            <w:gridSpan w:val="4"/>
          </w:tcPr>
          <w:p>
            <w:pPr>
              <w:spacing w:after="0"/>
              <w:rPr>
                <w:sz w:val="20"/>
                <w:szCs w:val="20"/>
                <w:color w:val="auto"/>
              </w:rPr>
            </w:pPr>
            <w:r>
              <w:rPr>
                <w:rFonts w:ascii="Arial" w:cs="Arial" w:eastAsia="Arial" w:hAnsi="Arial"/>
                <w:sz w:val="18"/>
                <w:szCs w:val="18"/>
                <w:color w:val="auto"/>
                <w:w w:val="91"/>
              </w:rPr>
              <w:t>Inline XBRL Instance Document – The instant document does not appear in the Interactive Data File because its XBRL tags are embedded</w:t>
            </w:r>
          </w:p>
        </w:tc>
      </w:tr>
      <w:tr>
        <w:trPr>
          <w:trHeight w:val="216"/>
        </w:trPr>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180" w:type="dxa"/>
            <w:vAlign w:val="bottom"/>
            <w:gridSpan w:val="4"/>
          </w:tcPr>
          <w:p>
            <w:pPr>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101.1 SCH</w:t>
            </w:r>
          </w:p>
        </w:tc>
        <w:tc>
          <w:tcPr>
            <w:tcW w:w="1018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101.1</w:t>
            </w:r>
          </w:p>
        </w:tc>
        <w:tc>
          <w:tcPr>
            <w:tcW w:w="600" w:type="dxa"/>
            <w:vAlign w:val="bottom"/>
          </w:tcPr>
          <w:p>
            <w:pPr>
              <w:ind w:left="20"/>
              <w:spacing w:after="0"/>
              <w:rPr>
                <w:sz w:val="20"/>
                <w:szCs w:val="20"/>
                <w:color w:val="auto"/>
              </w:rPr>
            </w:pPr>
            <w:r>
              <w:rPr>
                <w:rFonts w:ascii="Arial" w:cs="Arial" w:eastAsia="Arial" w:hAnsi="Arial"/>
                <w:sz w:val="18"/>
                <w:szCs w:val="18"/>
                <w:color w:val="auto"/>
              </w:rPr>
              <w:t>CAL</w:t>
            </w:r>
          </w:p>
        </w:tc>
        <w:tc>
          <w:tcPr>
            <w:tcW w:w="1018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101.1</w:t>
            </w:r>
          </w:p>
        </w:tc>
        <w:tc>
          <w:tcPr>
            <w:tcW w:w="600" w:type="dxa"/>
            <w:vAlign w:val="bottom"/>
          </w:tcPr>
          <w:p>
            <w:pPr>
              <w:ind w:left="20"/>
              <w:spacing w:after="0"/>
              <w:rPr>
                <w:sz w:val="20"/>
                <w:szCs w:val="20"/>
                <w:color w:val="auto"/>
              </w:rPr>
            </w:pPr>
            <w:r>
              <w:rPr>
                <w:rFonts w:ascii="Arial" w:cs="Arial" w:eastAsia="Arial" w:hAnsi="Arial"/>
                <w:sz w:val="18"/>
                <w:szCs w:val="18"/>
                <w:color w:val="auto"/>
              </w:rPr>
              <w:t>DEF</w:t>
            </w:r>
          </w:p>
        </w:tc>
        <w:tc>
          <w:tcPr>
            <w:tcW w:w="1018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101.1</w:t>
            </w:r>
          </w:p>
        </w:tc>
        <w:tc>
          <w:tcPr>
            <w:tcW w:w="600" w:type="dxa"/>
            <w:vAlign w:val="bottom"/>
          </w:tcPr>
          <w:p>
            <w:pPr>
              <w:ind w:left="20"/>
              <w:spacing w:after="0"/>
              <w:rPr>
                <w:sz w:val="20"/>
                <w:szCs w:val="20"/>
                <w:color w:val="auto"/>
              </w:rPr>
            </w:pPr>
            <w:r>
              <w:rPr>
                <w:rFonts w:ascii="Arial" w:cs="Arial" w:eastAsia="Arial" w:hAnsi="Arial"/>
                <w:sz w:val="18"/>
                <w:szCs w:val="18"/>
                <w:color w:val="auto"/>
              </w:rPr>
              <w:t>LAB</w:t>
            </w:r>
          </w:p>
        </w:tc>
        <w:tc>
          <w:tcPr>
            <w:tcW w:w="1018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w w:val="93"/>
              </w:rPr>
              <w:t>101.1</w:t>
            </w:r>
          </w:p>
        </w:tc>
        <w:tc>
          <w:tcPr>
            <w:tcW w:w="600" w:type="dxa"/>
            <w:vAlign w:val="bottom"/>
          </w:tcPr>
          <w:p>
            <w:pPr>
              <w:ind w:left="20"/>
              <w:spacing w:after="0"/>
              <w:rPr>
                <w:sz w:val="20"/>
                <w:szCs w:val="20"/>
                <w:color w:val="auto"/>
              </w:rPr>
            </w:pPr>
            <w:r>
              <w:rPr>
                <w:rFonts w:ascii="Arial" w:cs="Arial" w:eastAsia="Arial" w:hAnsi="Arial"/>
                <w:sz w:val="18"/>
                <w:szCs w:val="18"/>
                <w:color w:val="auto"/>
              </w:rPr>
              <w:t>PRE</w:t>
            </w:r>
          </w:p>
        </w:tc>
        <w:tc>
          <w:tcPr>
            <w:tcW w:w="1018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ind w:left="1080" w:hanging="107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cover page from the Company’s Quarterly Report on Form 10-Q for the quarter ended September 30, 2021, has been formatted in Inline</w:t>
      </w:r>
    </w:p>
    <w:p>
      <w:pPr>
        <w:spacing w:after="0" w:line="3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XBRL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600" w:type="dxa"/>
            <w:vAlign w:val="bottom"/>
            <w:gridSpan w:val="2"/>
          </w:tcPr>
          <w:p>
            <w:pPr>
              <w:ind w:left="2380"/>
              <w:spacing w:after="0"/>
              <w:rPr>
                <w:sz w:val="20"/>
                <w:szCs w:val="20"/>
                <w:color w:val="auto"/>
              </w:rPr>
            </w:pPr>
            <w:r>
              <w:rPr>
                <w:rFonts w:ascii="Arial" w:cs="Arial" w:eastAsia="Arial" w:hAnsi="Arial"/>
                <w:sz w:val="18"/>
                <w:szCs w:val="18"/>
                <w:color w:val="auto"/>
              </w:rPr>
              <w:t>HEALTHSTREAM,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October 28, 2021</w:t>
            </w:r>
          </w:p>
        </w:tc>
        <w:tc>
          <w:tcPr>
            <w:tcW w:w="7600" w:type="dxa"/>
            <w:vAlign w:val="bottom"/>
            <w:gridSpan w:val="2"/>
          </w:tcPr>
          <w:p>
            <w:pPr>
              <w:ind w:left="2380"/>
              <w:spacing w:after="0"/>
              <w:rPr>
                <w:sz w:val="20"/>
                <w:szCs w:val="20"/>
                <w:color w:val="auto"/>
              </w:rPr>
            </w:pPr>
            <w:r>
              <w:rPr>
                <w:rFonts w:ascii="Arial" w:cs="Arial" w:eastAsia="Arial" w:hAnsi="Arial"/>
                <w:sz w:val="18"/>
                <w:szCs w:val="18"/>
                <w:color w:val="auto"/>
              </w:rPr>
              <w:t>By:   /s/ Scott A. Roberts</w:t>
            </w:r>
          </w:p>
        </w:tc>
      </w:tr>
      <w:tr>
        <w:trPr>
          <w:trHeight w:val="195"/>
        </w:trPr>
        <w:tc>
          <w:tcPr>
            <w:tcW w:w="36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Scott A. Roberts</w:t>
            </w:r>
          </w:p>
        </w:tc>
      </w:tr>
      <w:tr>
        <w:trPr>
          <w:trHeight w:val="230"/>
        </w:trPr>
        <w:tc>
          <w:tcPr>
            <w:tcW w:w="36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500" w:hanging="6"/>
        <w:spacing w:after="0" w:line="263" w:lineRule="auto"/>
        <w:tabs>
          <w:tab w:leader="none" w:pos="70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hanging="6"/>
        <w:spacing w:after="0" w:line="263" w:lineRule="auto"/>
        <w:tabs>
          <w:tab w:leader="none" w:pos="73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hanging="6"/>
        <w:spacing w:after="0" w:line="308" w:lineRule="auto"/>
        <w:tabs>
          <w:tab w:leader="none" w:pos="731"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00" w:hanging="6"/>
        <w:spacing w:after="0" w:line="263" w:lineRule="auto"/>
        <w:tabs>
          <w:tab w:leader="none" w:pos="71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01"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20" w:hanging="6"/>
        <w:spacing w:after="0" w:line="277" w:lineRule="auto"/>
        <w:tabs>
          <w:tab w:leader="none" w:pos="69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hanging="6"/>
        <w:spacing w:after="0" w:line="277" w:lineRule="auto"/>
        <w:tabs>
          <w:tab w:leader="none" w:pos="7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October 28, 2021</w:t>
            </w:r>
          </w:p>
        </w:tc>
        <w:tc>
          <w:tcPr>
            <w:tcW w:w="6960" w:type="dxa"/>
            <w:vAlign w:val="bottom"/>
            <w:tcBorders>
              <w:bottom w:val="single" w:sz="8" w:color="auto"/>
            </w:tcBorders>
          </w:tcPr>
          <w:p>
            <w:pPr>
              <w:ind w:left="258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4280" w:type="dxa"/>
            <w:vAlign w:val="bottom"/>
          </w:tcPr>
          <w:p>
            <w:pPr>
              <w:spacing w:after="0"/>
              <w:rPr>
                <w:sz w:val="16"/>
                <w:szCs w:val="16"/>
                <w:color w:val="auto"/>
              </w:rPr>
            </w:pPr>
          </w:p>
        </w:tc>
        <w:tc>
          <w:tcPr>
            <w:tcW w:w="6960" w:type="dxa"/>
            <w:vAlign w:val="bottom"/>
          </w:tcPr>
          <w:p>
            <w:pPr>
              <w:ind w:left="2580"/>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4280" w:type="dxa"/>
            <w:vAlign w:val="bottom"/>
          </w:tcPr>
          <w:p>
            <w:pPr>
              <w:spacing w:after="0"/>
              <w:rPr>
                <w:sz w:val="20"/>
                <w:szCs w:val="20"/>
                <w:color w:val="auto"/>
              </w:rPr>
            </w:pPr>
          </w:p>
        </w:tc>
        <w:tc>
          <w:tcPr>
            <w:tcW w:w="6960" w:type="dxa"/>
            <w:vAlign w:val="bottom"/>
          </w:tcPr>
          <w:p>
            <w:pPr>
              <w:ind w:left="258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2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A. Roberts,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500" w:hanging="6"/>
        <w:spacing w:after="0" w:line="263" w:lineRule="auto"/>
        <w:tabs>
          <w:tab w:leader="none" w:pos="70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hanging="6"/>
        <w:spacing w:after="0" w:line="263" w:lineRule="auto"/>
        <w:tabs>
          <w:tab w:leader="none" w:pos="73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hanging="6"/>
        <w:spacing w:after="0" w:line="308" w:lineRule="auto"/>
        <w:tabs>
          <w:tab w:leader="none" w:pos="731"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00" w:hanging="6"/>
        <w:spacing w:after="0" w:line="263" w:lineRule="auto"/>
        <w:tabs>
          <w:tab w:leader="none" w:pos="71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20" w:hanging="6"/>
        <w:spacing w:after="0" w:line="277" w:lineRule="auto"/>
        <w:tabs>
          <w:tab w:leader="none" w:pos="69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hanging="6"/>
        <w:spacing w:after="0" w:line="277" w:lineRule="auto"/>
        <w:tabs>
          <w:tab w:leader="none" w:pos="70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October 28, 2021</w:t>
            </w:r>
          </w:p>
        </w:tc>
        <w:tc>
          <w:tcPr>
            <w:tcW w:w="6980" w:type="dxa"/>
            <w:vAlign w:val="bottom"/>
            <w:tcBorders>
              <w:bottom w:val="single" w:sz="8" w:color="auto"/>
            </w:tcBorders>
          </w:tcPr>
          <w:p>
            <w:pPr>
              <w:ind w:left="2560"/>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COTT</w:t>
            </w:r>
            <w:r>
              <w:rPr>
                <w:rFonts w:ascii="Arial" w:cs="Arial" w:eastAsia="Arial" w:hAnsi="Arial"/>
                <w:sz w:val="18"/>
                <w:szCs w:val="18"/>
                <w:color w:val="auto"/>
              </w:rPr>
              <w:t xml:space="preserve"> A. R</w:t>
            </w:r>
            <w:r>
              <w:rPr>
                <w:rFonts w:ascii="Arial" w:cs="Arial" w:eastAsia="Arial" w:hAnsi="Arial"/>
                <w:sz w:val="12"/>
                <w:szCs w:val="12"/>
                <w:color w:val="auto"/>
              </w:rPr>
              <w:t>OBERTS</w:t>
            </w:r>
          </w:p>
        </w:tc>
      </w:tr>
      <w:tr>
        <w:trPr>
          <w:trHeight w:val="195"/>
        </w:trPr>
        <w:tc>
          <w:tcPr>
            <w:tcW w:w="4260" w:type="dxa"/>
            <w:vAlign w:val="bottom"/>
          </w:tcPr>
          <w:p>
            <w:pPr>
              <w:spacing w:after="0"/>
              <w:rPr>
                <w:sz w:val="16"/>
                <w:szCs w:val="16"/>
                <w:color w:val="auto"/>
              </w:rPr>
            </w:pPr>
          </w:p>
        </w:tc>
        <w:tc>
          <w:tcPr>
            <w:tcW w:w="6980" w:type="dxa"/>
            <w:vAlign w:val="bottom"/>
          </w:tcPr>
          <w:p>
            <w:pPr>
              <w:ind w:left="2560"/>
              <w:spacing w:after="0" w:line="195" w:lineRule="exact"/>
              <w:rPr>
                <w:sz w:val="20"/>
                <w:szCs w:val="20"/>
                <w:color w:val="auto"/>
              </w:rPr>
            </w:pPr>
            <w:r>
              <w:rPr>
                <w:rFonts w:ascii="Arial" w:cs="Arial" w:eastAsia="Arial" w:hAnsi="Arial"/>
                <w:sz w:val="18"/>
                <w:szCs w:val="18"/>
                <w:color w:val="auto"/>
              </w:rPr>
              <w:t>Scott A. Roberts</w:t>
            </w:r>
          </w:p>
        </w:tc>
      </w:tr>
      <w:tr>
        <w:trPr>
          <w:trHeight w:val="230"/>
        </w:trPr>
        <w:tc>
          <w:tcPr>
            <w:tcW w:w="4260" w:type="dxa"/>
            <w:vAlign w:val="bottom"/>
          </w:tcPr>
          <w:p>
            <w:pPr>
              <w:spacing w:after="0"/>
              <w:rPr>
                <w:sz w:val="20"/>
                <w:szCs w:val="20"/>
                <w:color w:val="auto"/>
              </w:rPr>
            </w:pPr>
          </w:p>
        </w:tc>
        <w:tc>
          <w:tcPr>
            <w:tcW w:w="6980" w:type="dxa"/>
            <w:vAlign w:val="bottom"/>
          </w:tcPr>
          <w:p>
            <w:pPr>
              <w:ind w:left="256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2021,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184"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942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28, 2021</w:t>
      </w:r>
    </w:p>
    <w:p>
      <w:pPr>
        <w:sectPr>
          <w:pgSz w:w="11900" w:h="16838" w:orient="portrait"/>
          <w:cols w:equalWidth="0" w:num="1">
            <w:col w:w="11240"/>
          </w:cols>
          <w:pgMar w:left="320" w:top="12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2021, as filed with the Securities and Exchange Commission on the date hereof (the “Report”), Scott A. Roberts, Chief Financial Officer of the Company, certifies, pursuant to 18 U.S.C. Section 1350, as adopted pursuant to Section 906 of the Sarbanes-Oxley Act of 2002, that:</w:t>
      </w:r>
    </w:p>
    <w:p>
      <w:pPr>
        <w:spacing w:after="0" w:line="184"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COTT</w:t>
      </w:r>
      <w:r>
        <w:rPr>
          <w:rFonts w:ascii="Arial" w:cs="Arial" w:eastAsia="Arial" w:hAnsi="Arial"/>
          <w:sz w:val="18"/>
          <w:szCs w:val="18"/>
          <w:color w:val="auto"/>
        </w:rPr>
        <w:t xml:space="preserve"> A. R</w:t>
      </w:r>
      <w:r>
        <w:rPr>
          <w:rFonts w:ascii="Arial" w:cs="Arial" w:eastAsia="Arial" w:hAnsi="Arial"/>
          <w:sz w:val="12"/>
          <w:szCs w:val="12"/>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942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A.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28, 2021</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2021-10-28T15:43:32Z</dcterms:created>
  <dcterms:modified xsi:type="dcterms:W3CDTF">2021-10-28T15:43:32Z</dcterms:modified>
</cp:coreProperties>
</file>