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Coady Trisha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500 11TH AVENUE NORTH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850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NASHVILLE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37203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HEALTHSTREAM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HSTM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1,642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41,137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29.1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40,737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844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984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410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1,331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388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2,198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acquired on vesting of restricted share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withheld for payment of tax liability.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restricted share unit (RSU) represents the contingent right to receive one share of common stock upon vesting of the unit.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RSUs are subject to a four year vesting schedule, contingent upon continued service at the time of vesting. 15% vest on September 20, 2024, 20% vest on September 20, 2025, 30% vest on September 20, 2026, and the remaining 35% vest on September 20,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Not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 RSUs are subject to a four year vesting schedule, contingent upon continued service at the time of vesting. 15% vest on September 18, 2025, 20% vest on September 18, 2026, 30% vest on September 18, 2027, and the remaining 35% vest on September 18, 2028.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The RSUs are subject to a four year vesting schedule, contingent upon continued service at the time of vesting. 15% vest on September 24, 2026, 20% vest on September 24, 2027, 30% vest on September 24, 2028, and the remaining 35% vest on September 24, 2029.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Trisha L. Coady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59379" TargetMode="External"/><Relationship Id="rId5" Type="http://schemas.openxmlformats.org/officeDocument/2006/relationships/hyperlink" Target="http://www.sec.gov/cgi-bin/browse-edgar?action=getcompany&amp;CIK=000109556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801</Words>
  <Characters>4154</Characters>
  <CharactersWithSpaces>4837</CharactersWithSpaces>
  <Paragraphs>146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