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stm20260630_10q.htm"/>
      <w:bookmarkStart w:id="1" w:name="kshstm20260630_10q"/>
      <w:bookmarkEnd w:id="0"/>
      <w:bookmarkEnd w:id="1"/>
      <w:r>
        <w:rPr/>
        <w:t xml:space="preserve">  </w:t>
      </w:r>
    </w:p>
    <w:p>
      <w:pPr>
        <w:pStyle w:val="TextBody"/>
        <w:bidi w:val="0"/>
        <w:spacing w:before="0" w:after="0"/>
        <w:ind w:left="0" w:right="0" w:hanging="0"/>
        <w:jc w:val="righ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w:t>
      </w:r>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30"/>
        <w:gridCol w:w="74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No.: 000-27701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62-1443555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500 11th Avenue North, Suite 850,</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Nashville</w:t>
            </w:r>
            <w:r>
              <w:rPr>
                <w:rFonts w:ascii="Times New Roman" w:hAnsi="Times New Roman"/>
                <w:b/>
                <w:caps w:val="false"/>
                <w:smallCaps w:val="false"/>
                <w:sz w:val="20"/>
              </w:rPr>
              <w:t>,</w:t>
            </w:r>
            <w:r>
              <w:rPr>
                <w:rFonts w:ascii="Times New Roman" w:hAnsi="Times New Roman"/>
                <w:b/>
                <w:caps w:val="false"/>
                <w:smallCaps w:val="false"/>
                <w:sz w:val="20"/>
                <w:u w:val="single"/>
              </w:rPr>
              <w:t xml:space="preserve"> Tennessee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37203</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(615) 301-3100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60"/>
        <w:gridCol w:w="2225"/>
        <w:gridCol w:w="23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283"/>
              <w:jc w:val="left"/>
              <w:rPr/>
            </w:pPr>
            <w:r>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3, 2026, there were 29,239,955 shares of the registrant’s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Index to Form 10</w:t>
      </w:r>
      <w:r>
        <w:rPr>
          <w:rFonts w:ascii="Times New Roman" w:hAnsi="Times New Roman"/>
          <w:caps w:val="false"/>
          <w:smallCaps w:val="false"/>
          <w:sz w:val="20"/>
        </w:rPr>
        <w:noBreakHyphen/>
      </w:r>
      <w:r>
        <w:rPr>
          <w:rFonts w:ascii="Times New Roman" w:hAnsi="Times New Roman"/>
          <w:b/>
          <w:caps w:val="false"/>
          <w:smallCaps w:val="false"/>
          <w:sz w:val="20"/>
        </w:rPr>
        <w:t>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712"/>
        <w:gridCol w:w="8707"/>
        <w:gridCol w:w="786"/>
      </w:tblGrid>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283"/>
              <w:jc w:val="left"/>
              <w:rPr/>
            </w:pPr>
            <w:r>
              <w:rPr/>
              <w:t> </w:t>
            </w:r>
          </w:p>
        </w:tc>
        <w:tc>
          <w:tcPr>
            <w:tcW w:w="786"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Information</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Financial Statements</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parti">
              <w:r>
                <w:rPr>
                  <w:rStyle w:val="InternetLink"/>
                  <w:rFonts w:ascii="Times New Roman;Times;serif" w:hAnsi="Times New Roman;Times;serif"/>
                  <w:caps w:val="false"/>
                  <w:smallCaps w:val="false"/>
                  <w:sz w:val="20"/>
                  <w:u w:val="single"/>
                </w:rPr>
                <w:t xml:space="preserve">Condensed Consolidated Balance Sheets (Unaudited) </w:t>
              </w:r>
            </w:hyperlink>
            <w:hyperlink w:anchor="parti">
              <w:r>
                <w:rPr>
                  <w:rStyle w:val="InternetLink"/>
                  <w:rFonts w:ascii="Times New Roman;Times;serif" w:hAnsi="Times New Roman;Times;serif"/>
                  <w:caps w:val="false"/>
                  <w:smallCaps w:val="false"/>
                  <w:sz w:val="20"/>
                </w:rPr>
                <w:t>–</w:t>
              </w:r>
            </w:hyperlink>
            <w:hyperlink w:anchor="parti">
              <w:r>
                <w:rPr>
                  <w:rStyle w:val="InternetLink"/>
                  <w:rFonts w:ascii="Times New Roman;Times;serif" w:hAnsi="Times New Roman;Times;serif"/>
                  <w:caps w:val="false"/>
                  <w:smallCaps w:val="false"/>
                  <w:sz w:val="20"/>
                  <w:u w:val="single"/>
                </w:rPr>
                <w:t> June 30, 2026 and December 31, 2025</w:t>
              </w:r>
            </w:hyperlink>
          </w:p>
        </w:tc>
        <w:tc>
          <w:tcPr>
            <w:tcW w:w="786" w:type="dxa"/>
            <w:tcBorders/>
            <w:vAlign w:val="center"/>
          </w:tcPr>
          <w:p>
            <w:pPr>
              <w:pStyle w:val="TableContents"/>
              <w:bidi w:val="0"/>
              <w:spacing w:before="0" w:after="0"/>
              <w:ind w:left="0" w:right="0" w:hanging="0"/>
              <w:jc w:val="right"/>
              <w:rPr/>
            </w:pPr>
            <w:hyperlink w:anchor="parti">
              <w:r>
                <w:rPr>
                  <w:rStyle w:val="InternetLink"/>
                  <w:rFonts w:ascii="Times New Roman;Times;serif" w:hAnsi="Times New Roman;Times;serif"/>
                  <w:caps w:val="false"/>
                  <w:smallCaps w:val="false"/>
                  <w:sz w:val="20"/>
                </w:rPr>
                <w:t>1</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income">
              <w:r>
                <w:rPr>
                  <w:rStyle w:val="InternetLink"/>
                  <w:rFonts w:ascii="Times New Roman;Times;serif" w:hAnsi="Times New Roman;Times;serif"/>
                  <w:caps w:val="false"/>
                  <w:smallCaps w:val="false"/>
                  <w:sz w:val="20"/>
                  <w:u w:val="single"/>
                </w:rPr>
                <w:t xml:space="preserve">Condensed Consolidated Statements of Income (Unaudited) </w:t>
              </w:r>
            </w:hyperlink>
            <w:hyperlink w:anchor="income">
              <w:r>
                <w:rPr>
                  <w:rStyle w:val="InternetLink"/>
                  <w:rFonts w:ascii="Times New Roman;Times;serif" w:hAnsi="Times New Roman;Times;serif"/>
                  <w:caps w:val="false"/>
                  <w:smallCaps w:val="false"/>
                  <w:sz w:val="20"/>
                </w:rPr>
                <w:t>–</w:t>
              </w:r>
            </w:hyperlink>
            <w:hyperlink w:anchor="income">
              <w:r>
                <w:rPr>
                  <w:rStyle w:val="InternetLink"/>
                  <w:rFonts w:ascii="Times New Roman;Times;serif" w:hAnsi="Times New Roman;Times;serif"/>
                  <w:caps w:val="false"/>
                  <w:smallCaps w:val="false"/>
                  <w:sz w:val="20"/>
                  <w:u w:val="single"/>
                </w:rPr>
                <w:t> Three and Six Months ended June 30, 2026 and 2025</w:t>
              </w:r>
            </w:hyperlink>
          </w:p>
        </w:tc>
        <w:tc>
          <w:tcPr>
            <w:tcW w:w="786" w:type="dxa"/>
            <w:tcBorders/>
            <w:vAlign w:val="center"/>
          </w:tcPr>
          <w:p>
            <w:pPr>
              <w:pStyle w:val="TableContents"/>
              <w:bidi w:val="0"/>
              <w:spacing w:before="0" w:after="0"/>
              <w:ind w:left="0" w:right="0" w:hanging="0"/>
              <w:jc w:val="right"/>
              <w:rPr/>
            </w:pPr>
            <w:hyperlink w:anchor="income">
              <w:r>
                <w:rPr>
                  <w:rStyle w:val="InternetLink"/>
                  <w:rFonts w:ascii="Times New Roman;Times;serif" w:hAnsi="Times New Roman;Times;serif"/>
                  <w:caps w:val="false"/>
                  <w:smallCaps w:val="false"/>
                  <w:sz w:val="20"/>
                </w:rPr>
                <w:t>2</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compinc">
              <w:r>
                <w:rPr>
                  <w:rStyle w:val="InternetLink"/>
                  <w:rFonts w:ascii="Times New Roman;Times;serif" w:hAnsi="Times New Roman;Times;serif"/>
                  <w:caps w:val="false"/>
                  <w:smallCaps w:val="false"/>
                  <w:sz w:val="20"/>
                  <w:u w:val="single"/>
                </w:rPr>
                <w:t xml:space="preserve">Condensed Consolidated Statements of Comprehensive Income (Unaudited) </w:t>
              </w:r>
            </w:hyperlink>
            <w:hyperlink w:anchor="compinc">
              <w:r>
                <w:rPr>
                  <w:rStyle w:val="InternetLink"/>
                  <w:rFonts w:ascii="Times New Roman;Times;serif" w:hAnsi="Times New Roman;Times;serif"/>
                  <w:caps w:val="false"/>
                  <w:smallCaps w:val="false"/>
                  <w:sz w:val="20"/>
                </w:rPr>
                <w:t>–</w:t>
              </w:r>
            </w:hyperlink>
            <w:hyperlink w:anchor="compinc">
              <w:r>
                <w:rPr>
                  <w:rStyle w:val="InternetLink"/>
                  <w:rFonts w:ascii="Times New Roman;Times;serif" w:hAnsi="Times New Roman;Times;serif"/>
                  <w:caps w:val="false"/>
                  <w:smallCaps w:val="false"/>
                  <w:sz w:val="20"/>
                  <w:u w:val="single"/>
                </w:rPr>
                <w:t> Three and Six Months ended June 30, 2026 and 2025</w:t>
              </w:r>
            </w:hyperlink>
          </w:p>
        </w:tc>
        <w:tc>
          <w:tcPr>
            <w:tcW w:w="786" w:type="dxa"/>
            <w:tcBorders/>
            <w:vAlign w:val="center"/>
          </w:tcPr>
          <w:p>
            <w:pPr>
              <w:pStyle w:val="TableContents"/>
              <w:bidi w:val="0"/>
              <w:spacing w:before="0" w:after="0"/>
              <w:ind w:left="0" w:right="0" w:hanging="0"/>
              <w:jc w:val="right"/>
              <w:rPr/>
            </w:pPr>
            <w:hyperlink w:anchor="compinc">
              <w:r>
                <w:rPr>
                  <w:rStyle w:val="InternetLink"/>
                  <w:rFonts w:ascii="Times New Roman;Times;serif" w:hAnsi="Times New Roman;Times;serif"/>
                  <w:caps w:val="false"/>
                  <w:smallCaps w:val="false"/>
                  <w:sz w:val="20"/>
                </w:rPr>
                <w:t>3</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she">
              <w:r>
                <w:rPr>
                  <w:rStyle w:val="InternetLink"/>
                  <w:rFonts w:ascii="Times New Roman;Times;serif" w:hAnsi="Times New Roman;Times;serif"/>
                  <w:caps w:val="false"/>
                  <w:smallCaps w:val="false"/>
                  <w:sz w:val="20"/>
                  <w:u w:val="single"/>
                </w:rPr>
                <w:t xml:space="preserve">Condensed Consolidated Statement of Shareholders' Equity (Unaudited) </w:t>
              </w:r>
            </w:hyperlink>
            <w:hyperlink w:anchor="she">
              <w:r>
                <w:rPr>
                  <w:rStyle w:val="InternetLink"/>
                  <w:rFonts w:ascii="Times New Roman;Times;serif" w:hAnsi="Times New Roman;Times;serif"/>
                  <w:caps w:val="false"/>
                  <w:smallCaps w:val="false"/>
                  <w:sz w:val="20"/>
                </w:rPr>
                <w:t>–</w:t>
              </w:r>
            </w:hyperlink>
            <w:hyperlink w:anchor="she">
              <w:r>
                <w:rPr>
                  <w:rStyle w:val="InternetLink"/>
                  <w:rFonts w:ascii="Times New Roman;Times;serif" w:hAnsi="Times New Roman;Times;serif"/>
                  <w:caps w:val="false"/>
                  <w:smallCaps w:val="false"/>
                  <w:sz w:val="20"/>
                  <w:u w:val="single"/>
                </w:rPr>
                <w:t> Three and Six Months ended June 30, 2026 and 2025</w:t>
              </w:r>
            </w:hyperlink>
          </w:p>
        </w:tc>
        <w:tc>
          <w:tcPr>
            <w:tcW w:w="786" w:type="dxa"/>
            <w:tcBorders/>
            <w:vAlign w:val="center"/>
          </w:tcPr>
          <w:p>
            <w:pPr>
              <w:pStyle w:val="TableContents"/>
              <w:bidi w:val="0"/>
              <w:spacing w:before="0" w:after="0"/>
              <w:ind w:left="0" w:right="0" w:hanging="0"/>
              <w:jc w:val="right"/>
              <w:rPr/>
            </w:pPr>
            <w:hyperlink w:anchor="she">
              <w:r>
                <w:rPr>
                  <w:rStyle w:val="InternetLink"/>
                  <w:rFonts w:ascii="Times New Roman;Times;serif" w:hAnsi="Times New Roman;Times;serif"/>
                  <w:caps w:val="false"/>
                  <w:smallCaps w:val="false"/>
                  <w:sz w:val="20"/>
                </w:rPr>
                <w:t>4</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cfs">
              <w:r>
                <w:rPr>
                  <w:rStyle w:val="InternetLink"/>
                  <w:rFonts w:ascii="Times New Roman;Times;serif" w:hAnsi="Times New Roman;Times;serif"/>
                  <w:caps w:val="false"/>
                  <w:smallCaps w:val="false"/>
                  <w:sz w:val="20"/>
                  <w:u w:val="single"/>
                </w:rPr>
                <w:t xml:space="preserve">Condensed Consolidated Statements of Cash Flows (Unaudited) </w:t>
              </w:r>
            </w:hyperlink>
            <w:hyperlink w:anchor="cfs">
              <w:r>
                <w:rPr>
                  <w:rStyle w:val="InternetLink"/>
                  <w:rFonts w:ascii="Times New Roman;Times;serif" w:hAnsi="Times New Roman;Times;serif"/>
                  <w:caps w:val="false"/>
                  <w:smallCaps w:val="false"/>
                  <w:sz w:val="20"/>
                </w:rPr>
                <w:t>–</w:t>
              </w:r>
            </w:hyperlink>
            <w:hyperlink w:anchor="cfs">
              <w:r>
                <w:rPr>
                  <w:rStyle w:val="InternetLink"/>
                  <w:rFonts w:ascii="Times New Roman;Times;serif" w:hAnsi="Times New Roman;Times;serif"/>
                  <w:caps w:val="false"/>
                  <w:smallCaps w:val="false"/>
                  <w:sz w:val="20"/>
                  <w:u w:val="single"/>
                </w:rPr>
                <w:t> Six Months ended June 30, 2026 and 2025</w:t>
              </w:r>
            </w:hyperlink>
          </w:p>
        </w:tc>
        <w:tc>
          <w:tcPr>
            <w:tcW w:w="786" w:type="dxa"/>
            <w:tcBorders/>
            <w:vAlign w:val="center"/>
          </w:tcPr>
          <w:p>
            <w:pPr>
              <w:pStyle w:val="TableContents"/>
              <w:bidi w:val="0"/>
              <w:spacing w:before="0" w:after="0"/>
              <w:ind w:left="0" w:right="0" w:hanging="0"/>
              <w:jc w:val="right"/>
              <w:rPr/>
            </w:pPr>
            <w:hyperlink w:anchor="cfs">
              <w:r>
                <w:rPr>
                  <w:rStyle w:val="InternetLink"/>
                  <w:rFonts w:ascii="Times New Roman;Times;serif" w:hAnsi="Times New Roman;Times;serif"/>
                  <w:caps w:val="false"/>
                  <w:smallCaps w:val="false"/>
                  <w:sz w:val="20"/>
                </w:rPr>
                <w:t>5</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u w:val="single"/>
                </w:rPr>
                <w:t>Notes to Condensed Consolidated Financial Statements (Unaudited)</w:t>
              </w:r>
            </w:hyperlink>
          </w:p>
        </w:tc>
        <w:tc>
          <w:tcPr>
            <w:tcW w:w="786"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caps w:val="false"/>
                  <w:smallCaps w:val="false"/>
                  <w:sz w:val="20"/>
                </w:rPr>
                <w:t>6</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707" w:type="dxa"/>
            <w:tcBorders/>
            <w:vAlign w:val="center"/>
          </w:tcPr>
          <w:p>
            <w:pPr>
              <w:pStyle w:val="TableContents"/>
              <w:bidi w:val="0"/>
              <w:spacing w:before="0" w:after="0"/>
              <w:ind w:left="0" w:right="0" w:hanging="0"/>
              <w:jc w:val="both"/>
              <w:rPr/>
            </w:pPr>
            <w:hyperlink w:anchor="mda">
              <w:r>
                <w:rPr>
                  <w:rStyle w:val="InternetLink"/>
                  <w:rFonts w:ascii="Times New Roman;Times;serif" w:hAnsi="Times New Roman;Times;serif"/>
                  <w:caps w:val="false"/>
                  <w:smallCaps w:val="false"/>
                  <w:sz w:val="20"/>
                  <w:u w:val="single"/>
                </w:rPr>
                <w:t>Management's Discussion and Analysis of Financial Condition and Results of Operations</w:t>
              </w:r>
            </w:hyperlink>
          </w:p>
        </w:tc>
        <w:tc>
          <w:tcPr>
            <w:tcW w:w="786" w:type="dxa"/>
            <w:tcBorders/>
            <w:vAlign w:val="center"/>
          </w:tcPr>
          <w:p>
            <w:pPr>
              <w:pStyle w:val="TableContents"/>
              <w:bidi w:val="0"/>
              <w:spacing w:before="0" w:after="0"/>
              <w:ind w:left="0" w:right="0" w:hanging="0"/>
              <w:jc w:val="right"/>
              <w:rPr/>
            </w:pPr>
            <w:hyperlink w:anchor="mda">
              <w:r>
                <w:rPr>
                  <w:rStyle w:val="InternetLink"/>
                  <w:rFonts w:ascii="Times New Roman;Times;serif" w:hAnsi="Times New Roman;Times;serif"/>
                  <w:caps w:val="false"/>
                  <w:smallCaps w:val="false"/>
                  <w:sz w:val="20"/>
                </w:rPr>
                <w:t>15</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707" w:type="dxa"/>
            <w:tcBorders/>
            <w:vAlign w:val="center"/>
          </w:tcPr>
          <w:p>
            <w:pPr>
              <w:pStyle w:val="TableContents"/>
              <w:bidi w:val="0"/>
              <w:spacing w:before="0" w:after="0"/>
              <w:ind w:left="0" w:right="0" w:hanging="0"/>
              <w:jc w:val="both"/>
              <w:rPr/>
            </w:pPr>
            <w:hyperlink w:anchor="qqmdr">
              <w:r>
                <w:rPr>
                  <w:rStyle w:val="InternetLink"/>
                  <w:rFonts w:ascii="Times New Roman;Times;serif" w:hAnsi="Times New Roman;Times;serif"/>
                  <w:caps w:val="false"/>
                  <w:smallCaps w:val="false"/>
                  <w:sz w:val="20"/>
                  <w:u w:val="single"/>
                </w:rPr>
                <w:t>Quantitative and Qualitative Disclosures about Market Risk</w:t>
              </w:r>
            </w:hyperlink>
          </w:p>
        </w:tc>
        <w:tc>
          <w:tcPr>
            <w:tcW w:w="786" w:type="dxa"/>
            <w:tcBorders/>
            <w:vAlign w:val="center"/>
          </w:tcPr>
          <w:p>
            <w:pPr>
              <w:pStyle w:val="TableContents"/>
              <w:bidi w:val="0"/>
              <w:spacing w:before="0" w:after="0"/>
              <w:ind w:left="0" w:right="0" w:hanging="0"/>
              <w:jc w:val="right"/>
              <w:rPr/>
            </w:pPr>
            <w:hyperlink w:anchor="qqmdr">
              <w:r>
                <w:rPr>
                  <w:rStyle w:val="InternetLink"/>
                  <w:rFonts w:ascii="Times New Roman;Times;serif" w:hAnsi="Times New Roman;Times;serif"/>
                  <w:caps w:val="false"/>
                  <w:smallCaps w:val="false"/>
                  <w:sz w:val="20"/>
                </w:rPr>
                <w:t>22</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707" w:type="dxa"/>
            <w:tcBorders/>
            <w:vAlign w:val="center"/>
          </w:tcPr>
          <w:p>
            <w:pPr>
              <w:pStyle w:val="TableContents"/>
              <w:bidi w:val="0"/>
              <w:spacing w:before="0" w:after="0"/>
              <w:ind w:left="0" w:right="0" w:hanging="0"/>
              <w:jc w:val="both"/>
              <w:rPr/>
            </w:pPr>
            <w:hyperlink w:anchor="cps">
              <w:r>
                <w:rPr>
                  <w:rStyle w:val="InternetLink"/>
                  <w:rFonts w:ascii="Times New Roman;Times;serif" w:hAnsi="Times New Roman;Times;serif"/>
                  <w:caps w:val="false"/>
                  <w:smallCaps w:val="false"/>
                  <w:sz w:val="20"/>
                  <w:u w:val="single"/>
                </w:rPr>
                <w:t>Controls and Procedures</w:t>
              </w:r>
            </w:hyperlink>
          </w:p>
        </w:tc>
        <w:tc>
          <w:tcPr>
            <w:tcW w:w="786" w:type="dxa"/>
            <w:tcBorders/>
            <w:vAlign w:val="center"/>
          </w:tcPr>
          <w:p>
            <w:pPr>
              <w:pStyle w:val="TableContents"/>
              <w:bidi w:val="0"/>
              <w:spacing w:before="0" w:after="0"/>
              <w:ind w:left="0" w:right="0" w:hanging="0"/>
              <w:jc w:val="right"/>
              <w:rPr/>
            </w:pPr>
            <w:hyperlink w:anchor="cps">
              <w:r>
                <w:rPr>
                  <w:rStyle w:val="InternetLink"/>
                  <w:rFonts w:ascii="Times New Roman;Times;serif" w:hAnsi="Times New Roman;Times;serif"/>
                  <w:caps w:val="false"/>
                  <w:smallCaps w:val="false"/>
                  <w:sz w:val="20"/>
                </w:rPr>
                <w:t>22</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707" w:type="dxa"/>
            <w:tcBorders/>
            <w:vAlign w:val="center"/>
          </w:tcPr>
          <w:p>
            <w:pPr>
              <w:pStyle w:val="TableContents"/>
              <w:bidi w:val="0"/>
              <w:spacing w:before="0" w:after="0"/>
              <w:ind w:left="0" w:right="0" w:hanging="0"/>
              <w:jc w:val="both"/>
              <w:rPr/>
            </w:pPr>
            <w:hyperlink w:anchor="partii">
              <w:r>
                <w:rPr>
                  <w:rStyle w:val="InternetLink"/>
                  <w:rFonts w:ascii="Times New Roman;Times;serif" w:hAnsi="Times New Roman;Times;serif"/>
                  <w:caps w:val="false"/>
                  <w:smallCaps w:val="false"/>
                  <w:sz w:val="20"/>
                  <w:u w:val="single"/>
                </w:rPr>
                <w:t>Other Information</w:t>
              </w:r>
            </w:hyperlink>
          </w:p>
        </w:tc>
        <w:tc>
          <w:tcPr>
            <w:tcW w:w="786" w:type="dxa"/>
            <w:tcBorders/>
            <w:vAlign w:val="center"/>
          </w:tcPr>
          <w:p>
            <w:pPr>
              <w:pStyle w:val="TableContents"/>
              <w:bidi w:val="0"/>
              <w:spacing w:before="0" w:after="0"/>
              <w:ind w:left="0" w:right="0" w:hanging="0"/>
              <w:jc w:val="right"/>
              <w:rPr/>
            </w:pPr>
            <w:hyperlink w:anchor="partii">
              <w:r>
                <w:rPr>
                  <w:rStyle w:val="InternetLink"/>
                  <w:rFonts w:ascii="Times New Roman;Times;serif" w:hAnsi="Times New Roman;Times;serif"/>
                  <w:caps w:val="false"/>
                  <w:smallCaps w:val="false"/>
                  <w:sz w:val="20"/>
                </w:rPr>
                <w:t>23</w:t>
              </w:r>
            </w:hyperlink>
          </w:p>
        </w:tc>
      </w:tr>
      <w:tr>
        <w:trPr/>
        <w:tc>
          <w:tcPr>
            <w:tcW w:w="7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707" w:type="dxa"/>
            <w:tcBorders/>
            <w:vAlign w:val="center"/>
          </w:tcPr>
          <w:p>
            <w:pPr>
              <w:pStyle w:val="TableContents"/>
              <w:bidi w:val="0"/>
              <w:spacing w:before="0" w:after="283"/>
              <w:jc w:val="left"/>
              <w:rPr/>
            </w:pPr>
            <w:hyperlink w:anchor="Item_1_Legal_Proceedings">
              <w:r>
                <w:rPr>
                  <w:rStyle w:val="InternetLink"/>
                  <w:rFonts w:ascii="Times New Roman;Times;serif" w:hAnsi="Times New Roman;Times;serif"/>
                  <w:sz w:val="20"/>
                </w:rPr>
                <w:t>Legal Proceedings</w:t>
              </w:r>
            </w:hyperlink>
          </w:p>
        </w:tc>
        <w:tc>
          <w:tcPr>
            <w:tcW w:w="786" w:type="dxa"/>
            <w:tcBorders/>
            <w:vAlign w:val="center"/>
          </w:tcPr>
          <w:p>
            <w:pPr>
              <w:pStyle w:val="TableContents"/>
              <w:bidi w:val="0"/>
              <w:spacing w:before="0" w:after="283"/>
              <w:jc w:val="right"/>
              <w:rPr/>
            </w:pPr>
            <w:hyperlink w:anchor="Item_1_Legal_Proceedings">
              <w:r>
                <w:rPr>
                  <w:rStyle w:val="InternetLink"/>
                  <w:rFonts w:ascii="Times New Roman;Times;serif" w:hAnsi="Times New Roman;Times;serif"/>
                  <w:sz w:val="20"/>
                </w:rPr>
                <w:t>23</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707" w:type="dxa"/>
            <w:tcBorders/>
            <w:vAlign w:val="center"/>
          </w:tcPr>
          <w:p>
            <w:pPr>
              <w:pStyle w:val="TableContents"/>
              <w:bidi w:val="0"/>
              <w:spacing w:before="0" w:after="0"/>
              <w:ind w:left="0" w:right="0" w:hanging="0"/>
              <w:jc w:val="both"/>
              <w:rPr/>
            </w:pPr>
            <w:hyperlink w:anchor="risks">
              <w:r>
                <w:rPr>
                  <w:rStyle w:val="InternetLink"/>
                  <w:rFonts w:ascii="Times New Roman;Times;serif" w:hAnsi="Times New Roman;Times;serif"/>
                  <w:caps w:val="false"/>
                  <w:smallCaps w:val="false"/>
                  <w:sz w:val="20"/>
                  <w:u w:val="single"/>
                </w:rPr>
                <w:t>Risk Factors</w:t>
              </w:r>
            </w:hyperlink>
          </w:p>
        </w:tc>
        <w:tc>
          <w:tcPr>
            <w:tcW w:w="786" w:type="dxa"/>
            <w:tcBorders/>
            <w:vAlign w:val="center"/>
          </w:tcPr>
          <w:p>
            <w:pPr>
              <w:pStyle w:val="TableContents"/>
              <w:bidi w:val="0"/>
              <w:spacing w:before="0" w:after="0"/>
              <w:ind w:left="0" w:right="0" w:hanging="0"/>
              <w:jc w:val="right"/>
              <w:rPr/>
            </w:pPr>
            <w:hyperlink w:anchor="risks">
              <w:r>
                <w:rPr>
                  <w:rStyle w:val="InternetLink"/>
                  <w:rFonts w:ascii="Times New Roman;Times;serif" w:hAnsi="Times New Roman;Times;serif"/>
                  <w:caps w:val="false"/>
                  <w:smallCaps w:val="false"/>
                  <w:sz w:val="20"/>
                </w:rPr>
                <w:t>23</w:t>
              </w:r>
            </w:hyperlink>
          </w:p>
        </w:tc>
      </w:tr>
      <w:tr>
        <w:trPr/>
        <w:tc>
          <w:tcPr>
            <w:tcW w:w="7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707" w:type="dxa"/>
            <w:tcBorders/>
            <w:vAlign w:val="center"/>
          </w:tcPr>
          <w:p>
            <w:pPr>
              <w:pStyle w:val="TableContents"/>
              <w:bidi w:val="0"/>
              <w:spacing w:before="0" w:after="283"/>
              <w:jc w:val="left"/>
              <w:rPr/>
            </w:pPr>
            <w:hyperlink w:anchor="Item_2_Sales_of_Equity">
              <w:r>
                <w:rPr>
                  <w:rStyle w:val="InternetLink"/>
                  <w:rFonts w:ascii="Times New Roman;Times;serif" w:hAnsi="Times New Roman;Times;serif"/>
                  <w:sz w:val="20"/>
                </w:rPr>
                <w:t>Unregistered Sales of Equity Securities and Use of Proceeds</w:t>
              </w:r>
            </w:hyperlink>
          </w:p>
        </w:tc>
        <w:tc>
          <w:tcPr>
            <w:tcW w:w="786" w:type="dxa"/>
            <w:tcBorders/>
            <w:vAlign w:val="center"/>
          </w:tcPr>
          <w:p>
            <w:pPr>
              <w:pStyle w:val="TableContents"/>
              <w:bidi w:val="0"/>
              <w:spacing w:before="0" w:after="283"/>
              <w:jc w:val="right"/>
              <w:rPr/>
            </w:pPr>
            <w:hyperlink w:anchor="Item_2_Sales_of_Equity">
              <w:r>
                <w:rPr>
                  <w:rStyle w:val="InternetLink"/>
                  <w:rFonts w:ascii="Times New Roman;Times;serif" w:hAnsi="Times New Roman;Times;serif"/>
                  <w:sz w:val="20"/>
                </w:rPr>
                <w:t>23</w:t>
              </w:r>
            </w:hyperlink>
          </w:p>
        </w:tc>
      </w:tr>
      <w:tr>
        <w:trPr/>
        <w:tc>
          <w:tcPr>
            <w:tcW w:w="7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707" w:type="dxa"/>
            <w:tcBorders/>
            <w:vAlign w:val="center"/>
          </w:tcPr>
          <w:p>
            <w:pPr>
              <w:pStyle w:val="TableContents"/>
              <w:bidi w:val="0"/>
              <w:spacing w:before="0" w:after="283"/>
              <w:jc w:val="left"/>
              <w:rPr/>
            </w:pPr>
            <w:hyperlink w:anchor="Item_5_Other_Info">
              <w:r>
                <w:rPr>
                  <w:rStyle w:val="InternetLink"/>
                  <w:rFonts w:ascii="Times New Roman;Times;serif" w:hAnsi="Times New Roman;Times;serif"/>
                  <w:sz w:val="20"/>
                </w:rPr>
                <w:t>Other Information</w:t>
              </w:r>
            </w:hyperlink>
          </w:p>
        </w:tc>
        <w:tc>
          <w:tcPr>
            <w:tcW w:w="786" w:type="dxa"/>
            <w:tcBorders/>
            <w:vAlign w:val="center"/>
          </w:tcPr>
          <w:p>
            <w:pPr>
              <w:pStyle w:val="TableContents"/>
              <w:bidi w:val="0"/>
              <w:spacing w:before="0" w:after="283"/>
              <w:jc w:val="right"/>
              <w:rPr/>
            </w:pPr>
            <w:hyperlink w:anchor="Item_5_Other_Info">
              <w:r>
                <w:rPr>
                  <w:rStyle w:val="InternetLink"/>
                  <w:rFonts w:ascii="Times New Roman;Times;serif" w:hAnsi="Times New Roman;Times;serif"/>
                  <w:sz w:val="20"/>
                </w:rPr>
                <w:t>23</w:t>
              </w:r>
            </w:hyperlink>
          </w:p>
        </w:tc>
      </w:tr>
      <w:tr>
        <w:trPr/>
        <w:tc>
          <w:tcPr>
            <w:tcW w:w="71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707" w:type="dxa"/>
            <w:tcBorders/>
            <w:vAlign w:val="center"/>
          </w:tcPr>
          <w:p>
            <w:pPr>
              <w:pStyle w:val="TableContents"/>
              <w:bidi w:val="0"/>
              <w:spacing w:before="0" w:after="0"/>
              <w:ind w:left="0" w:right="0" w:hanging="0"/>
              <w:jc w:val="both"/>
              <w:rPr/>
            </w:pPr>
            <w:hyperlink w:anchor="exs">
              <w:r>
                <w:rPr>
                  <w:rStyle w:val="InternetLink"/>
                  <w:rFonts w:ascii="Times New Roman;Times;serif" w:hAnsi="Times New Roman;Times;serif"/>
                  <w:caps w:val="false"/>
                  <w:smallCaps w:val="false"/>
                  <w:sz w:val="20"/>
                  <w:u w:val="single"/>
                </w:rPr>
                <w:t>Exhibits</w:t>
              </w:r>
            </w:hyperlink>
          </w:p>
        </w:tc>
        <w:tc>
          <w:tcPr>
            <w:tcW w:w="786" w:type="dxa"/>
            <w:tcBorders/>
            <w:vAlign w:val="center"/>
          </w:tcPr>
          <w:p>
            <w:pPr>
              <w:pStyle w:val="TableContents"/>
              <w:bidi w:val="0"/>
              <w:spacing w:before="0" w:after="0"/>
              <w:ind w:left="0" w:right="0" w:hanging="0"/>
              <w:jc w:val="right"/>
              <w:rPr/>
            </w:pPr>
            <w:hyperlink w:anchor="exs">
              <w:r>
                <w:rPr>
                  <w:rStyle w:val="InternetLink"/>
                  <w:rFonts w:ascii="Times New Roman;Times;serif" w:hAnsi="Times New Roman;Times;serif"/>
                  <w:caps w:val="false"/>
                  <w:smallCaps w:val="false"/>
                  <w:sz w:val="20"/>
                </w:rPr>
                <w:t>24</w:t>
              </w:r>
            </w:hyperlink>
          </w:p>
        </w:tc>
      </w:tr>
      <w:tr>
        <w:trPr/>
        <w:tc>
          <w:tcPr>
            <w:tcW w:w="712" w:type="dxa"/>
            <w:tcBorders/>
            <w:vAlign w:val="center"/>
          </w:tcPr>
          <w:p>
            <w:pPr>
              <w:pStyle w:val="TableContents"/>
              <w:bidi w:val="0"/>
              <w:spacing w:before="0" w:after="283"/>
              <w:jc w:val="left"/>
              <w:rPr/>
            </w:pPr>
            <w:r>
              <w:rPr/>
              <w:t> </w:t>
            </w:r>
          </w:p>
        </w:tc>
        <w:tc>
          <w:tcPr>
            <w:tcW w:w="8707" w:type="dxa"/>
            <w:tcBorders/>
            <w:vAlign w:val="center"/>
          </w:tcPr>
          <w:p>
            <w:pPr>
              <w:pStyle w:val="TableContents"/>
              <w:bidi w:val="0"/>
              <w:spacing w:before="0" w:after="0"/>
              <w:ind w:left="0" w:right="0" w:hanging="0"/>
              <w:jc w:val="both"/>
              <w:rPr/>
            </w:pPr>
            <w:hyperlink w:anchor="sigs">
              <w:r>
                <w:rPr>
                  <w:rStyle w:val="InternetLink"/>
                  <w:rFonts w:ascii="Times New Roman;Times;serif" w:hAnsi="Times New Roman;Times;serif"/>
                  <w:caps w:val="false"/>
                  <w:smallCaps w:val="false"/>
                  <w:sz w:val="20"/>
                  <w:u w:val="single"/>
                </w:rPr>
                <w:t>SIGNATURE</w:t>
              </w:r>
            </w:hyperlink>
          </w:p>
        </w:tc>
        <w:tc>
          <w:tcPr>
            <w:tcW w:w="786"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caps w:val="false"/>
                  <w:smallCaps w:val="false"/>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bookmarkStart w:id="3" w:name="parti"/>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i/>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25"/>
        <w:gridCol w:w="695"/>
        <w:gridCol w:w="80"/>
        <w:gridCol w:w="60"/>
        <w:gridCol w:w="153"/>
        <w:gridCol w:w="861"/>
        <w:gridCol w:w="81"/>
      </w:tblGrid>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36,161</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20,843</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32,153</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 unbilled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6,845</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23,654</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119,656</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10,661</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45,581</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15,272</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217,518</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64,930</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46,756</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520,374</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7,769</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5,595</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11,166</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11,199</w:t>
            </w:r>
          </w:p>
        </w:tc>
        <w:tc>
          <w:tcPr>
            <w:tcW w:w="81" w:type="dxa"/>
            <w:tcBorders/>
            <w:shd w:fill="CCEEFF" w:val="clear"/>
            <w:vAlign w:val="center"/>
          </w:tcPr>
          <w:p>
            <w:pPr>
              <w:pStyle w:val="TableContents"/>
              <w:bidi w:val="0"/>
              <w:spacing w:before="0" w:after="0"/>
              <w:jc w:val="left"/>
              <w:rPr/>
            </w:pPr>
            <w:r>
              <w:rPr/>
              <w:t> </w:t>
            </w:r>
          </w:p>
        </w:tc>
      </w:tr>
      <w:tr>
        <w:trPr/>
        <w:tc>
          <w:tcPr>
            <w:tcW w:w="80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88,417</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124,146</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18,246</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14,684</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10,000 shares authorized, no shares issued or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75,000 shares authorized; 29,240 and 29,579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224,384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231,797</w:t>
            </w:r>
          </w:p>
        </w:tc>
        <w:tc>
          <w:tcPr>
            <w:tcW w:w="81"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123,587</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90" w:type="dxa"/>
            <w:tcBorders/>
            <w:shd w:fill="FFFF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356,605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354,023</w:t>
            </w:r>
          </w:p>
        </w:tc>
        <w:tc>
          <w:tcPr>
            <w:tcW w:w="81"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0"/>
              <w:ind w:left="90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520,374</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4" w:name="income"/>
      <w:bookmarkEnd w:id="4"/>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162" w:type="dxa"/>
        <w:jc w:val="left"/>
        <w:tblInd w:w="0" w:type="dxa"/>
        <w:tblLayout w:type="fixed"/>
        <w:tblCellMar>
          <w:top w:w="0" w:type="dxa"/>
          <w:left w:w="0" w:type="dxa"/>
          <w:bottom w:w="0" w:type="dxa"/>
          <w:right w:w="0" w:type="dxa"/>
        </w:tblCellMar>
      </w:tblPr>
      <w:tblGrid>
        <w:gridCol w:w="4850"/>
        <w:gridCol w:w="60"/>
        <w:gridCol w:w="207"/>
        <w:gridCol w:w="982"/>
        <w:gridCol w:w="89"/>
        <w:gridCol w:w="67"/>
        <w:gridCol w:w="207"/>
        <w:gridCol w:w="982"/>
        <w:gridCol w:w="60"/>
        <w:gridCol w:w="60"/>
        <w:gridCol w:w="181"/>
        <w:gridCol w:w="1008"/>
        <w:gridCol w:w="80"/>
        <w:gridCol w:w="60"/>
        <w:gridCol w:w="181"/>
        <w:gridCol w:w="1008"/>
        <w:gridCol w:w="8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83,732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147,881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costs and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29,015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24,121</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23,958</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16,066</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11,275</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75,411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137,617</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8,321</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10,264</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provision</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12,114</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of common stock outstanding: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29,230</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30,382</w:t>
            </w:r>
          </w:p>
        </w:tc>
        <w:tc>
          <w:tcPr>
            <w:tcW w:w="8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29,314</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30,519</w:t>
            </w:r>
          </w:p>
        </w:tc>
        <w:tc>
          <w:tcPr>
            <w:tcW w:w="8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306" w:type="dxa"/>
        <w:jc w:val="left"/>
        <w:tblInd w:w="0" w:type="dxa"/>
        <w:tblLayout w:type="fixed"/>
        <w:tblCellMar>
          <w:top w:w="0" w:type="dxa"/>
          <w:left w:w="0" w:type="dxa"/>
          <w:bottom w:w="0" w:type="dxa"/>
          <w:right w:w="0" w:type="dxa"/>
        </w:tblCellMar>
      </w:tblPr>
      <w:tblGrid>
        <w:gridCol w:w="3950"/>
        <w:gridCol w:w="60"/>
        <w:gridCol w:w="243"/>
        <w:gridCol w:w="946"/>
        <w:gridCol w:w="103"/>
        <w:gridCol w:w="77"/>
        <w:gridCol w:w="243"/>
        <w:gridCol w:w="946"/>
        <w:gridCol w:w="80"/>
        <w:gridCol w:w="60"/>
        <w:gridCol w:w="208"/>
        <w:gridCol w:w="981"/>
        <w:gridCol w:w="80"/>
        <w:gridCol w:w="60"/>
        <w:gridCol w:w="208"/>
        <w:gridCol w:w="981"/>
        <w:gridCol w:w="80"/>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net of taxes: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marketable securities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(loss) income</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1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p>
        </w:tc>
        <w:tc>
          <w:tcPr>
            <w:tcW w:w="103"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6" w:name="she"/>
      <w:bookmarkEnd w:id="6"/>
      <w:r>
        <w:rPr>
          <w:rFonts w:ascii="Times New Roman;Times;serif" w:hAnsi="Times New Roman;Times;serif"/>
          <w:b/>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br/>
        <w:t> </w:t>
      </w:r>
    </w:p>
    <w:tbl>
      <w:tblPr>
        <w:tblW w:w="10205" w:type="dxa"/>
        <w:jc w:val="left"/>
        <w:tblInd w:w="0" w:type="dxa"/>
        <w:tblLayout w:type="fixed"/>
        <w:tblCellMar>
          <w:top w:w="0" w:type="dxa"/>
          <w:left w:w="0" w:type="dxa"/>
          <w:bottom w:w="0" w:type="dxa"/>
          <w:right w:w="0" w:type="dxa"/>
        </w:tblCellMar>
      </w:tblPr>
      <w:tblGrid>
        <w:gridCol w:w="3783"/>
        <w:gridCol w:w="60"/>
        <w:gridCol w:w="60"/>
        <w:gridCol w:w="590"/>
        <w:gridCol w:w="80"/>
        <w:gridCol w:w="60"/>
        <w:gridCol w:w="125"/>
        <w:gridCol w:w="695"/>
        <w:gridCol w:w="80"/>
        <w:gridCol w:w="60"/>
        <w:gridCol w:w="125"/>
        <w:gridCol w:w="695"/>
        <w:gridCol w:w="80"/>
        <w:gridCol w:w="60"/>
        <w:gridCol w:w="381"/>
        <w:gridCol w:w="1667"/>
        <w:gridCol w:w="80"/>
        <w:gridCol w:w="60"/>
        <w:gridCol w:w="207"/>
        <w:gridCol w:w="1160"/>
        <w:gridCol w:w="97"/>
      </w:tblGrid>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2026</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Total Shareholders’</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354,023</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5,910</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($0.035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(1,028</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(7,507</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351,992</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6,669</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on common stock ($0.035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(1,799</w:t>
            </w:r>
          </w:p>
        </w:tc>
        <w:tc>
          <w:tcPr>
            <w:tcW w:w="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224,384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356,605</w:t>
            </w:r>
          </w:p>
        </w:tc>
        <w:tc>
          <w:tcPr>
            <w:tcW w:w="97"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3"/>
        <w:gridCol w:w="60"/>
        <w:gridCol w:w="60"/>
        <w:gridCol w:w="590"/>
        <w:gridCol w:w="80"/>
        <w:gridCol w:w="60"/>
        <w:gridCol w:w="125"/>
        <w:gridCol w:w="695"/>
        <w:gridCol w:w="80"/>
        <w:gridCol w:w="60"/>
        <w:gridCol w:w="125"/>
        <w:gridCol w:w="695"/>
        <w:gridCol w:w="80"/>
        <w:gridCol w:w="60"/>
        <w:gridCol w:w="381"/>
        <w:gridCol w:w="1667"/>
        <w:gridCol w:w="80"/>
        <w:gridCol w:w="60"/>
        <w:gridCol w:w="207"/>
        <w:gridCol w:w="1160"/>
        <w:gridCol w:w="97"/>
      </w:tblGrid>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6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b/>
                <w:sz w:val="20"/>
              </w:rPr>
              <w:t>Total Shareholders’</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359,355</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ind w:left="0" w:right="0" w:hanging="0"/>
              <w:jc w:val="left"/>
              <w:rPr/>
            </w:pPr>
            <w:r>
              <w:rPr/>
              <w:t> </w:t>
            </w:r>
          </w:p>
        </w:tc>
        <w:tc>
          <w:tcPr>
            <w:tcW w:w="166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66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ind w:left="0" w:right="0" w:hanging="0"/>
              <w:jc w:val="left"/>
              <w:rPr/>
            </w:pPr>
            <w:r>
              <w:rPr/>
              <w:t> </w:t>
            </w:r>
          </w:p>
        </w:tc>
        <w:tc>
          <w:tcPr>
            <w:tcW w:w="166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under stock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252,466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112,361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(2,019</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362,808</w:t>
            </w:r>
          </w:p>
        </w:tc>
        <w:tc>
          <w:tcPr>
            <w:tcW w:w="97" w:type="dxa"/>
            <w:tcBorders/>
            <w:shd w:fill="CCEEFF" w:val="clear"/>
            <w:vAlign w:val="center"/>
          </w:tcPr>
          <w:p>
            <w:pPr>
              <w:pStyle w:val="TableContents"/>
              <w:bidi w:val="0"/>
              <w:spacing w:before="0" w:after="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5,389</w:t>
            </w:r>
          </w:p>
        </w:tc>
        <w:tc>
          <w:tcPr>
            <w:tcW w:w="97" w:type="dxa"/>
            <w:tcBorders/>
            <w:shd w:fill="FFFFFF" w:val="clear"/>
            <w:vAlign w:val="center"/>
          </w:tcPr>
          <w:p>
            <w:pPr>
              <w:pStyle w:val="TableContents"/>
              <w:bidi w:val="0"/>
              <w:spacing w:before="0" w:after="283"/>
              <w:jc w:val="left"/>
              <w:rPr/>
            </w:pPr>
            <w:r>
              <w:rPr/>
              <w:t> </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741</w:t>
            </w:r>
          </w:p>
        </w:tc>
        <w:tc>
          <w:tcPr>
            <w:tcW w:w="97" w:type="dxa"/>
            <w:tcBorders/>
            <w:shd w:fill="CCEEFF" w:val="clear"/>
            <w:vAlign w:val="center"/>
          </w:tcPr>
          <w:p>
            <w:pPr>
              <w:pStyle w:val="TableContents"/>
              <w:bidi w:val="0"/>
              <w:spacing w:before="0" w:after="283"/>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on common stock ($0.031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66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836</w:t>
            </w:r>
          </w:p>
        </w:tc>
        <w:tc>
          <w:tcPr>
            <w:tcW w:w="97" w:type="dxa"/>
            <w:tcBorders/>
            <w:shd w:fill="CCEEFF" w:val="clear"/>
            <w:vAlign w:val="center"/>
          </w:tcPr>
          <w:p>
            <w:pPr>
              <w:pStyle w:val="TableContents"/>
              <w:bidi w:val="0"/>
              <w:spacing w:before="0" w:after="283"/>
              <w:ind w:left="0" w:right="0" w:hanging="0"/>
              <w:jc w:val="left"/>
              <w:rPr/>
            </w:pPr>
            <w:r>
              <w:rPr/>
              <w:t> </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stock plans, net of shares withheld for employee taxes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p>
        </w:tc>
        <w:tc>
          <w:tcPr>
            <w:tcW w:w="166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116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97"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Excise tax on repurchases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1"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6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(18,121</w:t>
            </w:r>
          </w:p>
        </w:tc>
        <w:tc>
          <w:tcPr>
            <w:tcW w:w="97"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235,041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350,567</w:t>
            </w:r>
          </w:p>
        </w:tc>
        <w:tc>
          <w:tcPr>
            <w:tcW w:w="97"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s"/>
      <w:bookmarkEnd w:id="7"/>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(UNAUDITED)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057" w:type="dxa"/>
        <w:jc w:val="left"/>
        <w:tblInd w:w="0" w:type="dxa"/>
        <w:tblLayout w:type="fixed"/>
        <w:tblCellMar>
          <w:top w:w="0" w:type="dxa"/>
          <w:left w:w="0" w:type="dxa"/>
          <w:bottom w:w="0" w:type="dxa"/>
          <w:right w:w="0" w:type="dxa"/>
        </w:tblCellMar>
      </w:tblPr>
      <w:tblGrid>
        <w:gridCol w:w="6620"/>
        <w:gridCol w:w="60"/>
        <w:gridCol w:w="170"/>
        <w:gridCol w:w="884"/>
        <w:gridCol w:w="108"/>
        <w:gridCol w:w="81"/>
        <w:gridCol w:w="170"/>
        <w:gridCol w:w="884"/>
        <w:gridCol w:w="80"/>
      </w:tblGrid>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21,621</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commissions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equity method investments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royalties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(2,525</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(5,989</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royalties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40,567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acquisitions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maturities of marketable securities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23,300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26,073</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marketable securities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(22,693</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other investments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associated with capitalized software development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(18,206</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settlement of equity awards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earn-outs related to acquisitions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(401</w:t>
            </w:r>
          </w:p>
        </w:tc>
        <w:tc>
          <w:tcPr>
            <w:tcW w:w="1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(2,055</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(9,306</w:t>
            </w:r>
          </w:p>
        </w:tc>
        <w:tc>
          <w:tcPr>
            <w:tcW w:w="1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(18,121</w:t>
            </w:r>
          </w:p>
        </w:tc>
        <w:tc>
          <w:tcPr>
            <w:tcW w:w="80"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(12,344</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10,008</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36,161</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59,469</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52,102</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 accrued but not paid</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accrued but not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OVERVIEW AND</w:t>
      </w:r>
      <w:r>
        <w:rPr>
          <w:rFonts w:ascii="Times New Roman" w:hAnsi="Times New Roman"/>
          <w:caps w:val="false"/>
          <w:smallCaps w:val="false"/>
          <w:sz w:val="20"/>
        </w:rPr>
        <w:t> </w:t>
      </w: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Company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primarily provides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whether through the Company's enterprise applications or emerging career networks. The Company also provides its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(“Form </w:t>
      </w:r>
      <w:r>
        <w:rPr>
          <w:rStyle w:val="Emphasis"/>
          <w:rFonts w:ascii="Times New Roman" w:hAnsi="Times New Roman"/>
          <w:caps w:val="false"/>
          <w:smallCaps w:val="false"/>
          <w:sz w:val="20"/>
        </w:rPr>
        <w:t>10</w:t>
      </w:r>
      <w:r>
        <w:rPr>
          <w:rFonts w:ascii="Times New Roman" w:hAnsi="Times New Roman"/>
          <w:caps w:val="false"/>
          <w:smallCaps w:val="false"/>
          <w:sz w:val="20"/>
        </w:rPr>
        <w:t>-Q”), “HealthStream,” “Company,” “we,” “us,” and “our” mean HealthStream, Inc. and its subsidiaries, unless the context indicates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(“US GAAP”) for interim financial information and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noBreakHyphen/>
        <w:t xml:space="preserve">X. Accordingly,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derived from the audited Consolidated Financial Statements at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a complete set of financial statements. For further information, refer to the Consolidated Financial Statements and Notes thereto for the year ended </w:t>
      </w:r>
      <w:r>
        <w:rPr>
          <w:rStyle w:val="Emphasis"/>
          <w:rFonts w:ascii="Times New Roman" w:hAnsi="Times New Roman"/>
          <w:caps w:val="false"/>
          <w:smallCaps w:val="false"/>
          <w:sz w:val="20"/>
        </w:rPr>
        <w:t>December 31,</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filed with the Securities and Exchange Commission on </w:t>
      </w:r>
      <w:r>
        <w:rPr>
          <w:rStyle w:val="Emphasis"/>
          <w:rFonts w:ascii="Times New Roman" w:hAnsi="Times New Roman"/>
          <w:caps w:val="false"/>
          <w:smallCaps w:val="false"/>
          <w:sz w:val="20"/>
        </w:rPr>
        <w:t>February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chief operating decision maker ("CODM") is its Chief Executive Officer. The Company’s business is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expense, net, and income tax provision, which are reflected in the Condensed Consolidated Statements of Income. Expenditures for additions to long-lived assets for the consolidated entity were $24.2 million and $23.2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Non-Marketable Equity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aggregate carrying amounts of non-marketable equity investments accounted for using the measurement alternative for equity investments that do </w:t>
      </w:r>
      <w:r>
        <w:rPr>
          <w:rStyle w:val="Emphasis"/>
          <w:rFonts w:ascii="Times New Roman" w:hAnsi="Times New Roman"/>
          <w:caps w:val="false"/>
          <w:smallCaps w:val="false"/>
          <w:sz w:val="20"/>
        </w:rPr>
        <w:t>not</w:t>
      </w:r>
      <w:r>
        <w:rPr>
          <w:rFonts w:ascii="Times New Roman" w:hAnsi="Times New Roman"/>
          <w:caps w:val="false"/>
          <w:smallCaps w:val="false"/>
          <w:sz w:val="20"/>
        </w:rPr>
        <w:t> have readily determinable fair values were $3.0 million and $1.5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which the Company evaluates for impairment at each reporting period. Cumulatively, there have been </w:t>
      </w:r>
      <w:r>
        <w:rPr>
          <w:rStyle w:val="Emphasis"/>
          <w:rFonts w:ascii="Times New Roman" w:hAnsi="Times New Roman"/>
          <w:caps w:val="false"/>
          <w:smallCaps w:val="false"/>
          <w:sz w:val="20"/>
        </w:rPr>
        <w:t>no</w:t>
      </w:r>
      <w:r>
        <w:rPr>
          <w:rFonts w:ascii="Times New Roman" w:hAnsi="Times New Roman"/>
          <w:caps w:val="false"/>
          <w:smallCaps w:val="false"/>
          <w:sz w:val="20"/>
        </w:rPr>
        <w:t> adjustments recorded due to changes in the fair value of the non-marketable equity investments the Company held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fair value of non-marketable equity investments is </w:t>
      </w:r>
      <w:r>
        <w:rPr>
          <w:rStyle w:val="Emphasis"/>
          <w:rFonts w:ascii="Times New Roman" w:hAnsi="Times New Roman"/>
          <w:caps w:val="false"/>
          <w:smallCaps w:val="false"/>
          <w:sz w:val="20"/>
        </w:rPr>
        <w:t>not</w:t>
      </w:r>
      <w:r>
        <w:rPr>
          <w:rFonts w:ascii="Times New Roman" w:hAnsi="Times New Roman"/>
          <w:caps w:val="false"/>
          <w:smallCaps w:val="false"/>
          <w:sz w:val="20"/>
        </w:rPr>
        <w:t> estimated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identified events or changes in circumstances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have a significant adverse effect on the fair value of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acquisitions of Total Clinical Placement System ("TCPS") in </w:t>
      </w:r>
      <w:r>
        <w:rPr>
          <w:rStyle w:val="Emphasis"/>
          <w:rFonts w:ascii="Times New Roman" w:hAnsi="Times New Roman"/>
          <w:caps w:val="false"/>
          <w:smallCaps w:val="false"/>
          <w:sz w:val="20"/>
        </w:rPr>
        <w:t xml:space="preserve">October 2024, </w:t>
      </w:r>
      <w:r>
        <w:rPr>
          <w:rFonts w:ascii="Times New Roman" w:hAnsi="Times New Roman"/>
          <w:caps w:val="false"/>
          <w:smallCaps w:val="false"/>
          <w:sz w:val="20"/>
        </w:rPr>
        <w:t xml:space="preserve">The Clinical Hub, Inc. ("The Clinical Hub") in </w:t>
      </w:r>
      <w:r>
        <w:rPr>
          <w:rStyle w:val="Emphasis"/>
          <w:rFonts w:ascii="Times New Roman" w:hAnsi="Times New Roman"/>
          <w:caps w:val="false"/>
          <w:smallCaps w:val="false"/>
          <w:sz w:val="20"/>
        </w:rPr>
        <w:t>November 2024, Virsys12,</w:t>
      </w:r>
      <w:r>
        <w:rPr>
          <w:rFonts w:ascii="Times New Roman" w:hAnsi="Times New Roman"/>
          <w:caps w:val="false"/>
          <w:smallCaps w:val="false"/>
          <w:sz w:val="20"/>
        </w:rPr>
        <w:t xml:space="preserve"> LLC (</w:t>
      </w:r>
      <w:r>
        <w:rPr>
          <w:rStyle w:val="Emphasis"/>
          <w:rFonts w:ascii="Times New Roman" w:hAnsi="Times New Roman"/>
          <w:caps w:val="false"/>
          <w:smallCaps w:val="false"/>
          <w:sz w:val="20"/>
        </w:rPr>
        <w:t>"Virsys12"</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 xml:space="preserve">and MissionCare Collective LLC ("MissionCare") 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a portion of the purchase price payable by the Company was in the form of contingent consideration.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contingent consideration liabilities representing the estimated fair value of future earnout payments to the former owners of such entities in connection with these acquisitions, contingent upon the achievement of specified revenue milestones. The contingent consideration liability is remeasured to fair value each reporting period, with changes recognized in general and administrative expense in the Condensed Consolidated Statements of Income. The Company classifies this liability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 because the valuation relies on significant unobservable inputs.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Company's ending balance contained liabilities related to TCPS, </w:t>
      </w:r>
      <w:r>
        <w:rPr>
          <w:rStyle w:val="Emphasis"/>
          <w:rFonts w:ascii="Times New Roman" w:hAnsi="Times New Roman"/>
          <w:caps w:val="false"/>
          <w:smallCaps w:val="false"/>
          <w:sz w:val="20"/>
        </w:rPr>
        <w:t>Virsys12,</w:t>
      </w:r>
      <w:r>
        <w:rPr>
          <w:rFonts w:ascii="Times New Roman" w:hAnsi="Times New Roman"/>
          <w:caps w:val="false"/>
          <w:smallCaps w:val="false"/>
          <w:sz w:val="20"/>
        </w:rPr>
        <w:t xml:space="preserve"> and MissionCare. </w:t>
      </w:r>
    </w:p>
    <w:p>
      <w:pPr>
        <w:pStyle w:val="TextBody"/>
        <w:bidi w:val="0"/>
        <w:spacing w:before="0" w:after="0"/>
        <w:ind w:left="0" w:right="0" w:hanging="0"/>
        <w:jc w:val="both"/>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2555"/>
        <w:gridCol w:w="60"/>
        <w:gridCol w:w="125"/>
        <w:gridCol w:w="545"/>
        <w:gridCol w:w="80"/>
        <w:gridCol w:w="60"/>
        <w:gridCol w:w="125"/>
        <w:gridCol w:w="335"/>
        <w:gridCol w:w="60"/>
      </w:tblGrid>
      <w:tr>
        <w:trPr/>
        <w:tc>
          <w:tcPr>
            <w:tcW w:w="25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Consideration</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January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 Initial recognition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(gains)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other comp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 Initial recognition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(gains) losses: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Included in other comp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shd w:fill="FFFFFF" w:val="clear"/>
        </w:rPr>
        <w:t>2.</w:t>
      </w:r>
      <w:r>
        <w:rPr>
          <w:rFonts w:ascii="Times New Roman" w:hAnsi="Times New Roman"/>
          <w:caps w:val="false"/>
          <w:smallCaps w:val="false"/>
          <w:sz w:val="20"/>
          <w:shd w:fill="FFFFFF" w:val="clear"/>
        </w:rPr>
        <w:t> </w:t>
      </w:r>
      <w:r>
        <w:rPr>
          <w:rFonts w:ascii="Times New Roman" w:hAnsi="Times New Roman"/>
          <w:b/>
          <w:caps w:val="false"/>
          <w:smallCaps w:val="false"/>
          <w:sz w:val="20"/>
          <w:shd w:fill="FFFFFF" w:val="clear"/>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 - Reporting Comprehensive Income - Expense Disaggregation Disclosures: Disaggregation of Income Statement Expenses</w:t>
      </w:r>
      <w:r>
        <w:rPr>
          <w:rFonts w:ascii="Times New Roman" w:hAnsi="Times New Roman"/>
          <w:caps w:val="false"/>
          <w:smallCaps w:val="false"/>
          <w:sz w:val="20"/>
        </w:rPr>
        <w:t xml:space="preserve">, which requires disclosure of disaggregated information about specific categories underlying certain income statement expense line items in the footnotes to the financial statements for both annual and interim periods.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Company is currently evaluating the impact of the adoption of this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05,</w:t>
      </w:r>
      <w:r>
        <w:rPr>
          <w:rFonts w:ascii="Times New Roman" w:hAnsi="Times New Roman"/>
          <w:caps w:val="false"/>
          <w:smallCaps w:val="false"/>
          <w:sz w:val="20"/>
        </w:rPr>
        <w:t> </w:t>
      </w:r>
      <w:r>
        <w:rPr>
          <w:rFonts w:ascii="Times New Roman" w:hAnsi="Times New Roman"/>
          <w:i/>
          <w:caps w:val="false"/>
          <w:smallCaps w:val="false"/>
          <w:sz w:val="20"/>
        </w:rPr>
        <w:t>Measurement of Credit Loss for Accounts Receivable and Contract Assets</w:t>
      </w:r>
      <w:r>
        <w:rPr>
          <w:rFonts w:ascii="Times New Roman" w:hAnsi="Times New Roman"/>
          <w:caps w:val="false"/>
          <w:smallCaps w:val="false"/>
          <w:sz w:val="20"/>
        </w:rPr>
        <w:t xml:space="preserve">. The ASU provides a practical expedient for the calculation of current expected credit losses for current accounts receivable and contract assets, allowing entities to assume that current conditions as of the balance sheet date will persist through the forecast period. The Company adopted the ASU effective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on a prospective basis and elected the practical expedient for the calculation of current expected credit losses. The adoption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allowance for doubtful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 xml:space="preserve">Internal-Use Software (Subtopic </w:t>
      </w:r>
      <w:r>
        <w:rPr>
          <w:rStyle w:val="Emphasis"/>
          <w:rFonts w:ascii="Times New Roman" w:hAnsi="Times New Roman"/>
          <w:i/>
          <w:caps w:val="false"/>
          <w:smallCaps w:val="false"/>
          <w:sz w:val="20"/>
        </w:rPr>
        <w:t>350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Targeted Improvements to the Accounting for Internal-Use Software</w:t>
      </w:r>
      <w:r>
        <w:rPr>
          <w:rFonts w:ascii="Times New Roman" w:hAnsi="Times New Roman"/>
          <w:caps w:val="false"/>
          <w:smallCaps w:val="false"/>
          <w:sz w:val="20"/>
        </w:rPr>
        <w:t xml:space="preserve">, to modernize the accounting guidance for the costs to develop software for internal use. The standard applies to costs incurred to develop or obtain software for internal use.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amends the existing standard that refers to various stages of a software 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is effective for annual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The guidance can be applied on a prospective basis, a modified basis for in-process projects, or on a retrospective basis. The Company is currently evaluating the impact of this accounting standard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w:t>
      </w:r>
      <w:r>
        <w:rPr>
          <w:rFonts w:ascii="Times New Roman" w:hAnsi="Times New Roman"/>
          <w:i/>
          <w:caps w:val="false"/>
          <w:smallCaps w:val="false"/>
          <w:sz w:val="20"/>
        </w:rPr>
        <w:t xml:space="preserve">Interim Reporting (Topic </w:t>
      </w:r>
      <w:r>
        <w:rPr>
          <w:rStyle w:val="Emphasis"/>
          <w:rFonts w:ascii="Times New Roman" w:hAnsi="Times New Roman"/>
          <w:i/>
          <w:caps w:val="false"/>
          <w:smallCaps w:val="false"/>
          <w:sz w:val="20"/>
        </w:rPr>
        <w:t>270</w:t>
      </w:r>
      <w:r>
        <w:rPr>
          <w:rFonts w:ascii="Times New Roman" w:hAnsi="Times New Roman"/>
          <w:i/>
          <w:caps w:val="false"/>
          <w:smallCaps w:val="false"/>
          <w:sz w:val="20"/>
        </w:rPr>
        <w:t>): Narrow-Scope Improvements</w:t>
      </w:r>
      <w:r>
        <w:rPr>
          <w:rFonts w:ascii="Times New Roman" w:hAnsi="Times New Roman"/>
          <w:caps w:val="false"/>
          <w:smallCaps w:val="false"/>
          <w:sz w:val="20"/>
        </w:rPr>
        <w:t xml:space="preserve">, which clarifies the guidance in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to improve the consistency of interim financial reporting. The standard provides a comprehensive list of required interim disclosures and introduces a disclosure principle requiring entities to disclose events since the end of the last annual reporting period that have a material impact on the entity.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including interim periods within those fiscal years, with early adoption permitted. The Company is currently evaluating the impact of adopting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Revenues are recognized when control of the promised goods or services is transferred to the customer in an amount that reflects the consideration the Company expects to be entitled to in exchange for transferring those goods or services. Revenue is recognized based on the following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step model:</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10"/>
        <w:gridCol w:w="36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contract with a customer</w:t>
            </w:r>
          </w:p>
        </w:tc>
      </w:tr>
    </w:tbl>
    <w:tbl>
      <w:tblPr>
        <w:tblW w:w="5050" w:type="dxa"/>
        <w:jc w:val="left"/>
        <w:tblInd w:w="0" w:type="dxa"/>
        <w:tblLayout w:type="fixed"/>
        <w:tblCellMar>
          <w:top w:w="0" w:type="dxa"/>
          <w:left w:w="0" w:type="dxa"/>
          <w:bottom w:w="0" w:type="dxa"/>
          <w:right w:w="0" w:type="dxa"/>
        </w:tblCellMar>
      </w:tblPr>
      <w:tblGrid>
        <w:gridCol w:w="60"/>
        <w:gridCol w:w="110"/>
        <w:gridCol w:w="488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Identification of the performance obligations in the contract</w:t>
            </w:r>
          </w:p>
        </w:tc>
      </w:tr>
    </w:tbl>
    <w:tbl>
      <w:tblPr>
        <w:tblW w:w="3265" w:type="dxa"/>
        <w:jc w:val="left"/>
        <w:tblInd w:w="0" w:type="dxa"/>
        <w:tblLayout w:type="fixed"/>
        <w:tblCellMar>
          <w:top w:w="0" w:type="dxa"/>
          <w:left w:w="0" w:type="dxa"/>
          <w:bottom w:w="0" w:type="dxa"/>
          <w:right w:w="0" w:type="dxa"/>
        </w:tblCellMar>
      </w:tblPr>
      <w:tblGrid>
        <w:gridCol w:w="60"/>
        <w:gridCol w:w="110"/>
        <w:gridCol w:w="30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Determination of the transaction price</w:t>
            </w:r>
          </w:p>
        </w:tc>
      </w:tr>
    </w:tbl>
    <w:tbl>
      <w:tblPr>
        <w:tblW w:w="6715" w:type="dxa"/>
        <w:jc w:val="left"/>
        <w:tblInd w:w="0" w:type="dxa"/>
        <w:tblLayout w:type="fixed"/>
        <w:tblCellMar>
          <w:top w:w="0" w:type="dxa"/>
          <w:left w:w="0" w:type="dxa"/>
          <w:bottom w:w="0" w:type="dxa"/>
          <w:right w:w="0" w:type="dxa"/>
        </w:tblCellMar>
      </w:tblPr>
      <w:tblGrid>
        <w:gridCol w:w="60"/>
        <w:gridCol w:w="110"/>
        <w:gridCol w:w="65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Allocation of the transaction price to the performance obligations in the contract</w:t>
            </w:r>
          </w:p>
        </w:tc>
      </w:tr>
    </w:tbl>
    <w:tbl>
      <w:tblPr>
        <w:tblW w:w="7015" w:type="dxa"/>
        <w:jc w:val="left"/>
        <w:tblInd w:w="0" w:type="dxa"/>
        <w:tblLayout w:type="fixed"/>
        <w:tblCellMar>
          <w:top w:w="0" w:type="dxa"/>
          <w:left w:w="0" w:type="dxa"/>
          <w:bottom w:w="0" w:type="dxa"/>
          <w:right w:w="0" w:type="dxa"/>
        </w:tblCellMar>
      </w:tblPr>
      <w:tblGrid>
        <w:gridCol w:w="60"/>
        <w:gridCol w:w="110"/>
        <w:gridCol w:w="68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Recognition of revenue when, or as, the Company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revenues disaggregated by revenue source (in thousands). Sales taxes are excluded from revenues.</w:t>
      </w:r>
    </w:p>
    <w:p>
      <w:pPr>
        <w:pStyle w:val="TextBody"/>
        <w:bidi w:val="0"/>
        <w:spacing w:before="0" w:after="0"/>
        <w:ind w:left="0" w:right="0" w:hanging="0"/>
        <w:jc w:val="both"/>
        <w:rPr>
          <w:caps w:val="false"/>
          <w:smallCaps w:val="false"/>
        </w:rPr>
      </w:pPr>
      <w:r>
        <w:rPr>
          <w:caps w:val="false"/>
          <w:smallCaps w:val="false"/>
        </w:rPr>
        <w:t> </w:t>
      </w:r>
    </w:p>
    <w:tbl>
      <w:tblPr>
        <w:tblW w:w="6791" w:type="dxa"/>
        <w:jc w:val="left"/>
        <w:tblInd w:w="0" w:type="dxa"/>
        <w:tblLayout w:type="fixed"/>
        <w:tblCellMar>
          <w:top w:w="0" w:type="dxa"/>
          <w:left w:w="0" w:type="dxa"/>
          <w:bottom w:w="0" w:type="dxa"/>
          <w:right w:w="0" w:type="dxa"/>
        </w:tblCellMar>
      </w:tblPr>
      <w:tblGrid>
        <w:gridCol w:w="1745"/>
        <w:gridCol w:w="60"/>
        <w:gridCol w:w="202"/>
        <w:gridCol w:w="955"/>
        <w:gridCol w:w="97"/>
        <w:gridCol w:w="97"/>
        <w:gridCol w:w="202"/>
        <w:gridCol w:w="955"/>
        <w:gridCol w:w="60"/>
        <w:gridCol w:w="60"/>
        <w:gridCol w:w="163"/>
        <w:gridCol w:w="908"/>
        <w:gridCol w:w="78"/>
        <w:gridCol w:w="78"/>
        <w:gridCol w:w="163"/>
        <w:gridCol w:w="908"/>
        <w:gridCol w:w="60"/>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79,986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158,377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142,730</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5,151</w:t>
            </w:r>
          </w:p>
        </w:tc>
        <w:tc>
          <w:tcPr>
            <w:tcW w:w="6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83,732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164,935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147,881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pPr>
      <w:r>
        <w:rPr>
          <w:sz w:val="20"/>
        </w:rPr>
        <w:t xml:space="preserve">For the  </w:t>
      </w:r>
      <w:r>
        <w:rPr>
          <w:rStyle w:val="Emphasis"/>
          <w:sz w:val="20"/>
        </w:rPr>
        <w:t>three</w:t>
      </w:r>
      <w:r>
        <w:rPr>
          <w:sz w:val="20"/>
        </w:rPr>
        <w:t xml:space="preserve"> months ended </w:t>
      </w:r>
      <w:r>
        <w:rPr>
          <w:rStyle w:val="Emphasis"/>
          <w:sz w:val="20"/>
        </w:rPr>
        <w:t xml:space="preserve">June 30, 2026 </w:t>
      </w:r>
      <w:r>
        <w:rPr>
          <w:sz w:val="20"/>
        </w:rPr>
        <w:t xml:space="preserve">and </w:t>
      </w:r>
      <w:r>
        <w:rPr>
          <w:rStyle w:val="Emphasis"/>
          <w:sz w:val="20"/>
        </w:rPr>
        <w:t>2025</w:t>
      </w:r>
      <w:r>
        <w:rPr>
          <w:sz w:val="20"/>
        </w:rPr>
        <w:t xml:space="preserve">, the Company recognized $0.1 million and  $0.2 million in impairment losses on receivables and contract assets arising from the Company's contracts with customers, respectively. For the  </w:t>
      </w:r>
      <w:r>
        <w:rPr>
          <w:rStyle w:val="Emphasis"/>
          <w:sz w:val="20"/>
        </w:rPr>
        <w:t>six</w:t>
      </w:r>
      <w:r>
        <w:rPr>
          <w:sz w:val="20"/>
        </w:rPr>
        <w:t xml:space="preserve"> months ended </w:t>
      </w:r>
      <w:r>
        <w:rPr>
          <w:rStyle w:val="Emphasis"/>
          <w:sz w:val="20"/>
        </w:rPr>
        <w:t xml:space="preserve">June 30, 2026 </w:t>
      </w:r>
      <w:r>
        <w:rPr>
          <w:sz w:val="20"/>
        </w:rPr>
        <w:t xml:space="preserve">and </w:t>
      </w:r>
      <w:r>
        <w:rPr>
          <w:rStyle w:val="Emphasis"/>
          <w:sz w:val="20"/>
        </w:rPr>
        <w:t>2025</w:t>
      </w:r>
      <w:r>
        <w:rPr>
          <w:sz w:val="20"/>
        </w:rPr>
        <w:t xml:space="preserve">, the Company recognized  $0.2 million and  $0.4 million in impairment losses on receivables and contract assets arising from the Company's contracts with customers,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recognized revenues of $51.1 million and $49.1 million, respectively, from amounts included in deferred revenue at the beginning of the respective periods.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revenues of $69.0 million and $69.1 million, respectively, from amounts included in deferred revenue at the beginning of the respective periods.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approximately $685 million of revenue is expected to be recognized from remaining performance obligations under contracts with customers. The Company expects to recognize revenue related to approximately 40% of these remaining performance obligations over the next 12 months, 68% over the next 24 months, and 85% over the next 36 months, with the remaining amounts recognized thereafter.</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4.</w:t>
      </w:r>
      <w:r>
        <w:rPr>
          <w:rFonts w:ascii="Times New Roman;Times;serif" w:hAnsi="Times New Roman;Times;serif"/>
          <w:b/>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computes its interim period provision for income taxes by applying the estimated annual effective tax rate to year-to-date pretax income or loss and adjusts the provision for discrete tax items recorded in the period. The Company’s effective tax rate was 24% and 20%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5.</w:t>
      </w:r>
      <w:r>
        <w:rPr>
          <w:rFonts w:ascii="Times New Roman;Times;serif" w:hAnsi="Times New Roman;Times;serif"/>
          <w:b/>
          <w:caps w:val="false"/>
          <w:smallCaps w:val="false"/>
          <w:sz w:val="20"/>
        </w:rPr>
        <w:t xml:space="preserve"> SHAREHOLDERS' 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on Common Stock</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the Company's Board of Directors (“Board”) declared the following quarterly dividends under the Company's dividend policy (in thousands, except per share data):</w:t>
      </w:r>
    </w:p>
    <w:p>
      <w:pPr>
        <w:pStyle w:val="TextBody"/>
        <w:bidi w:val="0"/>
        <w:spacing w:before="0" w:after="0"/>
        <w:ind w:left="0" w:right="0" w:hanging="0"/>
        <w:jc w:val="left"/>
        <w:rPr/>
      </w:pPr>
      <w:r>
        <w:rPr/>
        <w:t> </w:t>
      </w:r>
    </w:p>
    <w:tbl>
      <w:tblPr>
        <w:tblW w:w="8528" w:type="dxa"/>
        <w:jc w:val="left"/>
        <w:tblInd w:w="0" w:type="dxa"/>
        <w:tblLayout w:type="fixed"/>
        <w:tblCellMar>
          <w:top w:w="0" w:type="dxa"/>
          <w:left w:w="0" w:type="dxa"/>
          <w:bottom w:w="28" w:type="dxa"/>
          <w:right w:w="0" w:type="dxa"/>
        </w:tblCellMar>
      </w:tblPr>
      <w:tblGrid>
        <w:gridCol w:w="2015"/>
        <w:gridCol w:w="60"/>
        <w:gridCol w:w="2270"/>
        <w:gridCol w:w="60"/>
        <w:gridCol w:w="340"/>
        <w:gridCol w:w="1329"/>
        <w:gridCol w:w="60"/>
        <w:gridCol w:w="1205"/>
        <w:gridCol w:w="60"/>
        <w:gridCol w:w="219"/>
        <w:gridCol w:w="850"/>
        <w:gridCol w:w="60"/>
      </w:tblGrid>
      <w:tr>
        <w:trPr/>
        <w:tc>
          <w:tcPr>
            <w:tcW w:w="201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Payment Date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 Date</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Dividend Per Share</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Cash Outlay</w:t>
            </w:r>
          </w:p>
        </w:tc>
        <w:tc>
          <w:tcPr>
            <w:tcW w:w="60" w:type="dxa"/>
            <w:tcBorders/>
            <w:tcMar>
              <w:bottom w:w="0" w:type="dxa"/>
            </w:tcMar>
            <w:vAlign w:val="center"/>
          </w:tcPr>
          <w:p>
            <w:pPr>
              <w:pStyle w:val="TableContents"/>
              <w:bidi w:val="0"/>
              <w:spacing w:before="0" w:after="283"/>
              <w:jc w:val="left"/>
              <w:rPr/>
            </w:pPr>
            <w:r>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20,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23,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9,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29, 2026</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4, 2026</w:t>
            </w:r>
          </w:p>
        </w:tc>
        <w:tc>
          <w:tcPr>
            <w:tcW w:w="60" w:type="dxa"/>
            <w:tcBorders/>
            <w:tcMar>
              <w:bottom w:w="0" w:type="dxa"/>
            </w:tcMar>
            <w:vAlign w:val="center"/>
          </w:tcPr>
          <w:p>
            <w:pPr>
              <w:pStyle w:val="TableContents"/>
              <w:bidi w:val="0"/>
              <w:spacing w:before="0" w:after="283"/>
              <w:jc w:val="left"/>
              <w:rPr/>
            </w:pPr>
            <w:r>
              <w:rPr/>
              <w:t> </w:t>
            </w:r>
          </w:p>
        </w:tc>
        <w:tc>
          <w:tcPr>
            <w:tcW w:w="3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29" w:type="dxa"/>
            <w:tcBorders/>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0.035</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18, 2026</w:t>
            </w:r>
          </w:p>
        </w:tc>
        <w:tc>
          <w:tcPr>
            <w:tcW w:w="60" w:type="dxa"/>
            <w:tcBorders/>
            <w:tcMar>
              <w:bottom w:w="0" w:type="dxa"/>
            </w:tcMar>
            <w:vAlign w:val="center"/>
          </w:tcPr>
          <w:p>
            <w:pPr>
              <w:pStyle w:val="TableContents"/>
              <w:bidi w:val="0"/>
              <w:spacing w:before="0" w:after="283"/>
              <w:jc w:val="left"/>
              <w:rPr/>
            </w:pPr>
            <w:r>
              <w:rPr/>
              <w:t> </w:t>
            </w:r>
          </w:p>
        </w:tc>
        <w:tc>
          <w:tcPr>
            <w:tcW w:w="21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0" w:type="dxa"/>
            <w:tcBorders/>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Additionally, on </w:t>
      </w:r>
      <w:r>
        <w:rPr>
          <w:rStyle w:val="Emphasis"/>
          <w:rFonts w:ascii="Times New Roman;Times;serif" w:hAnsi="Times New Roman;Times;serif"/>
          <w:sz w:val="20"/>
          <w:shd w:fill="FFFFFF" w:val="clear"/>
        </w:rPr>
        <w:t xml:space="preserve">August 3, 2026, </w:t>
      </w:r>
      <w:r>
        <w:rPr>
          <w:rFonts w:ascii="Times New Roman;Times;serif" w:hAnsi="Times New Roman;Times;serif"/>
          <w:sz w:val="20"/>
          <w:shd w:fill="FFFFFF" w:val="clear"/>
        </w:rPr>
        <w:t xml:space="preserve">the Board declared a quarterly cash dividend of $0.035 per share, payable on </w:t>
      </w:r>
      <w:r>
        <w:rPr>
          <w:rStyle w:val="Emphasis"/>
          <w:rFonts w:ascii="Times New Roman;Times;serif" w:hAnsi="Times New Roman;Times;serif"/>
          <w:sz w:val="20"/>
          <w:shd w:fill="FFFFFF" w:val="clear"/>
        </w:rPr>
        <w:t>August 28, 2026 </w:t>
      </w:r>
      <w:r>
        <w:rPr>
          <w:rFonts w:ascii="Times New Roman;Times;serif" w:hAnsi="Times New Roman;Times;serif"/>
          <w:sz w:val="20"/>
          <w:shd w:fill="FFFFFF" w:val="clear"/>
        </w:rPr>
        <w:t xml:space="preserve">to holders of record on </w:t>
      </w:r>
      <w:r>
        <w:rPr>
          <w:rStyle w:val="Emphasis"/>
          <w:rFonts w:ascii="Times New Roman;Times;serif" w:hAnsi="Times New Roman;Times;serif"/>
          <w:sz w:val="20"/>
          <w:shd w:fill="FFFFFF" w:val="clear"/>
        </w:rPr>
        <w:t>August 17,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 summary of stock option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is as follows (in thousands, except weighted-average exercise price).</w:t>
      </w:r>
    </w:p>
    <w:p>
      <w:pPr>
        <w:pStyle w:val="TextBody"/>
        <w:bidi w:val="0"/>
        <w:spacing w:before="0" w:after="0"/>
        <w:ind w:left="0" w:right="0" w:hanging="0"/>
        <w:jc w:val="left"/>
        <w:rPr>
          <w:caps w:val="false"/>
          <w:smallCaps w:val="false"/>
        </w:rPr>
      </w:pPr>
      <w:r>
        <w:rPr>
          <w:caps w:val="false"/>
          <w:smallCaps w:val="false"/>
        </w:rPr>
        <w:t> </w:t>
      </w:r>
    </w:p>
    <w:tbl>
      <w:tblPr>
        <w:tblW w:w="6518" w:type="dxa"/>
        <w:jc w:val="left"/>
        <w:tblInd w:w="0" w:type="dxa"/>
        <w:tblLayout w:type="fixed"/>
        <w:tblCellMar>
          <w:top w:w="0" w:type="dxa"/>
          <w:left w:w="0" w:type="dxa"/>
          <w:bottom w:w="0" w:type="dxa"/>
          <w:right w:w="0" w:type="dxa"/>
        </w:tblCellMar>
      </w:tblPr>
      <w:tblGrid>
        <w:gridCol w:w="2885"/>
        <w:gridCol w:w="60"/>
        <w:gridCol w:w="116"/>
        <w:gridCol w:w="654"/>
        <w:gridCol w:w="80"/>
        <w:gridCol w:w="60"/>
        <w:gridCol w:w="249"/>
        <w:gridCol w:w="970"/>
        <w:gridCol w:w="60"/>
        <w:gridCol w:w="60"/>
        <w:gridCol w:w="258"/>
        <w:gridCol w:w="1006"/>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5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end of period</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weighted average remaining contractual term of options outstanding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was </w:t>
      </w:r>
      <w:r>
        <w:rPr>
          <w:rFonts w:ascii="Times New Roman" w:hAnsi="Times New Roman"/>
          <w:caps w:val="false"/>
          <w:smallCaps w:val="false"/>
          <w:sz w:val="20"/>
          <w:shd w:fill="FFFFFF" w:val="clear"/>
        </w:rPr>
        <w:t>7.8 years.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Restricted Share Unit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Restricted Share Unit ("RSU") activity for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is as follows (in thousands, except weighted-average grant date fair value):</w:t>
      </w:r>
    </w:p>
    <w:p>
      <w:pPr>
        <w:pStyle w:val="TextBody"/>
        <w:bidi w:val="0"/>
        <w:spacing w:before="0" w:after="0"/>
        <w:ind w:left="0" w:right="0" w:hanging="0"/>
        <w:jc w:val="both"/>
        <w:rPr>
          <w:caps w:val="false"/>
          <w:smallCaps w:val="false"/>
        </w:rPr>
      </w:pPr>
      <w:r>
        <w:rPr>
          <w:caps w:val="false"/>
          <w:smallCaps w:val="false"/>
        </w:rPr>
        <w:t> </w:t>
      </w:r>
    </w:p>
    <w:tbl>
      <w:tblPr>
        <w:tblW w:w="7087" w:type="dxa"/>
        <w:jc w:val="left"/>
        <w:tblInd w:w="0" w:type="dxa"/>
        <w:tblLayout w:type="fixed"/>
        <w:tblCellMar>
          <w:top w:w="0" w:type="dxa"/>
          <w:left w:w="0" w:type="dxa"/>
          <w:bottom w:w="0" w:type="dxa"/>
          <w:right w:w="0" w:type="dxa"/>
        </w:tblCellMar>
      </w:tblPr>
      <w:tblGrid>
        <w:gridCol w:w="2885"/>
        <w:gridCol w:w="60"/>
        <w:gridCol w:w="134"/>
        <w:gridCol w:w="755"/>
        <w:gridCol w:w="80"/>
        <w:gridCol w:w="60"/>
        <w:gridCol w:w="342"/>
        <w:gridCol w:w="1327"/>
        <w:gridCol w:w="60"/>
        <w:gridCol w:w="60"/>
        <w:gridCol w:w="220"/>
        <w:gridCol w:w="1044"/>
        <w:gridCol w:w="6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Grant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RSU’s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 Value</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ind w:left="0" w:right="0" w:hanging="0"/>
              <w:jc w:val="left"/>
              <w:rPr/>
            </w:pPr>
            <w:r>
              <w:rPr/>
              <w:t> </w:t>
            </w:r>
          </w:p>
        </w:tc>
        <w:tc>
          <w:tcPr>
            <w:tcW w:w="13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2" w:type="dxa"/>
            <w:tcBorders/>
            <w:shd w:fill="CCEEFF" w:val="clear"/>
            <w:vAlign w:val="center"/>
          </w:tcPr>
          <w:p>
            <w:pPr>
              <w:pStyle w:val="TableContents"/>
              <w:bidi w:val="0"/>
              <w:spacing w:before="0" w:after="283"/>
              <w:ind w:left="0" w:right="0" w:hanging="0"/>
              <w:jc w:val="left"/>
              <w:rPr/>
            </w:pPr>
            <w:r>
              <w:rPr/>
              <w:t> </w:t>
            </w:r>
          </w:p>
        </w:tc>
        <w:tc>
          <w:tcPr>
            <w:tcW w:w="13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2"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shd w:fill="FFFFFF" w:val="clear"/>
        </w:rPr>
        <w:t xml:space="preserve">The aggregate fair value of RSUs that vested during both the </w:t>
      </w:r>
      <w:r>
        <w:rPr>
          <w:rStyle w:val="Emphasis"/>
          <w:rFonts w:ascii="Times New Roman;Times;serif" w:hAnsi="Times New Roman;Times;serif"/>
          <w:caps w:val="false"/>
          <w:smallCaps w:val="false"/>
          <w:sz w:val="20"/>
          <w:shd w:fill="FFFFFF" w:val="clear"/>
        </w:rPr>
        <w:t>three</w:t>
      </w:r>
      <w:r>
        <w:rPr>
          <w:rFonts w:ascii="Times New Roman;Times;serif" w:hAnsi="Times New Roman;Times;serif"/>
          <w:caps w:val="false"/>
          <w:smallCaps w:val="false"/>
          <w:sz w:val="20"/>
          <w:shd w:fill="FFFFFF" w:val="clear"/>
        </w:rPr>
        <w:t xml:space="preserve"> months ended </w:t>
      </w:r>
      <w:r>
        <w:rPr>
          <w:rStyle w:val="Emphasis"/>
          <w:rFonts w:ascii="Times New Roman;Times;serif" w:hAnsi="Times New Roman;Times;serif"/>
          <w:caps w:val="false"/>
          <w:smallCaps w:val="false"/>
          <w:sz w:val="20"/>
          <w:shd w:fill="FFFFFF" w:val="clear"/>
        </w:rPr>
        <w:t xml:space="preserve">June 30, 2026 </w:t>
      </w:r>
      <w:r>
        <w:rPr>
          <w:rFonts w:ascii="Times New Roman;Times;serif" w:hAnsi="Times New Roman;Times;serif"/>
          <w:caps w:val="false"/>
          <w:smallCaps w:val="false"/>
          <w:sz w:val="20"/>
          <w:shd w:fill="FFFFFF" w:val="clear"/>
        </w:rPr>
        <w:t xml:space="preserve">and </w:t>
      </w:r>
      <w:r>
        <w:rPr>
          <w:rStyle w:val="Emphasis"/>
          <w:rFonts w:ascii="Times New Roman;Times;serif" w:hAnsi="Times New Roman;Times;serif"/>
          <w:caps w:val="false"/>
          <w:smallCaps w:val="false"/>
          <w:sz w:val="20"/>
          <w:shd w:fill="FFFFFF" w:val="clear"/>
        </w:rPr>
        <w:t>2025,</w:t>
      </w:r>
      <w:r>
        <w:rPr>
          <w:rFonts w:ascii="Times New Roman;Times;serif" w:hAnsi="Times New Roman;Times;serif"/>
          <w:caps w:val="false"/>
          <w:smallCaps w:val="false"/>
          <w:sz w:val="20"/>
          <w:shd w:fill="FFFFFF" w:val="clear"/>
        </w:rPr>
        <w:t xml:space="preserve"> as of the respective vesting dates, was $0.6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 recognized in the Condensed Consolidated Statements of Income is as follows (in thousands):</w:t>
      </w:r>
    </w:p>
    <w:p>
      <w:pPr>
        <w:pStyle w:val="TextBody"/>
        <w:bidi w:val="0"/>
        <w:spacing w:before="0" w:after="0"/>
        <w:ind w:left="0" w:right="0" w:hanging="0"/>
        <w:jc w:val="both"/>
        <w:rPr>
          <w:caps w:val="false"/>
          <w:smallCaps w:val="false"/>
        </w:rPr>
      </w:pPr>
      <w:r>
        <w:rPr>
          <w:caps w:val="false"/>
          <w:smallCaps w:val="false"/>
        </w:rPr>
        <w:t> </w:t>
      </w:r>
    </w:p>
    <w:tbl>
      <w:tblPr>
        <w:tblW w:w="9892" w:type="dxa"/>
        <w:jc w:val="left"/>
        <w:tblInd w:w="0" w:type="dxa"/>
        <w:tblLayout w:type="fixed"/>
        <w:tblCellMar>
          <w:top w:w="0" w:type="dxa"/>
          <w:left w:w="0" w:type="dxa"/>
          <w:bottom w:w="0" w:type="dxa"/>
          <w:right w:w="0" w:type="dxa"/>
        </w:tblCellMar>
      </w:tblPr>
      <w:tblGrid>
        <w:gridCol w:w="4850"/>
        <w:gridCol w:w="60"/>
        <w:gridCol w:w="263"/>
        <w:gridCol w:w="1022"/>
        <w:gridCol w:w="126"/>
        <w:gridCol w:w="126"/>
        <w:gridCol w:w="263"/>
        <w:gridCol w:w="706"/>
        <w:gridCol w:w="60"/>
        <w:gridCol w:w="60"/>
        <w:gridCol w:w="214"/>
        <w:gridCol w:w="832"/>
        <w:gridCol w:w="102"/>
        <w:gridCol w:w="102"/>
        <w:gridCol w:w="214"/>
        <w:gridCol w:w="832"/>
        <w:gridCol w:w="60"/>
      </w:tblGrid>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(excluding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10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2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w:t>
            </w:r>
          </w:p>
        </w:tc>
        <w:tc>
          <w:tcPr>
            <w:tcW w:w="60" w:type="dxa"/>
            <w:tcBorders/>
            <w:shd w:fill="FFFFFF" w:val="clear"/>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As of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total unrecognized compensation expense related to non-vested stock options, RSUs, and performance-based RSUs where the performance criteria has been established was</w:t>
      </w:r>
      <w:r>
        <w:rPr>
          <w:rFonts w:ascii="Times New Roman;Times;serif" w:hAnsi="Times New Roman;Times;serif"/>
          <w:caps w:val="false"/>
          <w:smallCaps w:val="false"/>
          <w:sz w:val="20"/>
          <w:shd w:fill="FFFFFF" w:val="clear"/>
        </w:rPr>
        <w:t> $8.6 million, net of estimated forfeitures, with a weighted average expense recognition period remaining of 2.7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Share Repurchase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 xml:space="preserve">November 11, 2025, </w:t>
      </w:r>
      <w:r>
        <w:rPr>
          <w:rFonts w:ascii="Times New Roman;Times;serif" w:hAnsi="Times New Roman;Times;serif"/>
          <w:caps w:val="false"/>
          <w:smallCaps w:val="false"/>
          <w:sz w:val="20"/>
        </w:rPr>
        <w:t xml:space="preserve">the Board approved a share repurchase program under which the Company was authorized to repurchase up to $10.0 million of its outstanding shares of common stock. Pursuant to this authorization, the Company was authorized to make repurchases in the open market, including under Rule </w:t>
      </w:r>
      <w:r>
        <w:rPr>
          <w:rStyle w:val="Emphasis"/>
          <w:rFonts w:ascii="Times New Roman;Times;serif" w:hAnsi="Times New Roman;Times;serif"/>
          <w:caps w:val="false"/>
          <w:smallCaps w:val="false"/>
          <w:sz w:val="20"/>
        </w:rPr>
        <w:t>10b5</w:t>
      </w: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plans, through privately negotiated transactions, or otherwise. The terms of this program provided that it would terminate on the earlier of </w:t>
      </w:r>
      <w:r>
        <w:rPr>
          <w:rStyle w:val="Emphasis"/>
          <w:rFonts w:ascii="Times New Roman;Times;serif" w:hAnsi="Times New Roman;Times;serif"/>
          <w:caps w:val="false"/>
          <w:smallCaps w:val="false"/>
          <w:sz w:val="20"/>
        </w:rPr>
        <w:t xml:space="preserve">February 26, 2026 </w:t>
      </w:r>
      <w:r>
        <w:rPr>
          <w:rFonts w:ascii="Times New Roman;Times;serif" w:hAnsi="Times New Roman;Times;serif"/>
          <w:caps w:val="false"/>
          <w:smallCaps w:val="false"/>
          <w:sz w:val="20"/>
        </w:rPr>
        <w:t xml:space="preserve">or when the maximum dollar amount had been expended.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xml:space="preserve">, the Company repurchased and subsequently retired 222,978 shares of common stock at an aggregate fair value of $5.0 million under this authorization, reflecting an average price per share of $22.42 (excluding the cost of broker commissions and the 1% share repurchase excise tax imposed by the Inflation Reduction Act of </w:t>
      </w:r>
      <w:r>
        <w:rPr>
          <w:rStyle w:val="Emphasis"/>
          <w:rFonts w:ascii="Times New Roman;Times;serif" w:hAnsi="Times New Roman;Times;serif"/>
          <w:caps w:val="false"/>
          <w:smallCaps w:val="false"/>
          <w:sz w:val="20"/>
        </w:rPr>
        <w:t>2022</w:t>
      </w:r>
      <w:r>
        <w:rPr>
          <w:rFonts w:ascii="Times New Roman;Times;serif" w:hAnsi="Times New Roman;Times;serif"/>
          <w:caps w:val="false"/>
          <w:smallCaps w:val="false"/>
          <w:sz w:val="20"/>
        </w:rPr>
        <w:t xml:space="preserve">). This share repurchase program terminated in </w:t>
      </w:r>
      <w:r>
        <w:rPr>
          <w:rStyle w:val="Emphasis"/>
          <w:rFonts w:ascii="Times New Roman;Times;serif" w:hAnsi="Times New Roman;Times;serif"/>
          <w:caps w:val="false"/>
          <w:smallCaps w:val="false"/>
          <w:sz w:val="20"/>
        </w:rPr>
        <w:t xml:space="preserve">January 2026 </w:t>
      </w:r>
      <w:r>
        <w:rPr>
          <w:rFonts w:ascii="Times New Roman;Times;serif" w:hAnsi="Times New Roman;Times;serif"/>
          <w:caps w:val="false"/>
          <w:smallCaps w:val="false"/>
          <w:sz w:val="20"/>
        </w:rPr>
        <w:t>when the maximum dollar amount under this program was expended.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2026, </w:t>
      </w:r>
      <w:r>
        <w:rPr>
          <w:rFonts w:ascii="Times New Roman" w:hAnsi="Times New Roman"/>
          <w:caps w:val="false"/>
          <w:smallCaps w:val="false"/>
          <w:sz w:val="20"/>
        </w:rPr>
        <w:t xml:space="preserve">the Company announced the adoption of a new share repurchase program approved by the Board under which the Company is authorized to repurchase up to $10.0 million of its outstanding shares of common stock. Pursuant to this authorization, the Company is authorized to make repurchases in the open market, including under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plans, through privately negotiated transactions, or otherwise. This share repurchase program terminates on the earlier of </w:t>
      </w:r>
      <w:r>
        <w:rPr>
          <w:rStyle w:val="Emphasis"/>
          <w:rFonts w:ascii="Times New Roman" w:hAnsi="Times New Roman"/>
          <w:caps w:val="false"/>
          <w:smallCaps w:val="false"/>
          <w:sz w:val="20"/>
        </w:rPr>
        <w:t xml:space="preserve">September 12, 2026 </w:t>
      </w:r>
      <w:r>
        <w:rPr>
          <w:rFonts w:ascii="Times New Roman" w:hAnsi="Times New Roman"/>
          <w:caps w:val="false"/>
          <w:smallCaps w:val="false"/>
          <w:sz w:val="20"/>
        </w:rPr>
        <w:t xml:space="preserve">or when the maximum dollar amount under the plan has been expended.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repurchased and subsequently retired 90,131 shares of common stock at an aggregate fair value of $1.8 million under this authorization, reflecting an average price per share of $19.95 (excluding the cost of broker commissions and the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share repurchase excise tax imposed by 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repurchased 209,498 shares of common stock at an aggregate fair value of $4.3 million under this authorization, reflecting an average price per share of $20.51 (excluding the cost of broker commissions and the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share repurchase excise tax imposed by 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the aggregate,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repurchased 432,476 shares of common stock at an aggregate fair value of $9.3 million under both of the share repurchase programs described above, reflecting an average price per share of $21.50 (excluding the cost of broker commissions and the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share repurchase excise tax imposed by the Inflation Reduction Act of </w:t>
      </w:r>
      <w:r>
        <w:rPr>
          <w:rStyle w:val="Emphasis"/>
          <w:rFonts w:ascii="Times New Roman" w:hAnsi="Times New Roman"/>
          <w:caps w:val="false"/>
          <w:smallCaps w:val="false"/>
          <w:sz w:val="20"/>
        </w:rPr>
        <w:t>2022</w:t>
      </w:r>
      <w:r>
        <w:rPr>
          <w:rFonts w:ascii="Times New Roman" w:hAnsi="Times New Roman"/>
          <w:caps w:val="false"/>
          <w:smallCaps w:val="false"/>
          <w:sz w:val="20"/>
        </w:rPr>
        <w:t>).</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380,000 and 184,000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394,000 and 145,000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8291" w:type="dxa"/>
        <w:jc w:val="left"/>
        <w:tblInd w:w="0" w:type="dxa"/>
        <w:tblLayout w:type="fixed"/>
        <w:tblCellMar>
          <w:top w:w="0" w:type="dxa"/>
          <w:left w:w="0" w:type="dxa"/>
          <w:bottom w:w="0" w:type="dxa"/>
          <w:right w:w="0" w:type="dxa"/>
        </w:tblCellMar>
      </w:tblPr>
      <w:tblGrid>
        <w:gridCol w:w="3245"/>
        <w:gridCol w:w="60"/>
        <w:gridCol w:w="202"/>
        <w:gridCol w:w="955"/>
        <w:gridCol w:w="97"/>
        <w:gridCol w:w="97"/>
        <w:gridCol w:w="202"/>
        <w:gridCol w:w="955"/>
        <w:gridCol w:w="60"/>
        <w:gridCol w:w="60"/>
        <w:gridCol w:w="185"/>
        <w:gridCol w:w="875"/>
        <w:gridCol w:w="89"/>
        <w:gridCol w:w="89"/>
        <w:gridCol w:w="185"/>
        <w:gridCol w:w="875"/>
        <w:gridCol w:w="60"/>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30,382</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shares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diluted shares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29,314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30,519</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6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w:t>
      </w:r>
      <w:r>
        <w:rPr>
          <w:rFonts w:ascii="Times New Roman" w:hAnsi="Times New Roman"/>
          <w:b/>
          <w:caps w:val="false"/>
          <w:smallCaps w:val="false"/>
          <w:sz w:val="20"/>
          <w:shd w:fill="FFFFFF" w:val="clear"/>
        </w:rPr>
        <w:t>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marketable securities, which were all classified as available for sale and which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sell nor will the Company be required to sell prior to recovery of their amortized cost basis, included the following (in thousands):</w:t>
      </w:r>
    </w:p>
    <w:p>
      <w:pPr>
        <w:pStyle w:val="TextBody"/>
        <w:bidi w:val="0"/>
        <w:spacing w:before="0" w:after="0"/>
        <w:jc w:val="left"/>
        <w:rPr/>
      </w:pPr>
      <w:r>
        <w:rPr/>
        <w:t xml:space="preserve">  </w:t>
      </w:r>
    </w:p>
    <w:tbl>
      <w:tblPr>
        <w:tblW w:w="740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722"/>
        <w:gridCol w:w="722"/>
        <w:gridCol w:w="60"/>
        <w:gridCol w:w="60"/>
        <w:gridCol w:w="605"/>
        <w:gridCol w:w="899"/>
        <w:gridCol w:w="8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3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treasury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20,562</w:t>
            </w:r>
          </w:p>
        </w:tc>
        <w:tc>
          <w:tcPr>
            <w:tcW w:w="60" w:type="dxa"/>
            <w:tcBorders/>
            <w:shd w:fill="FFFFFF" w:val="clear"/>
            <w:vAlign w:val="center"/>
          </w:tcPr>
          <w:p>
            <w:pPr>
              <w:pStyle w:val="TableContents"/>
              <w:bidi w:val="0"/>
              <w:spacing w:before="0" w:after="0"/>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386" w:type="dxa"/>
        <w:jc w:val="left"/>
        <w:tblInd w:w="0" w:type="dxa"/>
        <w:tblLayout w:type="fixed"/>
        <w:tblCellMar>
          <w:top w:w="0" w:type="dxa"/>
          <w:left w:w="0" w:type="dxa"/>
          <w:bottom w:w="0" w:type="dxa"/>
          <w:right w:w="0" w:type="dxa"/>
        </w:tblCellMar>
      </w:tblPr>
      <w:tblGrid>
        <w:gridCol w:w="1850"/>
        <w:gridCol w:w="60"/>
        <w:gridCol w:w="203"/>
        <w:gridCol w:w="971"/>
        <w:gridCol w:w="60"/>
        <w:gridCol w:w="60"/>
        <w:gridCol w:w="507"/>
        <w:gridCol w:w="937"/>
        <w:gridCol w:w="60"/>
        <w:gridCol w:w="60"/>
        <w:gridCol w:w="487"/>
        <w:gridCol w:w="1017"/>
        <w:gridCol w:w="60"/>
        <w:gridCol w:w="60"/>
        <w:gridCol w:w="163"/>
        <w:gridCol w:w="771"/>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1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Adjusted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U.S. treasury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20,843</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20,843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carrying amounts reported in the Condensed Consolidated Balance Sheets approximate fair value based on quoted market prices or alternative pricing sources and models utilizing market observable inputs.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xml:space="preserve">,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any allowance for credit impairments on its available for sale securities. All investments in marketable securities are classified as current assets on the Condensed Consolidated Balance Sheets because the underlying securities mature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balance sheet date.</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shd w:fill="FFFFFF" w:val="clear"/>
        </w:rPr>
        <w:t>8.</w:t>
      </w:r>
      <w:r>
        <w:rPr>
          <w:rFonts w:ascii="Times New Roman" w:hAnsi="Times New Roman"/>
          <w:b/>
          <w:caps w:val="false"/>
          <w:smallCaps w:val="false"/>
          <w:sz w:val="20"/>
          <w:shd w:fill="FFFFFF" w:val="clear"/>
        </w:rPr>
        <w:t xml:space="preserve">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13, 2026, </w:t>
      </w:r>
      <w:r>
        <w:rPr>
          <w:rFonts w:ascii="Times New Roman" w:hAnsi="Times New Roman"/>
          <w:caps w:val="false"/>
          <w:smallCaps w:val="false"/>
          <w:sz w:val="20"/>
        </w:rPr>
        <w:t xml:space="preserve">the Company entered into the First Amendment (the "First Amendment") to Amended and Restated Revolving Credit Agreement, amending the Amended and Restated Revolving Credit Agreement dated </w:t>
      </w:r>
      <w:r>
        <w:rPr>
          <w:rStyle w:val="Emphasis"/>
          <w:rFonts w:ascii="Times New Roman" w:hAnsi="Times New Roman"/>
          <w:caps w:val="false"/>
          <w:smallCaps w:val="false"/>
          <w:sz w:val="20"/>
        </w:rPr>
        <w:t>October 6, 2023 (</w:t>
      </w:r>
      <w:r>
        <w:rPr>
          <w:rFonts w:ascii="Times New Roman" w:hAnsi="Times New Roman"/>
          <w:caps w:val="false"/>
          <w:smallCaps w:val="false"/>
          <w:sz w:val="20"/>
        </w:rPr>
        <w:t xml:space="preserve">the “Revolving Credit Facility"; the Revolving Credit Facility, as amended by the First Amendment, the "Amended Revolving Credit Facility"). The First Amendment made certain revisions to the restricted payments provision in the Revolving Credit Facility (including to broaden the scope of certain parameters restricting dividends and share repurchases by the Company),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otherwise change the terms of the Revolving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Revolving Credit Facility amended and restated the revolving credit facility dated as of </w:t>
      </w:r>
      <w:r>
        <w:rPr>
          <w:rStyle w:val="Emphasis"/>
          <w:rFonts w:ascii="Times New Roman" w:hAnsi="Times New Roman"/>
          <w:caps w:val="false"/>
          <w:smallCaps w:val="false"/>
          <w:sz w:val="20"/>
        </w:rPr>
        <w:t xml:space="preserve"> November 24, 2014, </w:t>
      </w:r>
      <w:r>
        <w:rPr>
          <w:rFonts w:ascii="Times New Roman" w:hAnsi="Times New Roman"/>
          <w:caps w:val="false"/>
          <w:smallCaps w:val="false"/>
          <w:sz w:val="20"/>
        </w:rPr>
        <w:t>as amended, with certain lenders party thereto from time to time, and Truist, as Administrative Agent for the lenders. Under the Amended Revolving Credit Facility,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borrow up to $50.0 million, which includes a $5.0 million swingline sub-facility and a $5.0 million letter of credit sub-facility, as well as an accordion feature that allows the Company to increase the Amended Revolving Credit Facility by a total of up to $25.0 million, subject to securing additional commitments from existing lenders or new lending institutions. The Amended Revolving Credit Facility has a maturity date of </w:t>
      </w:r>
      <w:r>
        <w:rPr>
          <w:rStyle w:val="Emphasis"/>
          <w:rFonts w:ascii="Times New Roman" w:hAnsi="Times New Roman"/>
          <w:caps w:val="false"/>
          <w:smallCaps w:val="false"/>
          <w:sz w:val="20"/>
        </w:rPr>
        <w:t xml:space="preserve"> October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Amended Revolving Credit Facility are unsecured. In addition, if the Company forms or acquires any domestic subsidiaries, the loans and other obligations under the Amended Revolving Credit Facility will be guaranteed by such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the Company’s election, the borrowings under the Amended Revolving Credit Facility, other than the swingline loans, bear interest at either (</w:t>
      </w:r>
      <w:r>
        <w:rPr>
          <w:rStyle w:val="Emphasis"/>
          <w:rFonts w:ascii="Times New Roman" w:hAnsi="Times New Roman"/>
          <w:caps w:val="false"/>
          <w:smallCaps w:val="false"/>
          <w:sz w:val="20"/>
        </w:rPr>
        <w:t>1</w:t>
      </w:r>
      <w:r>
        <w:rPr>
          <w:rFonts w:ascii="Times New Roman" w:hAnsi="Times New Roman"/>
          <w:caps w:val="false"/>
          <w:smallCaps w:val="false"/>
          <w:sz w:val="20"/>
        </w:rPr>
        <w:t>) a base rate defined as the highest of (a) the rate which the Administrative Agent announces from time to time as its prime lending rate, as in effect from time to time, or (b) the Federal Funds Rate, as in effect from time to time, plus </w:t>
      </w:r>
      <w:r>
        <w:rPr>
          <w:rStyle w:val="Emphasis"/>
          <w:rFonts w:ascii="Times New Roman" w:hAnsi="Times New Roman"/>
          <w:caps w:val="false"/>
          <w:smallCaps w:val="false"/>
          <w:sz w:val="20"/>
        </w:rPr>
        <w:t>one</w:t>
      </w:r>
      <w:r>
        <w:rPr>
          <w:rFonts w:ascii="Times New Roman" w:hAnsi="Times New Roman"/>
          <w:caps w:val="false"/>
          <w:smallCaps w:val="false"/>
          <w:sz w:val="20"/>
        </w:rPr>
        <w:t>-half of </w:t>
      </w:r>
      <w:r>
        <w:rPr>
          <w:rStyle w:val="Emphasis"/>
          <w:rFonts w:ascii="Times New Roman" w:hAnsi="Times New Roman"/>
          <w:caps w:val="false"/>
          <w:smallCaps w:val="false"/>
          <w:sz w:val="20"/>
        </w:rPr>
        <w:t>one</w:t>
      </w:r>
      <w:r>
        <w:rPr>
          <w:rFonts w:ascii="Times New Roman" w:hAnsi="Times New Roman"/>
          <w:caps w:val="false"/>
          <w:smallCaps w:val="false"/>
          <w:sz w:val="20"/>
        </w:rPr>
        <w:t> percent (0.50%) per annum (any changes in such rates to be effective as of the date of any change in such rate), plus in each case an applicable margin that varies with the company’s funded debt leverage ratio; or (</w:t>
      </w:r>
      <w:r>
        <w:rPr>
          <w:rStyle w:val="Emphasis"/>
          <w:rFonts w:ascii="Times New Roman" w:hAnsi="Times New Roman"/>
          <w:caps w:val="false"/>
          <w:smallCaps w:val="false"/>
          <w:sz w:val="20"/>
        </w:rPr>
        <w:t>2</w:t>
      </w:r>
      <w:r>
        <w:rPr>
          <w:rFonts w:ascii="Times New Roman" w:hAnsi="Times New Roman"/>
          <w:caps w:val="false"/>
          <w:smallCaps w:val="false"/>
          <w:sz w:val="20"/>
        </w:rPr>
        <w:t>)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w:t>
      </w:r>
      <w:r>
        <w:rPr>
          <w:rStyle w:val="Emphasis"/>
          <w:rFonts w:ascii="Times New Roman" w:hAnsi="Times New Roman"/>
          <w:caps w:val="false"/>
          <w:smallCaps w:val="false"/>
          <w:sz w:val="20"/>
        </w:rPr>
        <w:t>two</w:t>
      </w:r>
      <w:r>
        <w:rPr>
          <w:rFonts w:ascii="Times New Roman" w:hAnsi="Times New Roman"/>
          <w:caps w:val="false"/>
          <w:smallCaps w:val="false"/>
          <w:sz w:val="20"/>
        </w:rPr>
        <w:t> (</w:t>
      </w:r>
      <w:r>
        <w:rPr>
          <w:rStyle w:val="Emphasis"/>
          <w:rFonts w:ascii="Times New Roman" w:hAnsi="Times New Roman"/>
          <w:caps w:val="false"/>
          <w:smallCaps w:val="false"/>
          <w:sz w:val="20"/>
        </w:rPr>
        <w:t>2</w:t>
      </w:r>
      <w:r>
        <w:rPr>
          <w:rFonts w:ascii="Times New Roman" w:hAnsi="Times New Roman"/>
          <w:caps w:val="false"/>
          <w:smallCaps w:val="false"/>
          <w:sz w:val="20"/>
        </w:rPr>
        <w:t>)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Principal is payable in full at maturity on </w:t>
      </w:r>
      <w:r>
        <w:rPr>
          <w:rStyle w:val="Emphasis"/>
          <w:rFonts w:ascii="Times New Roman" w:hAnsi="Times New Roman"/>
          <w:caps w:val="false"/>
          <w:smallCaps w:val="false"/>
          <w:sz w:val="20"/>
        </w:rPr>
        <w:t xml:space="preserve"> October 6, 2026, </w:t>
      </w:r>
      <w:r>
        <w:rPr>
          <w:rFonts w:ascii="Times New Roman" w:hAnsi="Times New Roman"/>
          <w:caps w:val="false"/>
          <w:smallCaps w:val="false"/>
          <w:sz w:val="20"/>
        </w:rPr>
        <w:t>and there are </w:t>
      </w:r>
      <w:r>
        <w:rPr>
          <w:rStyle w:val="Emphasis"/>
          <w:rFonts w:ascii="Times New Roman" w:hAnsi="Times New Roman"/>
          <w:caps w:val="false"/>
          <w:smallCaps w:val="false"/>
          <w:sz w:val="20"/>
        </w:rPr>
        <w:t>no</w:t>
      </w:r>
      <w:r>
        <w:rPr>
          <w:rFonts w:ascii="Times New Roman" w:hAnsi="Times New Roman"/>
          <w:caps w:val="false"/>
          <w:smallCaps w:val="false"/>
          <w:sz w:val="20"/>
        </w:rPr>
        <w:t> scheduled principal payments prior to maturity. Interest on base rate loans and swingline loans is payable quarterly in arrears, and interest on SOFR loans is payable at the end of each interest period, and in the case of interest periods longer than </w:t>
      </w:r>
      <w:r>
        <w:rPr>
          <w:rStyle w:val="Emphasis"/>
          <w:rFonts w:ascii="Times New Roman" w:hAnsi="Times New Roman"/>
          <w:caps w:val="false"/>
          <w:smallCaps w:val="false"/>
          <w:sz w:val="20"/>
        </w:rPr>
        <w:t>three</w:t>
      </w:r>
      <w:r>
        <w:rPr>
          <w:rFonts w:ascii="Times New Roman" w:hAnsi="Times New Roman"/>
          <w:caps w:val="false"/>
          <w:smallCaps w:val="false"/>
          <w:sz w:val="20"/>
        </w:rPr>
        <w:t> months, on each day which occurs every </w:t>
      </w:r>
      <w:r>
        <w:rPr>
          <w:rStyle w:val="Emphasis"/>
          <w:rFonts w:ascii="Times New Roman" w:hAnsi="Times New Roman"/>
          <w:caps w:val="false"/>
          <w:smallCaps w:val="false"/>
          <w:sz w:val="20"/>
        </w:rPr>
        <w:t>three</w:t>
      </w:r>
      <w:r>
        <w:rPr>
          <w:rFonts w:ascii="Times New Roman" w:hAnsi="Times New Roman"/>
          <w:caps w:val="false"/>
          <w:smallCaps w:val="false"/>
          <w:sz w:val="20"/>
        </w:rPr>
        <w:t> months after the initial date of such interest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purpose of the Amended Revolving Credit Facility is for general working capital needs, permitted acquisitions (as defined in the Amended and Restated Revolving Credit Agreement), and for stock repurchase and/or redemption transactions that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authorize.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Amended Revolving Credit Facility required the Company to meet certain financial tests,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10"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 funded debt leverage ratio (consolidated debt/consolidated EBITDA)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3.0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an interest coverage ratio (consolidated EBITDA/consolidated interest expense)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to </w:t>
            </w:r>
            <w:r>
              <w:rPr>
                <w:rStyle w:val="Emphasis"/>
                <w:rFonts w:ascii="Times New Roman" w:hAnsi="Times New Roman"/>
                <w:caps w:val="false"/>
                <w:smallCaps w:val="false"/>
                <w:sz w:val="20"/>
              </w:rPr>
              <w:t>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Amended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was in compliance with all covenants of the Amended Revolving Credit Facility. There were no balances outstanding on the Amended Revolving Credit Facility as of or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xml:space="preserve">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Times;serif" w:hAnsi="Times New Roman;Times;serif"/>
          <w:b/>
          <w:i/>
          <w:caps w:val="false"/>
          <w:smallCaps w:val="false"/>
          <w:sz w:val="20"/>
        </w:rPr>
        <w:t>Virsys12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pPr>
      <w:r>
        <w:rPr>
          <w:rFonts w:ascii="Times New Roman;Times;serif" w:hAnsi="Times New Roman;Times;serif"/>
          <w:caps w:val="false"/>
          <w:smallCaps w:val="false"/>
          <w:sz w:val="20"/>
        </w:rPr>
        <w:t>On </w:t>
      </w:r>
      <w:r>
        <w:rPr>
          <w:rStyle w:val="Emphasis"/>
          <w:rFonts w:ascii="Times New Roman;Times;serif" w:hAnsi="Times New Roman;Times;serif"/>
          <w:caps w:val="false"/>
          <w:smallCaps w:val="false"/>
          <w:sz w:val="20"/>
        </w:rPr>
        <w:t xml:space="preserve"> October 8, 2025, </w:t>
      </w:r>
      <w:r>
        <w:rPr>
          <w:rFonts w:ascii="Times New Roman;Times;serif" w:hAnsi="Times New Roman;Times;serif"/>
          <w:caps w:val="false"/>
          <w:smallCaps w:val="false"/>
          <w:sz w:val="20"/>
        </w:rPr>
        <w:t>the Company acquired all of the outstanding equity of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a Brentwood, Tennessee-based healthcare technology company that offers payers and health plans an innovative provider data management suite used for onboarding, credentialing, and network management. The consideration paid at closing for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xml:space="preserve"> consisted of approximately $11.4 million payable in cash, after giving effect to customary purchase price adjustments and a post-closing working capital adjustment. In addition, up to an additional $4.0 million in cash </w:t>
      </w:r>
      <w:r>
        <w:rPr>
          <w:rStyle w:val="Emphasis"/>
          <w:rFonts w:ascii="Times New Roman;Times;serif" w:hAnsi="Times New Roman;Times;serif"/>
          <w:caps w:val="false"/>
          <w:smallCaps w:val="false"/>
          <w:sz w:val="20"/>
        </w:rPr>
        <w:t>may </w:t>
      </w:r>
      <w:r>
        <w:rPr>
          <w:rFonts w:ascii="Times New Roman;Times;serif" w:hAnsi="Times New Roman;Times;serif"/>
          <w:caps w:val="false"/>
          <w:smallCaps w:val="false"/>
          <w:sz w:val="20"/>
        </w:rPr>
        <w:t>be paid over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-year period following closing, contingent upon the achievement of certain revenue targets. This acquisition expanded the Company's existing provider data management and credentialing solution for payers and health plan enterprises, called Network by HealthStreamTM, which is a part of its broader, market-leading Credentialing application suite. The acquisition was accounted for using the acquisition method of business combination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The results of operations for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have been included in the Company’s Condensed Consolidated Financial Statements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purchase price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3125"/>
        <w:gridCol w:w="60"/>
        <w:gridCol w:w="125"/>
        <w:gridCol w:w="590"/>
        <w:gridCol w:w="60"/>
      </w:tblGrid>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the preliminary fair value of the assets acquired and liabilities assumed as of the date of acquisition (in thousands):</w:t>
      </w:r>
    </w:p>
    <w:p>
      <w:pPr>
        <w:pStyle w:val="TextBody"/>
        <w:bidi w:val="0"/>
        <w:spacing w:before="0" w:after="0"/>
        <w:ind w:left="0" w:right="0" w:hanging="0"/>
        <w:jc w:val="both"/>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and unbilled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6,108</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year from the acquisition date) as the Company finalizes the valuation of these items. The primary areas of the preliminary purchase price allocation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finalized include the composition and valuation of an indemnification asset and liability related to sales tax attributes, which is preliminarily valued at $0.4 million. The primary intangible asset acquired was developed technology. The fair value estimate for developed technology intangible asset included significant assumptions in the prospective financial information, such as revenue growth, obsolescence factor, EBITDA margin, and discount rate. Additionally, these assumptions are forward looking and could be affected by future economic and market conditions. The goodwill balance is primarily attributed to the assembled workforce, additional market opportunities from offering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products, and expected synergies from integrating </w:t>
      </w:r>
      <w:r>
        <w:rPr>
          <w:rStyle w:val="Emphasis"/>
          <w:rFonts w:ascii="Times New Roman;Times;serif" w:hAnsi="Times New Roman;Times;serif"/>
          <w:caps w:val="false"/>
          <w:smallCaps w:val="false"/>
          <w:sz w:val="20"/>
        </w:rPr>
        <w:t>Virsys12</w:t>
      </w:r>
      <w:r>
        <w:rPr>
          <w:rFonts w:ascii="Times New Roman;Times;serif" w:hAnsi="Times New Roman;Times;serif"/>
          <w:caps w:val="false"/>
          <w:smallCaps w:val="false"/>
          <w:sz w:val="20"/>
        </w:rPr>
        <w:t> with other products or other combined functional areas within the Company. The goodwill balance is deductible for U.S. income tax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sets forth the preliminary components of identifiable intangible assets and their estimated useful lives as of the acquisition date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654" w:type="dxa"/>
        <w:jc w:val="left"/>
        <w:tblInd w:w="0" w:type="dxa"/>
        <w:tblLayout w:type="fixed"/>
        <w:tblCellMar>
          <w:top w:w="0" w:type="dxa"/>
          <w:left w:w="0" w:type="dxa"/>
          <w:bottom w:w="0" w:type="dxa"/>
          <w:right w:w="0" w:type="dxa"/>
        </w:tblCellMar>
      </w:tblPr>
      <w:tblGrid>
        <w:gridCol w:w="3770"/>
        <w:gridCol w:w="60"/>
        <w:gridCol w:w="185"/>
        <w:gridCol w:w="719"/>
        <w:gridCol w:w="60"/>
        <w:gridCol w:w="860"/>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vAlign w:val="center"/>
          </w:tcPr>
          <w:p>
            <w:pPr>
              <w:pStyle w:val="TableContents"/>
              <w:bidi w:val="0"/>
              <w:spacing w:before="0" w:after="283"/>
              <w:ind w:left="0" w:right="0" w:hanging="0"/>
              <w:jc w:val="left"/>
              <w:rPr/>
            </w:pPr>
            <w:r>
              <w:rPr/>
              <w:t> </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Useful life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7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7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 years</w:t>
            </w:r>
          </w:p>
        </w:tc>
      </w:tr>
      <w:tr>
        <w:trPr/>
        <w:tc>
          <w:tcPr>
            <w:tcW w:w="37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subject to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unaudited pro forma financial information summarizes the results of operations of the Company and </w:t>
      </w:r>
      <w:r>
        <w:rPr>
          <w:rStyle w:val="Emphasis"/>
          <w:rFonts w:ascii="Times New Roman" w:hAnsi="Times New Roman"/>
          <w:caps w:val="false"/>
          <w:smallCaps w:val="false"/>
          <w:sz w:val="20"/>
        </w:rPr>
        <w:t>Virsys12</w:t>
      </w:r>
      <w:r>
        <w:rPr>
          <w:rFonts w:ascii="Times New Roman" w:hAnsi="Times New Roman"/>
          <w:caps w:val="false"/>
          <w:smallCaps w:val="false"/>
          <w:sz w:val="20"/>
        </w:rPr>
        <w:t> as though the companies were combined as of </w:t>
      </w:r>
      <w:r>
        <w:rPr>
          <w:rStyle w:val="Emphasis"/>
          <w:rFonts w:ascii="Times New Roman" w:hAnsi="Times New Roman"/>
          <w:caps w:val="false"/>
          <w:smallCaps w:val="false"/>
          <w:sz w:val="20"/>
        </w:rPr>
        <w:t xml:space="preserve"> January 1, 2024 (</w:t>
      </w:r>
      <w:r>
        <w:rPr>
          <w:rFonts w:ascii="Times New Roman" w:hAnsi="Times New Roman"/>
          <w:caps w:val="false"/>
          <w:smallCaps w:val="false"/>
          <w:sz w:val="20"/>
        </w:rPr>
        <w:t>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7498" w:type="dxa"/>
        <w:jc w:val="left"/>
        <w:tblInd w:w="0" w:type="dxa"/>
        <w:tblLayout w:type="fixed"/>
        <w:tblCellMar>
          <w:top w:w="0" w:type="dxa"/>
          <w:left w:w="0" w:type="dxa"/>
          <w:bottom w:w="0" w:type="dxa"/>
          <w:right w:w="0" w:type="dxa"/>
        </w:tblCellMar>
      </w:tblPr>
      <w:tblGrid>
        <w:gridCol w:w="2450"/>
        <w:gridCol w:w="60"/>
        <w:gridCol w:w="438"/>
        <w:gridCol w:w="2071"/>
        <w:gridCol w:w="60"/>
        <w:gridCol w:w="60"/>
        <w:gridCol w:w="350"/>
        <w:gridCol w:w="1949"/>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151,543</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These unaudited pro forma combined results of operations include certain adjustments arising from the acquisition, such as amortization of intangible assets, depreciation of property and equipment, and interest expense related to </w:t>
      </w:r>
      <w:r>
        <w:rPr>
          <w:rStyle w:val="Emphasis"/>
          <w:rFonts w:ascii="Times New Roman" w:hAnsi="Times New Roman"/>
          <w:caps w:val="false"/>
          <w:smallCaps w:val="false"/>
          <w:sz w:val="20"/>
        </w:rPr>
        <w:t>Virsys12's</w:t>
      </w:r>
      <w:r>
        <w:rPr>
          <w:rFonts w:ascii="Times New Roman" w:hAnsi="Times New Roman"/>
          <w:caps w:val="false"/>
          <w:smallCaps w:val="false"/>
          <w:sz w:val="20"/>
        </w:rPr>
        <w:t> previously outstanding debt. The unaudited pro forma combined results of operations is for informational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indicative of what the Company’s results of operations would have been had the transaction occurred as of </w:t>
      </w:r>
      <w:r>
        <w:rPr>
          <w:rStyle w:val="Emphasis"/>
          <w:rFonts w:ascii="Times New Roman" w:hAnsi="Times New Roman"/>
          <w:caps w:val="false"/>
          <w:smallCaps w:val="false"/>
          <w:sz w:val="20"/>
        </w:rPr>
        <w:t>January 1, 2024 </w:t>
      </w:r>
      <w:r>
        <w:rPr>
          <w:rFonts w:ascii="Times New Roman" w:hAnsi="Times New Roman"/>
          <w:caps w:val="false"/>
          <w:smallCaps w:val="false"/>
          <w:sz w:val="20"/>
        </w:rPr>
        <w:t>or to project the Company’s results of operations in any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MissionCare Collective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On </w:t>
      </w:r>
      <w:r>
        <w:rPr>
          <w:rStyle w:val="Emphasis"/>
          <w:rFonts w:ascii="Times New Roman;Times;serif" w:hAnsi="Times New Roman;Times;serif"/>
          <w:caps w:val="false"/>
          <w:smallCaps w:val="false"/>
          <w:sz w:val="20"/>
        </w:rPr>
        <w:t>December 15, 2025, </w:t>
      </w:r>
      <w:r>
        <w:rPr>
          <w:rFonts w:ascii="Times New Roman;Times;serif" w:hAnsi="Times New Roman;Times;serif"/>
          <w:caps w:val="false"/>
          <w:smallCaps w:val="false"/>
          <w:sz w:val="20"/>
        </w:rPr>
        <w:t>the Company acquired all of the outstanding equity of MissionCare, a healthcare workforce company that includes the largest caregiver network in the United States. The consideration paid at closing for MissionCare consisted of approximately $24.9 million payable in cash at closing, after giving effect to customary purchase price adjustments and a post-closing working capital adjustment. In addition, 165,684 shares of HealthStream common stock valued at $4.0 million were issued at closing through a private placement, and up to an additional $10.0 million in cash </w:t>
      </w:r>
      <w:r>
        <w:rPr>
          <w:rStyle w:val="Emphasis"/>
          <w:rFonts w:ascii="Times New Roman;Times;serif" w:hAnsi="Times New Roman;Times;serif"/>
          <w:caps w:val="false"/>
          <w:smallCaps w:val="false"/>
          <w:sz w:val="20"/>
        </w:rPr>
        <w:t xml:space="preserve"> may </w:t>
      </w:r>
      <w:r>
        <w:rPr>
          <w:rFonts w:ascii="Times New Roman;Times;serif" w:hAnsi="Times New Roman;Times;serif"/>
          <w:caps w:val="false"/>
          <w:smallCaps w:val="false"/>
          <w:sz w:val="20"/>
        </w:rPr>
        <w:t>be paid over a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-year period following closing, contingent upon the achievement of certain revenue targets. The acquisition was accounted for using the acquisition method of business combination under ASC </w:t>
      </w:r>
      <w:r>
        <w:rPr>
          <w:rStyle w:val="Emphasis"/>
          <w:rFonts w:ascii="Times New Roman;Times;serif" w:hAnsi="Times New Roman;Times;serif"/>
          <w:caps w:val="false"/>
          <w:smallCaps w:val="false"/>
          <w:sz w:val="20"/>
        </w:rPr>
        <w:t>805.</w:t>
      </w:r>
      <w:r>
        <w:rPr>
          <w:rFonts w:ascii="Times New Roman;Times;serif" w:hAnsi="Times New Roman;Times;serif"/>
          <w:caps w:val="false"/>
          <w:smallCaps w:val="false"/>
          <w:sz w:val="20"/>
        </w:rPr>
        <w:t xml:space="preserve"> The results of operations for MissionCare have been included in the Company’s Condensed Consolidated Financial Statements from the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summary of the purchase price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3125"/>
        <w:gridCol w:w="60"/>
        <w:gridCol w:w="125"/>
        <w:gridCol w:w="590"/>
        <w:gridCol w:w="60"/>
      </w:tblGrid>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p>
        </w:tc>
        <w:tc>
          <w:tcPr>
            <w:tcW w:w="60" w:type="dxa"/>
            <w:tcBorders/>
            <w:shd w:fill="FFFFFF" w:val="cle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w:t>
            </w:r>
          </w:p>
        </w:tc>
        <w:tc>
          <w:tcPr>
            <w:tcW w:w="60"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the preliminary fair value of the assets acquired and liabilities assumed as of the date of acquisition (in thousands):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0" w:type="dxa"/>
          <w:right w:w="0" w:type="dxa"/>
        </w:tblCellMar>
      </w:tblPr>
      <w:tblGrid>
        <w:gridCol w:w="3320"/>
        <w:gridCol w:w="60"/>
        <w:gridCol w:w="125"/>
        <w:gridCol w:w="590"/>
        <w:gridCol w:w="80"/>
      </w:tblGrid>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15,262</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18,600</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31,580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caps w:val="false"/>
          <w:smallCaps w:val="false"/>
          <w:sz w:val="20"/>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w:t>
      </w:r>
      <w:r>
        <w:rPr>
          <w:rStyle w:val="Emphasis"/>
          <w:rFonts w:ascii="Times New Roman;Times;serif" w:hAnsi="Times New Roman;Times;serif"/>
          <w:caps w:val="false"/>
          <w:smallCaps w:val="false"/>
          <w:sz w:val="20"/>
        </w:rPr>
        <w:t>one</w:t>
      </w:r>
      <w:r>
        <w:rPr>
          <w:rFonts w:ascii="Times New Roman;Times;serif" w:hAnsi="Times New Roman;Times;serif"/>
          <w:caps w:val="false"/>
          <w:smallCaps w:val="false"/>
          <w:sz w:val="20"/>
        </w:rPr>
        <w:t> year from the acquisition date) as the Company finalizes the valuation of these items. During the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xml:space="preserve">, the Company recorded adjustments to accounts receivable, deferred tax assets, intangible assets, and contingent consideration based on information received during the period, including from valuation specialists, as well as recorded the post-closing working capital adjustment, which resulted in the Company recording a measurement period adjustment which decreased goodwill by $4.4 million. The measurement period adjustment had an immaterial effect on current or prior period earnings. The primary areas of the preliminary purchase price allocation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finalized include the composition and valuation of an indemnification asset and liability related to sales tax attributes, which is preliminarily valued at $1.0 million.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arising from offering MissionCare products, and expected synergies from integrating MissionCare with other products or other combined functional areas within the Company. The goodwill balance is deductible for U.S. income tax purposes.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preliminary components of identifiable intangible assets and their estimated useful lives as of the acquisition date (in thousands):</w:t>
      </w:r>
    </w:p>
    <w:p>
      <w:pPr>
        <w:pStyle w:val="TextBody"/>
        <w:bidi w:val="0"/>
        <w:spacing w:before="0" w:after="0"/>
        <w:ind w:left="0" w:right="0" w:hanging="0"/>
        <w:jc w:val="left"/>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3770"/>
        <w:gridCol w:w="60"/>
        <w:gridCol w:w="155"/>
        <w:gridCol w:w="734"/>
        <w:gridCol w:w="60"/>
        <w:gridCol w:w="860"/>
      </w:tblGrid>
      <w:tr>
        <w:trPr/>
        <w:tc>
          <w:tcPr>
            <w:tcW w:w="37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Useful life</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 years</w:t>
            </w:r>
          </w:p>
        </w:tc>
      </w:tr>
      <w:tr>
        <w:trPr/>
        <w:tc>
          <w:tcPr>
            <w:tcW w:w="37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 years</w:t>
            </w:r>
          </w:p>
        </w:tc>
      </w:tr>
      <w:tr>
        <w:trPr/>
        <w:tc>
          <w:tcPr>
            <w:tcW w:w="37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60"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 years</w:t>
            </w:r>
          </w:p>
        </w:tc>
      </w:tr>
      <w:tr>
        <w:trPr/>
        <w:tc>
          <w:tcPr>
            <w:tcW w:w="37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subject to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18,600</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The following unaudited pro forma financial information summarizes the results of operations of the Company and MissionCare as though the companies were combined as of </w:t>
      </w:r>
      <w:r>
        <w:rPr>
          <w:rStyle w:val="Emphasis"/>
          <w:rFonts w:ascii="Times New Roman" w:hAnsi="Times New Roman"/>
          <w:sz w:val="20"/>
        </w:rPr>
        <w:t xml:space="preserve"> January 1, 2024 (</w:t>
      </w:r>
      <w:r>
        <w:rPr>
          <w:rFonts w:ascii="Times New Roman" w:hAnsi="Times New Roman"/>
          <w:sz w:val="20"/>
        </w:rPr>
        <w:t>in thousands, except per share data):</w:t>
      </w:r>
    </w:p>
    <w:p>
      <w:pPr>
        <w:pStyle w:val="TextBody"/>
        <w:bidi w:val="0"/>
        <w:spacing w:before="0" w:after="0"/>
        <w:ind w:left="0" w:right="0" w:hanging="0"/>
        <w:jc w:val="left"/>
        <w:rPr/>
      </w:pPr>
      <w:r>
        <w:rPr/>
        <w:t> </w:t>
      </w:r>
    </w:p>
    <w:tbl>
      <w:tblPr>
        <w:tblW w:w="7498" w:type="dxa"/>
        <w:jc w:val="left"/>
        <w:tblInd w:w="0" w:type="dxa"/>
        <w:tblLayout w:type="fixed"/>
        <w:tblCellMar>
          <w:top w:w="0" w:type="dxa"/>
          <w:left w:w="0" w:type="dxa"/>
          <w:bottom w:w="0" w:type="dxa"/>
          <w:right w:w="0" w:type="dxa"/>
        </w:tblCellMar>
      </w:tblPr>
      <w:tblGrid>
        <w:gridCol w:w="2450"/>
        <w:gridCol w:w="60"/>
        <w:gridCol w:w="438"/>
        <w:gridCol w:w="2071"/>
        <w:gridCol w:w="60"/>
        <w:gridCol w:w="60"/>
        <w:gridCol w:w="350"/>
        <w:gridCol w:w="1949"/>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152,513</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9,994</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basic</w:t>
            </w:r>
          </w:p>
        </w:tc>
        <w:tc>
          <w:tcPr>
            <w:tcW w:w="60" w:type="dxa"/>
            <w:tcBorders/>
            <w:shd w:fill="CCEE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4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These unaudited pro forma combined results of operations include certain adjustments arising from the acquisition, such as amortization of intangible assets. The unaudited pro forma combined results of operations is for informational purposes only and is </w:t>
      </w:r>
      <w:r>
        <w:rPr>
          <w:rStyle w:val="Emphasis"/>
          <w:rFonts w:ascii="Times New Roman" w:hAnsi="Times New Roman"/>
          <w:sz w:val="20"/>
        </w:rPr>
        <w:t>not</w:t>
      </w:r>
      <w:r>
        <w:rPr>
          <w:rFonts w:ascii="Times New Roman" w:hAnsi="Times New Roman"/>
          <w:sz w:val="20"/>
        </w:rPr>
        <w:t xml:space="preserve"> indicative of what the Company’s results of operations would have been had the transaction occurred as of </w:t>
      </w:r>
      <w:r>
        <w:rPr>
          <w:rStyle w:val="Emphasis"/>
          <w:rFonts w:ascii="Times New Roman" w:hAnsi="Times New Roman"/>
          <w:sz w:val="20"/>
        </w:rPr>
        <w:t xml:space="preserve">January 1, 2024 </w:t>
      </w:r>
      <w:r>
        <w:rPr>
          <w:rFonts w:ascii="Times New Roman" w:hAnsi="Times New Roman"/>
          <w:sz w:val="20"/>
        </w:rPr>
        <w:t>or to project the Company’s results of operations in any future period.</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Times;serif" w:hAnsi="Times New Roman;Times;serif"/>
          <w:b/>
          <w:sz w:val="20"/>
        </w:rPr>
        <w:t>10.</w:t>
      </w:r>
      <w:r>
        <w:rPr>
          <w:rFonts w:ascii="Times New Roman;Times;serif" w:hAnsi="Times New Roman;Times;serif"/>
          <w:b/>
          <w:sz w:val="20"/>
        </w:rPr>
        <w:t xml:space="preserve"> LITIGATION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its business, the Company is from time to time involved in various legal actions. These legal actions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significant complexities and uncertainties, some of which are beyond the Company’s control,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allege substantial or indeterminate monetary damages. Based on current information, management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ultimate resolution of pending legal matters will have a material adverse effect on the Company’s consolidated financial position or liquidity. However, an adverse outcome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pending legal matters could be material to the Company’s results of operations or cash flows for any particular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accrues for loss contingencies when it is both probable that a loss has been incurred and when the amount of the loss can be reasonably estimated. If a loss or additional loss with respect to material legal matters is reasonably possible and the Company is able to estimate the possible loss or range of loss, the Company discloses the estimate of the possible loss or range of loss, if material and as required. However,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unable to estimate a possible loss or range of loss in some instances based on the significant uncertainties involved in, and/or the preliminary nature of, certain 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2026, </w:t>
      </w:r>
      <w:r>
        <w:rPr>
          <w:rFonts w:ascii="Times New Roman" w:hAnsi="Times New Roman"/>
          <w:caps w:val="false"/>
          <w:smallCaps w:val="false"/>
          <w:sz w:val="20"/>
        </w:rPr>
        <w:t xml:space="preserve">a putative collective action complaint styled Tanesha Riley v HealthStream, Inc. was filed in the United States District Court for the Middle District of Tennessee. The plaintiff alleges that certain employees in Solution Executive sales roles were misclassified as exempt employees and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paid overtime in violation of the Fair Labor Standards Act (“FLSA”). The plaintiff seeks back wages, liquidated damages, pre-judgment interest, and attorneys’ fees. On </w:t>
      </w:r>
      <w:r>
        <w:rPr>
          <w:rStyle w:val="Emphasis"/>
          <w:rFonts w:ascii="Times New Roman" w:hAnsi="Times New Roman"/>
          <w:caps w:val="false"/>
          <w:smallCaps w:val="false"/>
          <w:sz w:val="20"/>
        </w:rPr>
        <w:t xml:space="preserve">July 21, 2026, </w:t>
      </w:r>
      <w:r>
        <w:rPr>
          <w:rFonts w:ascii="Times New Roman" w:hAnsi="Times New Roman"/>
          <w:caps w:val="false"/>
          <w:smallCaps w:val="false"/>
          <w:sz w:val="20"/>
        </w:rPr>
        <w:t>the Company filed its answer defending against these claims. Because this matter is in its initial discovery phase and is otherwise at an early stage, the Company is unable to estimate a possible loss or range of loss, if any, related to this matter. The Company denies the allegations and intends to defend the matter vigorously.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sz w:val="20"/>
        </w:rPr>
      </w:pPr>
      <w:bookmarkStart w:id="9" w:name="mda"/>
      <w:bookmarkEnd w:id="9"/>
      <w:r>
        <w:rPr>
          <w:rFonts w:ascii="Times New Roman" w:hAnsi="Times New Roman"/>
          <w:b/>
          <w:sz w:val="20"/>
        </w:rPr>
        <w:t xml:space="preserve">Item 2. </w:t>
      </w:r>
      <w:r>
        <w:rPr>
          <w:rFonts w:ascii="Times New Roman" w:hAnsi="Times New Roman"/>
          <w:b/>
          <w:i/>
          <w:sz w:val="20"/>
        </w:rPr>
        <w:t xml:space="preserve">Management's Discussion and Analysis of Financial Condition and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Special Cautionary Notice Regarding Forward</w:t>
      </w:r>
      <w:r>
        <w:rPr>
          <w:rFonts w:ascii="Times New Roman" w:hAnsi="Times New Roman"/>
          <w:caps w:val="false"/>
          <w:smallCaps w:val="false"/>
          <w:sz w:val="20"/>
        </w:rPr>
        <w:noBreakHyphen/>
      </w:r>
      <w:r>
        <w:rPr>
          <w:rFonts w:ascii="Times New Roman" w:hAnsi="Times New Roman"/>
          <w:b/>
          <w:caps w:val="false"/>
          <w:smallCaps w:val="false"/>
          <w:sz w:val="20"/>
        </w:rPr>
        <w:t>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2025, appearing in our Annual Report on Form 10-K that was filed with the Securities and Exchange Commission (“SEC”) on February 26, 2026 (the “2025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"continue," “estimates,” “expects,” “intends,” “may,” “plans,” “potential,” “predicts,” “projects,” “should,” “will,” “would,” and similar expressions are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cautions that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any forward-looking statement, you should specifically consider the information regarding forward-looking statements set forth above and the risks set forth under the caption Part I, Item 1A. Risk Factors in our 2025 Form 10-K and other disclosures in our 2025 Form 10-K and other filings with the SEC from time to time, as well as other cautionary statements contained elsewhere in this Form 10-Q, including our critical accounting policies and estimates as discussed in this Form 10-Q and our 2025 Form 10-K. We undertake no obligation to update or revise any forward-looking statements. You should read this Form 10-Q with the understanding that our actual future results may be materially different from what we currently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primarily provides SaaS based applications for healthcare organizations—all designed to improve business and clinical outcomes by supporting people who deliver patient care. We are focused on helping individuals and organizations in healthcare meet their ongoing learning, clinical development, credentialing, and scheduling needs, through both our enterprise applications and emerging career networks. We also provide our solutions to nursing schools and nursing students.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financial metrics for the second quarter of 2026 are set forth in the bullets below.</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of $83.7 million, up 12.5% from $74.4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of $8.3 million, up 41.4% from $5.9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110"/>
        <w:gridCol w:w="696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of $6.7 million, up 23.8% from $5.4 million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Earnings per share (“EPS”) of $0.23 per share (diluted), up from $0.18 per share (diluted) in the second quarter of 2025</w:t>
            </w:r>
          </w:p>
        </w:tc>
      </w:tr>
    </w:tbl>
    <w:p>
      <w:pPr>
        <w:pStyle w:val="TextBody"/>
        <w:bidi w:val="0"/>
        <w:spacing w:before="0" w:after="0"/>
        <w:ind w:left="0" w:right="0" w:hanging="0"/>
        <w:jc w:val="left"/>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2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w:t>
            </w:r>
            <w:r>
              <w:rPr>
                <w:rFonts w:ascii="Times New Roman" w:hAnsi="Times New Roman"/>
                <w:caps w:val="false"/>
                <w:smallCaps w:val="false"/>
                <w:sz w:val="18"/>
              </w:rPr>
              <w:t>1</w:t>
            </w:r>
            <w:r>
              <w:rPr>
                <w:rFonts w:ascii="Times New Roman" w:hAnsi="Times New Roman"/>
                <w:caps w:val="false"/>
                <w:smallCaps w:val="false"/>
                <w:sz w:val="20"/>
              </w:rPr>
              <w:t> of $20.6 million, up 16.9% from $17.6 million in the second quarter of 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1</w:t>
            </w:r>
          </w:p>
        </w:tc>
        <w:tc>
          <w:tcPr>
            <w:tcW w:w="10095" w:type="dxa"/>
            <w:tcBorders/>
            <w:vAlign w:val="center"/>
          </w:tcPr>
          <w:p>
            <w:pPr>
              <w:pStyle w:val="TableContents"/>
              <w:bidi w:val="0"/>
              <w:spacing w:before="0" w:after="0"/>
              <w:ind w:left="0" w:right="0" w:hanging="0"/>
              <w:jc w:val="both"/>
              <w:rPr>
                <w:rFonts w:ascii="Times New Roman" w:hAnsi="Times New Roman"/>
                <w:caps w:val="false"/>
                <w:smallCaps w:val="false"/>
                <w:sz w:val="18"/>
              </w:rPr>
            </w:pPr>
            <w:r>
              <w:rPr>
                <w:rFonts w:ascii="Times New Roman" w:hAnsi="Times New Roman"/>
                <w:caps w:val="false"/>
                <w:smallCaps w:val="false"/>
                <w:sz w:val="18"/>
              </w:rPr>
              <w:t>Adjusted EBITDA is a non-GAAP financial measure. A reconciliation of adjusted EBITDA to net income and disclosure regarding why we believe adjusted EBITDA provides useful information to investors is included later in this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remains in Nashville in the Capitol View building, while we continue to hire new employees both locally and nationally to support our growth. The sublease commenced in April 2025 and will expire in October 2031. We recorded sublease income, net of initial direct cost amortization, of $0.8 million and $1.6 million during the three and six months ended June 30, 2026, respectively. In addition, we expect to record sublease income, net, of approximately $1.6 million during the last six months of 2026 and $3.2 million annually thereafter for the remaining term of the sublease under the caption 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and other conditions in the United States that directly or indirectly impact the healthcare industry have been challenging in certain respects, and may continue to be challenging based on recent legislative, regulatory, and other developments and contemplated changes to various policies and regulations. In particular, the federal budget reconciliation legislation enacted on July 4, 2025 includes significant policy changes that may adversely impact healthcare provider organizations, including changes that are expected to decrease access to health insurance and result in significant cuts to federal healthcare spending, particularly within the Medicaid program. While healthcare costs continue to increase, government cuts or reimbursement rate reductions affecting healthcare organizations, evolving tariff and trade policies affecting healthcare-related goods and materials, as well as uncertainty surrounding potential policy, regulatory, and economic shifts, continue to be challenging for our healthcare customers. For example, the enhanced subsidies available for individuals to purchase coverage through Affordable Care Act marketplaces expired on December 31, 2025, increasing coverage costs for many individuals. In addition, the federal budget reconciliation legislation enacted on July 4, 2025 includes significant policy changes, including changes that are expected to decrease access to health insurance and result in significant cuts to federal healthcare spending, particularly within the Medicaid program. Taking into account these developments, the number of individuals with Affordable Care Act marketplace coverage has declined since 2025. We believe that these developments have caused, and may continue to cause, financial pressures among our customers in the healthcare industry that may negatively impact demand for our products and services, particularly in relation to our non-mandatory products and services.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Macroeconomic challenges also persist in the United States in terms of inflationary pressures that have moderated in comparison to certain earlier periods but continue to affect cost structures, ongoing elevated interest rate levels, heightened geopolitical tensions (including as a result of ongoing conflicts in the Middle East), and strained global trade relations. We believe that many of our customers have experienced increased labor, supply chain, capital, and other expenditures associated with recent inflationary pressures. These conditions and challenges impacting the United States economy and our customers in the healthcare industry have adversely affected, and may continue to adversely impact, our business and results of operations.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Financial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utilizes the following financial metrics in connection with managing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Revenues, net</w:t>
            </w:r>
            <w:r>
              <w:rPr>
                <w:rFonts w:ascii="Times New Roman" w:hAnsi="Times New Roman"/>
                <w:caps w:val="false"/>
                <w:smallCaps w:val="false"/>
                <w:sz w:val="20"/>
              </w:rPr>
              <w:t>. Revenues, net, reflect income generated by the sales of goods and services related to our operations. Revenues, net, were $83.7 million and $164.9 million for the three and six months ended June 30, 2026, compared to $74.4 million and $147.9 million for the three and six months ended June 30, 2025. Management utilizes revenue in connection with managing our business and believes that this metric provides useful information to investors as a key indicator of the growth and success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Income</w:t>
            </w:r>
            <w:r>
              <w:rPr>
                <w:rFonts w:ascii="Times New Roman" w:hAnsi="Times New Roman"/>
                <w:caps w:val="false"/>
                <w:smallCaps w:val="false"/>
                <w:sz w:val="20"/>
              </w:rPr>
              <w:t>. Net income represents revenues, net, less all expenses. Net income was $6.7 million and $12.6 million for the three and six months ended June 30, 2026, compared to $5.4 million and $9.7 million for the three and six months ended June 30, 2025. Management utilizes net income in connection with managing our business, including with regard to our capital deployment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Adjusted EBITDA</w:t>
            </w:r>
            <w:r>
              <w:rPr>
                <w:rFonts w:ascii="Times New Roman" w:hAnsi="Times New Roman"/>
                <w:caps w:val="false"/>
                <w:smallCaps w:val="false"/>
                <w:sz w:val="20"/>
              </w:rPr>
              <w:t>.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$20.6 million and $40.7 million for the three and six months ended June 30, 2026, compared to $17.6 million and $33.8 million for the three and six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Capital Expenditures</w:t>
            </w:r>
            <w:r>
              <w:rPr>
                <w:rFonts w:ascii="Times New Roman" w:hAnsi="Times New Roman"/>
                <w:caps w:val="false"/>
                <w:smallCaps w:val="false"/>
                <w:sz w:val="20"/>
              </w:rPr>
              <w:t>. Capital expenditures represent cash payments incurred for purchases of property and equipment and during the development phase for projects to develop software and content. Capital expenditures were $8.4 million and $15.9 million for the three and six months ended June 30, 2026, compared to $9.0 million and $17.9 million for the three and six months ended June 30, 2025.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Notes to the Consolidated Financial Statements in our 2025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2025 Form 10-K.</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 xml:space="preserve">Revenues increased $9.3 million, or 13%, to $83.7 million for the three months ended June 30, 2026 from $74.4 million for the three months ended June 30, 2025. Subscription revenues increased by $8.0 million, or 11%, and professional services revenues increased by $1.3 million compared to the second quarter of 2025. Compared to the second quarter of 2025, revenue growth for the second quarter of 2026 was positively impacted by </w:t>
      </w:r>
      <w:r>
        <w:rPr>
          <w:rFonts w:ascii="Times New Roman" w:hAnsi="Times New Roman"/>
          <w:caps w:val="false"/>
          <w:smallCaps w:val="false"/>
          <w:sz w:val="20"/>
          <w:shd w:fill="FFFFFF" w:val="clear"/>
        </w:rPr>
        <w:t>$3.1 million from our acquisitions of Virsys12 and MissionCare</w:t>
      </w:r>
      <w:r>
        <w:rPr>
          <w:rFonts w:ascii="Times New Roman" w:hAnsi="Times New Roman"/>
          <w:caps w:val="false"/>
          <w:smallCaps w:val="false"/>
          <w:sz w:val="20"/>
        </w:rPr>
        <w:t> completed during the fourth quarter of 2025 and $7.5 million from growth across our existing portfolio solutions, of which $2.0 million related to a variable consideration constraint, which has been resolved and recognized as a cumulative catch-up in accordance with ASC 606 during the second quarter of 2026, partially offset by a $1.3 million reduction from legacy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846" w:type="dxa"/>
        <w:jc w:val="left"/>
        <w:tblInd w:w="0" w:type="dxa"/>
        <w:tblLayout w:type="fixed"/>
        <w:tblCellMar>
          <w:top w:w="0" w:type="dxa"/>
          <w:left w:w="0" w:type="dxa"/>
          <w:bottom w:w="0" w:type="dxa"/>
          <w:right w:w="0" w:type="dxa"/>
        </w:tblCellMar>
      </w:tblPr>
      <w:tblGrid>
        <w:gridCol w:w="1745"/>
        <w:gridCol w:w="60"/>
        <w:gridCol w:w="143"/>
        <w:gridCol w:w="678"/>
        <w:gridCol w:w="212"/>
        <w:gridCol w:w="68"/>
        <w:gridCol w:w="143"/>
        <w:gridCol w:w="678"/>
        <w:gridCol w:w="212"/>
        <w:gridCol w:w="68"/>
        <w:gridCol w:w="341"/>
        <w:gridCol w:w="1313"/>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79,986</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71,941</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3,746</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2,455</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13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83,732</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74,396</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7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21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21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21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21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8"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$2.7 million, or 10%, to $29.0 million for the three months ended June 30, 2026, from $26.4 million for the three months ended June 30, 2025. Cost of revenues as a percentage of revenues were 35% for both the three months ended June 30, 2026 and 2025. The increase in amount is primarily associated with growth in several areas of our business, resulting in higher third-party software expenses, labor costs, cloud hosting expenses, and royalties expense, coupled with increases in expenses from the Virsys12 and MissionCare 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$1.5 million, or 12%, to $13.6 million for the three months ended June 30, 2026, from $12.1 million for the three months ended June 30, 2025. Product development expenses as a percentage of revenues were 16% for both the three months ended June 30, 2026 and 2025. The increase in expense is primarily due to an increase in labor costs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$1.7 million, or 14%, to $13.5 million for the three months ended June 30, 2026, from $11.8 million for the three months ended June 30, 2025. Sales and marketing expenses as a percentage of revenue were 16% for both the three months ended June 30, 2026 and 2025. The increase in amount is primarily due to increased sales commissions,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increased $0.6 million, or 9%, to $8.0 million for the three months ended June 30, 2026, from $7.4 million for the three months ended June 30, 2025. General and administrative expenses as a percentage of revenue were 10% for both the three months ended June 30, 2026 and 2025. The increase in amount is primarily due to higher professional services expenses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$0.4 million, or 4%, to $11.3 million for the three months ended June 30, 2026, from $10.9 million for the three months ended June 30, 2025. This increase in amount is due to increased amortization associated with capitalized software coupled with increased amortization associated with the acquired intangibles from Virsys12 and MissionCare.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$0.5 million and $1.0 million for the three months ended June 30, 2026 and 2025, respectively. This decrease is a result of lower cash balances and lower interest rates on invested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Income, Net</w:t>
      </w:r>
      <w:r>
        <w:rPr>
          <w:rFonts w:ascii="Times New Roman" w:hAnsi="Times New Roman"/>
          <w:caps w:val="false"/>
          <w:smallCaps w:val="false"/>
          <w:sz w:val="20"/>
        </w:rPr>
        <w:t>. Other (expense) income, net was expense of $0.1 million and income of $23,000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$2.0 million for the three months ended June 30, 2026, compared to $1.5 million for the three months ended June 30, 2025. The Company’s effective tax rate was 23% for the three months ended June 30, 2026, compared to 22% for the three months ended June 30, 2025.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$6.7 million and $5.4 million for the three months ended June 30, 2026 and 2025, respectively. EPS was $0.23 per share (diluted) and $0.18 per share (diluted)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$20.6 million for the three months ended June 30, 2026, compared to $17.6 million for the three months ended June 30, 2025.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Revenues, net. </w:t>
      </w:r>
      <w:r>
        <w:rPr>
          <w:rFonts w:ascii="Times New Roman" w:hAnsi="Times New Roman"/>
          <w:caps w:val="false"/>
          <w:smallCaps w:val="false"/>
          <w:sz w:val="20"/>
        </w:rPr>
        <w:t>Revenues increased $17.1 million, or 12%, to $164.9 million for the six months ended June 30, 2026 from $147.9 million for the six months ended June 30, 2025. Subscription revenues increased by $15.6 million, or 11%, and professional services revenues increased by $1.4 million compared to the six months ended June 30, 2025. Compared to the six months ended June 30, 2025, revenue growth for the six months ended June 30, 2026 was positively impacted by $13.2 million of growth across our existing portfolio of solutions, of which $2.0 million related to a contract subject to the variable consideration constraint, which has been resolved and recognized as a cumulative catch-up in accordance with ASC 606 during the second quarter of 2026, and $6.6 million from our acquisitions of Virsys12 and MissionCare completed during the three months ended December 31, 2025, partially offset by a $2.7 million reduction from legacy applications.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comparison of revenues by revenue source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5774" w:type="dxa"/>
        <w:jc w:val="left"/>
        <w:tblInd w:w="0" w:type="dxa"/>
        <w:tblLayout w:type="fixed"/>
        <w:tblCellMar>
          <w:top w:w="0" w:type="dxa"/>
          <w:left w:w="0" w:type="dxa"/>
          <w:bottom w:w="0" w:type="dxa"/>
          <w:right w:w="0" w:type="dxa"/>
        </w:tblCellMar>
      </w:tblPr>
      <w:tblGrid>
        <w:gridCol w:w="1745"/>
        <w:gridCol w:w="60"/>
        <w:gridCol w:w="125"/>
        <w:gridCol w:w="695"/>
        <w:gridCol w:w="185"/>
        <w:gridCol w:w="60"/>
        <w:gridCol w:w="125"/>
        <w:gridCol w:w="695"/>
        <w:gridCol w:w="185"/>
        <w:gridCol w:w="60"/>
        <w:gridCol w:w="341"/>
        <w:gridCol w:w="1313"/>
        <w:gridCol w:w="185"/>
      </w:tblGrid>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8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 Change</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142,730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ind w:left="0" w:right="0" w:hanging="0"/>
              <w:jc w:val="left"/>
              <w:rPr/>
            </w:pPr>
            <w:r>
              <w:rPr/>
              <w:t> </w:t>
            </w:r>
          </w:p>
        </w:tc>
        <w:tc>
          <w:tcPr>
            <w:tcW w:w="13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ind w:left="0" w:right="0" w:hanging="0"/>
              <w:jc w:val="left"/>
              <w:rPr/>
            </w:pPr>
            <w:r>
              <w:rPr/>
              <w:t> </w:t>
            </w:r>
          </w:p>
        </w:tc>
        <w:tc>
          <w:tcPr>
            <w:tcW w:w="13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services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1"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Revenues (excluding Depreciation and Amortization). </w:t>
      </w:r>
      <w:r>
        <w:rPr>
          <w:rFonts w:ascii="Times New Roman" w:hAnsi="Times New Roman"/>
          <w:caps w:val="false"/>
          <w:smallCaps w:val="false"/>
          <w:sz w:val="20"/>
        </w:rPr>
        <w:t>Cost of revenues increased $4.9 million, or 9%, to $56.8 million for the six months ended June 30, 2026, from $51.9 million for the six months ended June 30, 2025. Cost of revenues as a percentage of revenues were 34% and 35% for the six months ended June 30, 2026 and 2025, respectively. The increase in amount is primarily associated with growth in several areas of our business, resulting in third-party software costs, labor costs, royalties expense, and cloud hosting expenses, coupled with increases in expenses from the Virsys12 and MissionCare acquisitions.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Product Development.</w:t>
      </w:r>
      <w:r>
        <w:rPr>
          <w:rFonts w:ascii="Times New Roman" w:hAnsi="Times New Roman"/>
          <w:caps w:val="false"/>
          <w:smallCaps w:val="false"/>
          <w:sz w:val="20"/>
        </w:rPr>
        <w:t xml:space="preserve"> Product development expenses increased $3.1 million, or 13%, to $27.2 million for the six months ended June 30, 2026, from $24.1 million for the six months ended June 30, 2025. Product development expenses as a percentage of revenues were 16% for both the six months ended June 30, 2026 and 2025. The increase in expense is primarily due to an increase in labor costs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w:t>
      </w:r>
      <w:r>
        <w:rPr>
          <w:rFonts w:ascii="Times New Roman" w:hAnsi="Times New Roman"/>
          <w:caps w:val="false"/>
          <w:smallCaps w:val="false"/>
          <w:sz w:val="20"/>
        </w:rPr>
        <w:t xml:space="preserve"> Sales and marketing expenses, including personnel costs, increased $2.5 million, or 10%, to $26.5 million for the six months ended June 30, 2026, from $24.0 million for the six months ended June 30, 2025. Sales and marketing expenses as a percentage of revenues were 16% for both the six months ended June 30, 2026 and 2025. The increase in amount is primarily due to increased sales commissions along with increases in expenses from the Virsys12 and MissionCare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w:t>
      </w:r>
      <w:r>
        <w:rPr>
          <w:rFonts w:ascii="Times New Roman" w:hAnsi="Times New Roman"/>
          <w:caps w:val="false"/>
          <w:smallCaps w:val="false"/>
          <w:sz w:val="20"/>
        </w:rPr>
        <w:t> General and administrative expenses decreased $30,000, or less than 1%, to $16.0 million for the six months ended June 30, 2026, from $16.1 million for the six months ended June 30, 2025. General and administrative expenses as a percentage of revenues were 10% and 11% for the six months ended June 30, 2026 and 2025,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Depreciation and Amortization. </w:t>
      </w:r>
      <w:r>
        <w:rPr>
          <w:rFonts w:ascii="Times New Roman" w:hAnsi="Times New Roman"/>
          <w:caps w:val="false"/>
          <w:smallCaps w:val="false"/>
          <w:sz w:val="20"/>
        </w:rPr>
        <w:t>Depreciation and amortization expense increased $1.0 million, or 5%, to $22.6 million for the six months ended June 30, 2026, from $21.6 million for the six months ended June 30, 2025. This increase in amount is due to increased amortization associated with capitalized software coupled with increased amortization associated with the acquired intangibles from Virsys12 and MissionCare.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Interest income was $0.9 million and $1.9 million for the six months ended June 30, 2026 and 2025, respectively. This decrease is a result of lower cash balances and lower interest rates on invested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(Expense) Income Net</w:t>
      </w:r>
      <w:r>
        <w:rPr>
          <w:rFonts w:ascii="Times New Roman" w:hAnsi="Times New Roman"/>
          <w:caps w:val="false"/>
          <w:smallCaps w:val="false"/>
          <w:sz w:val="20"/>
        </w:rPr>
        <w:t>. Other (expense) income, net was expense of $0.2 million and $39,000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 Provision. </w:t>
      </w:r>
      <w:r>
        <w:rPr>
          <w:rFonts w:ascii="Times New Roman" w:hAnsi="Times New Roman"/>
          <w:caps w:val="false"/>
          <w:smallCaps w:val="false"/>
          <w:sz w:val="20"/>
        </w:rPr>
        <w:t>The Company recorded a provision for income taxes of $3.9 million for the six months ended June 30, 2026, compared to $2.4 million for the six months ended June 30, 2025. The Company’s effective tax rate was 24% for the six months ended June 30, 2026, compared to 20% for the six months ended June 30, 2025. The Company’s effective tax rate primarily reflects the statutory corporate income tax rate, the net effect of state taxes, foreign income taxes, the effect of various permanent tax differences, and recognition of discrete tax items.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Net Income. </w:t>
      </w:r>
      <w:r>
        <w:rPr>
          <w:rFonts w:ascii="Times New Roman" w:hAnsi="Times New Roman"/>
          <w:caps w:val="false"/>
          <w:smallCaps w:val="false"/>
          <w:sz w:val="20"/>
        </w:rPr>
        <w:t>Net income was $12.6 million and $9.7 million for the six months ended June 30, 2026 and 2025, respectively. EPS was $0.43 per share (diluted) and $0.32 per share (diluted)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was $40.7 million for the six months ended June 30, 2026, compared to $33.8 million for the six months ended June 30, 2025. See “Reconciliation of Non-GAAP Financial Measures” below for our reconciliation of adjusted EBITDA to the most directly comparable measure under US GAAP and disclosure regarding why we believe adjusted EBITDA provides useful information to investors.</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presents adjusted EBITDA, which is a non-GAAP financial measure used by management in analyzing our financial results and ongoing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better assess the Company’s financial results, management believes that net income before interest, income taxes, stock-based compensation, depreciation and amortization, impairments of long-lived assets, changes in fair value of contingent consideration,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a non-GAAP financial measure and should not be considered as a measure of financial performance under GAAP. Because adjusted EBITDA is not a measurement determined in accordance with GAAP, adjusted EBITDA is susceptible to varying calculations. Accordingly, adjusted EBITDA, as presented, may not be comparable to other similarly titled measures of other companies and has limitations as an analytical tool.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reconciliation of adjusted EBITDA to the most directly comparable GAAP measure, net income, is set forth below (in thousands).</w:t>
      </w:r>
    </w:p>
    <w:p>
      <w:pPr>
        <w:pStyle w:val="TextBody"/>
        <w:bidi w:val="0"/>
        <w:spacing w:before="0" w:after="0"/>
        <w:ind w:left="0" w:right="0" w:hanging="0"/>
        <w:jc w:val="both"/>
        <w:rPr>
          <w:caps w:val="false"/>
          <w:smallCaps w:val="false"/>
        </w:rPr>
      </w:pPr>
      <w:r>
        <w:rPr>
          <w:caps w:val="false"/>
          <w:smallCaps w:val="false"/>
        </w:rPr>
        <w:t> </w:t>
      </w:r>
    </w:p>
    <w:tbl>
      <w:tblPr>
        <w:tblW w:w="9231" w:type="dxa"/>
        <w:jc w:val="left"/>
        <w:tblInd w:w="0" w:type="dxa"/>
        <w:tblLayout w:type="fixed"/>
        <w:tblCellMar>
          <w:top w:w="0" w:type="dxa"/>
          <w:left w:w="0" w:type="dxa"/>
          <w:bottom w:w="0" w:type="dxa"/>
          <w:right w:w="0" w:type="dxa"/>
        </w:tblCellMar>
      </w:tblPr>
      <w:tblGrid>
        <w:gridCol w:w="4115"/>
        <w:gridCol w:w="60"/>
        <w:gridCol w:w="202"/>
        <w:gridCol w:w="954"/>
        <w:gridCol w:w="129"/>
        <w:gridCol w:w="97"/>
        <w:gridCol w:w="202"/>
        <w:gridCol w:w="954"/>
        <w:gridCol w:w="80"/>
        <w:gridCol w:w="60"/>
        <w:gridCol w:w="183"/>
        <w:gridCol w:w="864"/>
        <w:gridCol w:w="117"/>
        <w:gridCol w:w="87"/>
        <w:gridCol w:w="183"/>
        <w:gridCol w:w="864"/>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12,579</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9,721</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11,275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22,640</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on contingent consideration</w:t>
            </w:r>
          </w:p>
        </w:tc>
        <w:tc>
          <w:tcPr>
            <w:tcW w:w="60"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0"/>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40,729</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Cybersecurity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disclosed in a Current Report on Form 8-K filed by us on July 29, 2026 (the “July 29 Form 8-K”), the Company detected that it had experienced a cybersecurity incident in which an unauthorized third party gained access to a limited portion of files on the Company’s corporate file server. Following such detection, the Company initiated response protocols, launched an investigation, which remains ongoing, engaged the services of cybersecurity and forensics specialists and advisors, and notified certain law enforcement authorities. The Company did not experience any interruption in its business operations in connection with this incident. In addition, based on our investigation to date, we do not believe that any customer-facing systems were accessed or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investigation to date, the Company believes that certain information of our employees, as well as billing related information of certain customers and vendors, and corporate and legal information of the Company, was accessed and/or exfiltrated from the Company’s corporate file servers as the result of the incident. In addition, based on our investigation to date, the Company believes that, for approximately 65 of our credentialing customers, certain customer data that previously had been copied to the Company’s corporate file servers for purposes of data conversion, analytics, and troubleshooting for these customers, was accessed and exfiltrated. Further, based on our ongoing investigation to date, we now believe that a limited subset of likely 3 of these 65 customer files contained protected health information (“PHI”), as defined by the Health Insurance Portability and Accountability Act (“HIPAA”).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incurred, and expect to continue to incur, certain expenses related to this incident, including, among others, expenses to respond to, remediate and investigate this incident. To the extent required by contract or law, the Company will ensure that any additional notification is provided to individuals, entities, and regulatory agencies. While the Company’s investigation is ongoing, based on information currently known, the Company does not expect that this incident will have a material adverse impact on the Company’s business, operations or financial results. For additional information, see the July 29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increased by $8.5 million to $40.6 million during the six months ended June 30, 2026. The increase in net cash provided by operating activities is primarily due to higher cash receipts from customers during the period, partially offset by higher payments for personnel related expenses, sales commissions, and third-party software. Our days sales outstanding ("DSO") was 38 days for the second quarter of 2026 compared to 35 days for the second quarter of 2025.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cash used in investing activities was $18.2 million for the six months ended June 30, 2026, compared to $18.4 million for the six months ended June 30, 2025. During the six months ended June 30, 2026, the Company invested in marketable securities of $22.7 million, made payments for capitalized software development of $14.3 million, purchased strategic investments of</w:t>
      </w:r>
      <w:r>
        <w:rPr>
          <w:rFonts w:ascii="Times New Roman;Times;serif" w:hAnsi="Times New Roman;Times;serif"/>
          <w:sz w:val="20"/>
          <w:shd w:fill="FFFFFF" w:val="clear"/>
        </w:rPr>
        <w:t xml:space="preserve"> $2.6 </w:t>
      </w:r>
      <w:r>
        <w:rPr>
          <w:rFonts w:ascii="Times New Roman;Times;serif" w:hAnsi="Times New Roman;Times;serif"/>
          <w:sz w:val="20"/>
        </w:rPr>
        <w:t xml:space="preserve">million, purchased property and equipment of $1.7 million, and paid a </w:t>
      </w:r>
      <w:r>
        <w:rPr>
          <w:rFonts w:ascii="Times New Roman;Times;serif" w:hAnsi="Times New Roman;Times;serif"/>
          <w:sz w:val="20"/>
          <w:shd w:fill="FFFFFF" w:val="clear"/>
        </w:rPr>
        <w:t>$0.3 million post-closing working capital adjustment related to the acquisition of MissionCare.</w:t>
      </w:r>
      <w:r>
        <w:rPr>
          <w:rFonts w:ascii="Times New Roman;Times;serif" w:hAnsi="Times New Roman;Times;serif"/>
          <w:sz w:val="20"/>
        </w:rPr>
        <w:t xml:space="preserve"> These uses of cash were partially offset by $23.3 million in maturities of marketable securities. During the six months ended June 30, 2025, the Company invested in marketable securities of $26.1 million, made payments for capitalized software development of $14.5 million, purchased property and equipment of $3.4 million, and purchased an investment of $0.5 million. These uses of cash were partially offset by $26.1 million in maturities of marketable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was $12.3 million for the six months ended June 30, 2026, compared to $21.1 million for the six months ended June 30, 2025. The uses of cash for the six months ended June 30, 2026 included $9.3 million for repurchases of common stock, $2.1 million for the payment of cash dividends, $0.6 million for the payment of employee payroll taxes in relation to the vesting of restricted share units, and $0.4 million for an earn-out payment related to a prior acquisition. The uses of cash for the six months ended June 30, 2025 included $18.1 million for repurchases of common stock, $1.9 million for the payment of cash dividends, and $1.1 million for the payment of employee payroll taxes in relation to the vesting of restricted share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balance sheet reflects positive working capital of $7.6 million at June 30, 2026, compared to negative working capital of $4.5 million at December 31, 2025. The change in working capital is primarily a result of an increase in cash and cash equivalents. The Company’s primary source of liquidity as of June 30, 2026 was $46.2 million of cash and cash equivalents and $20.6 million of marketable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has a $50.0 million revolving credit facility, the availability of which is subject to certain covenants and minimum liquidity requirements. There currently are no outstanding borrowings under the revolving credit facility. The revolving credit facility expires on October 6, 2026, unless earlier renewed, amended, or replaced. Prior to the expiration of this facility, we expect to evaluate our liquidity needs and financing alternatives, including whether to renew, amend, or replace the Revolving Credit Facility We can provide no assurance that any such renewal, amendment, or replacement of this facility will be available on terms acceptable to us or at all. For additional information regarding our revolving credit facility, see Note 8 to the Condensed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rPr>
        <w:t xml:space="preserve">On February 20, 2023, we announced that our Board approved a quarterly dividend policy, under which we have paid dividends on a quarterly basis since our adoption of this policy. Under this dividend policy, the Board declared, and the Company paid, quarterly cash dividends on our common stock at the rate of $0.025 per share, $0.028 per share, and $0.031 per share during the years ended December 31, 2023, December 31, 2024, and December 31, 2025, respectively. On February 23, 2026, the Board approved a quarterly cash dividend under this policy of $0.035 per share, which was paid on March 20, 2026 to holders of record of our common stock on March 9, 2026. On May 4, 2026, the Board approved a quarterly cash dividend under this policy of $0.035 per share, which was paid on May 29, 2026 to holders of record of our common stock on May 18, 2026. On August 3, 2026, the Board approved a quarterly cash dividend under this policy of $0.035 per share, payable on August 28, 2026 to holders of record on August 17, 2026. </w:t>
      </w:r>
    </w:p>
    <w:p>
      <w:pPr>
        <w:pStyle w:val="TextBody"/>
        <w:bidi w:val="0"/>
        <w:spacing w:before="0" w:after="0"/>
        <w:jc w:val="both"/>
        <w:rPr/>
      </w:pPr>
      <w:r>
        <w:rPr/>
        <w:t xml:space="preserve">  </w:t>
      </w:r>
    </w:p>
    <w:p>
      <w:pPr>
        <w:pStyle w:val="TextBody"/>
        <w:bidi w:val="0"/>
        <w:spacing w:before="0" w:after="0"/>
        <w:jc w:val="both"/>
        <w:rPr>
          <w:rFonts w:ascii="Times New Roman;Times;serif" w:hAnsi="Times New Roman;Times;serif"/>
          <w:sz w:val="20"/>
        </w:rPr>
      </w:pPr>
      <w:r>
        <w:rPr>
          <w:rFonts w:ascii="Times New Roman;Times;serif" w:hAnsi="Times New Roman;Times;serif"/>
          <w:sz w:val="20"/>
          <w:shd w:fill="FFFFFF" w:val="clear"/>
        </w:rPr>
        <w:t>T</w:t>
      </w:r>
      <w:r>
        <w:rPr>
          <w:rFonts w:ascii="Times New Roman;Times;serif" w:hAnsi="Times New Roman;Times;serif"/>
          <w:sz w:val="20"/>
        </w:rPr>
        <w:t xml:space="preserve">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 </w:t>
      </w:r>
    </w:p>
    <w:p>
      <w:pPr>
        <w:pStyle w:val="TextBody"/>
        <w:bidi w:val="0"/>
        <w:jc w:val="both"/>
        <w:rPr/>
      </w:pPr>
      <w:r>
        <w:rPr/>
        <w:t xml:space="preserve">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November 11, 2025, the Board approved a share repurchase program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February 26, 2026, or when the maximum dollar amount had been expended. During the six months ended June 30, 2026, the Company repurchased and subsequently retired 222,978 shares of common stock at an aggregate fair value of $5.0 million under this authorization, reflecting an average price per share of $22.42 (excluding the cost of broker commissions and the 1% share repurchase excise tax imposed by the Inflation Reduction Act of 2022). This program terminated in January 2026 when the maximum dollar amount under this program was expended.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On March 13, 2026, the Company announced the adoption of a new share repurchase program approved by the Board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terminates on the earlier of September 12, 2026 or when the maximum dollar amount under the plan has been expended. During the six months ended June 30, 2026, the Company repurchased 209,498 shares of common stock at an aggregate fair value of $4.3 million under this authorization, reflecting an average price per share of $20.51 (excluding the cost of broker commissions and the 1% share repurchase excise tax imposed by the Inflation Reduction Act of 2022). This share repurchase program does not require the Company to acquire any amount of shares and may be suspended, modified,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aggregate, during the six months ended June 30, 2026, the Company repurchased 432,476 shares of common stock at an aggregate fair value of $9.3 million under both of the share repurchase programs described above, reflecting an average price per share of $21.50 (excluding the cost of broker commissions and the 1% share repurchase excise tax imposed by the Inflation Reduction Act of 2022).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believe that our existing cash, cash equivalents, marketable securities, cash generated from operations, and available borrowings under our revolving credit facility (through the date of its maturity on October 6, 2026) and any amended, renewed, or replacement credit facility that we may enter into in connection with the upcoming maturity of our current revolving credit facility as noted above, will be sufficient to meet anticipated working capital needs, new product development, pay our quarterly dividends, any share repurchases we may elect to make under any future share repurchase program, and fund capital expenditures for at least the next 12 months and for the foreseeable future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our revolving credit facility would be dependent on the covenant calculations at the time of borrowing. As of June 30, 2026,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0" w:name="qqmdr"/>
      <w:bookmarkEnd w:id="10"/>
      <w:r>
        <w:rPr>
          <w:rFonts w:ascii="Times New Roman;Times;serif" w:hAnsi="Times New Roman;Times;serif"/>
          <w:b/>
          <w:sz w:val="20"/>
        </w:rPr>
        <w:t xml:space="preserve">Item 3. </w:t>
      </w:r>
      <w:r>
        <w:rPr>
          <w:rFonts w:ascii="Times New Roman;Times;serif" w:hAnsi="Times New Roman;Times;serif"/>
          <w:b/>
          <w:i/>
          <w:sz w:val="20"/>
        </w:rPr>
        <w:t>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market risk from changes in interest rates, foreign currency risk, and investment risk. We do not have any commodity price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during the six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$66.7 million at June 30, 2026. Assuming a hypothetical 10% decrease in interest rates for invested balances, interest income from cash and investments would decrease on an annualized basis by $0.2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bookmarkStart w:id="11" w:name="cps"/>
      <w:bookmarkEnd w:id="11"/>
      <w:r>
        <w:rPr>
          <w:rFonts w:ascii="Times New Roman;Times;serif" w:hAnsi="Times New Roman;Times;serif"/>
          <w:b/>
          <w:sz w:val="20"/>
        </w:rPr>
        <w:t xml:space="preserve">Item 4. </w:t>
      </w:r>
      <w:r>
        <w:rPr>
          <w:rFonts w:ascii="Times New Roman;Times;serif" w:hAnsi="Times New Roman;Times;serif"/>
          <w:b/>
          <w:i/>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HealthStream’s internal control over financial reporting that occurred during the second quarter of 2026 that has materially affected, or that is reasonably likely to materially affect, HealthStream’s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PART II</w:t>
      </w:r>
      <w:r>
        <w:rPr>
          <w:rFonts w:ascii="Times New Roman" w:hAnsi="Times New Roman"/>
          <w:caps w:val="false"/>
          <w:smallCaps w:val="false"/>
          <w:sz w:val="20"/>
        </w:rPr>
        <w:t> </w:t>
        <w:noBreakHyphen/>
        <w:t xml:space="preserve">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Item_1_Legal_Proceedings"/>
      <w:bookmarkEnd w:id="13"/>
      <w:r>
        <w:rPr>
          <w:rFonts w:ascii="Times New Roman" w:hAnsi="Times New Roman"/>
          <w:b/>
          <w:caps w:val="false"/>
          <w:smallCaps w:val="false"/>
          <w:sz w:val="20"/>
        </w:rPr>
        <w:t xml:space="preserve">Item 1.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required by this Part II, Item 1, is included in Note 10 to the Condensed Consolidated Financial Statements herein, which is incorporated by reference herein.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risks"/>
      <w:bookmarkEnd w:id="14"/>
      <w:r>
        <w:rPr>
          <w:rFonts w:ascii="Times New Roman" w:hAnsi="Times New Roman"/>
          <w:b/>
          <w:caps w:val="false"/>
          <w:smallCaps w:val="false"/>
          <w:sz w:val="20"/>
        </w:rPr>
        <w:t xml:space="preserve">Item 1A.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risk factors previously disclosed in Part I, Item 1A of the 2025 Form 10-K.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15" w:name="Item_2_Sales_of_Equity"/>
      <w:bookmarkEnd w:id="15"/>
      <w:r>
        <w:rPr>
          <w:rFonts w:ascii="Times New Roman;Times;serif" w:hAnsi="Times New Roman;Times;serif"/>
          <w:b/>
          <w:sz w:val="20"/>
        </w:rPr>
        <w:t xml:space="preserve">Item 2. </w:t>
      </w:r>
      <w:r>
        <w:rPr>
          <w:rFonts w:ascii="Times New Roman;Times;serif" w:hAnsi="Times New Roman;Times;serif"/>
          <w:b/>
          <w:i/>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2026, the Company announced the adoption of a share repurchase program approved by the Board under which the Company is authorized to repurchase up to $10.0 million of its outstanding shares of common stock. Pursuant to this authorization, the Company is authorized to make repurchases in the open market, including under Rule 10b5-1 plans, through privately negotiated transactions, or otherwise. This share repurchase program terminates on the earlier of September 12, 2026 or when the maximum dollar amount under the plan is expended. During the three months ended June 30, 2026, the Company repurchased 90,131 shares of common stock at an aggregate fair value of $1.8 million under this authorization, reflecting an average price per share of $19.95 (excluding the cost of broker commissions and the 1% share repurchase excise tax imposed by the Inflation Reduction Act of 2022).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information with respect to HealthStream's repurchases of common stock during the three months ended June 30, 2026.</w:t>
        <w:br/>
        <w:t> </w:t>
      </w:r>
    </w:p>
    <w:tbl>
      <w:tblPr>
        <w:tblW w:w="10205" w:type="dxa"/>
        <w:jc w:val="left"/>
        <w:tblInd w:w="0" w:type="dxa"/>
        <w:tblLayout w:type="fixed"/>
        <w:tblCellMar>
          <w:top w:w="0" w:type="dxa"/>
          <w:left w:w="0" w:type="dxa"/>
          <w:bottom w:w="0" w:type="dxa"/>
          <w:right w:w="0" w:type="dxa"/>
        </w:tblCellMar>
      </w:tblPr>
      <w:tblGrid>
        <w:gridCol w:w="1006"/>
        <w:gridCol w:w="60"/>
        <w:gridCol w:w="131"/>
        <w:gridCol w:w="1312"/>
        <w:gridCol w:w="60"/>
        <w:gridCol w:w="60"/>
        <w:gridCol w:w="271"/>
        <w:gridCol w:w="1055"/>
        <w:gridCol w:w="60"/>
        <w:gridCol w:w="60"/>
        <w:gridCol w:w="238"/>
        <w:gridCol w:w="2358"/>
        <w:gridCol w:w="60"/>
        <w:gridCol w:w="60"/>
        <w:gridCol w:w="429"/>
        <w:gridCol w:w="2920"/>
        <w:gridCol w:w="65"/>
      </w:tblGrid>
      <w:tr>
        <w:trPr/>
        <w:tc>
          <w:tcPr>
            <w:tcW w:w="100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4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 Total number of shares (or units)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 Average price paid per share (or unit)(1)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 Total number of shares (or units) purchased as part of publicly announced plans or programs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 Maximum number (or approximate dollar value) of shares (or units) that may yet be purchased under the plans or programs</w:t>
            </w:r>
          </w:p>
        </w:tc>
        <w:tc>
          <w:tcPr>
            <w:tcW w:w="65" w:type="dxa"/>
            <w:tcBorders/>
            <w:vAlign w:val="center"/>
          </w:tcPr>
          <w:p>
            <w:pPr>
              <w:pStyle w:val="TableContents"/>
              <w:bidi w:val="0"/>
              <w:spacing w:before="0" w:after="283"/>
              <w:jc w:val="left"/>
              <w:rPr/>
            </w:pPr>
            <w:r>
              <w:rPr/>
              <w:t> </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#1 (April 1 - April 30)</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3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23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5,702,314</w:t>
            </w:r>
          </w:p>
        </w:tc>
        <w:tc>
          <w:tcPr>
            <w:tcW w:w="65" w:type="dxa"/>
            <w:tcBorders/>
            <w:shd w:fill="CCEEFF"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#2 (May 1 - May 31)</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31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23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ind w:left="0" w:right="0" w:hanging="0"/>
              <w:jc w:val="left"/>
              <w:rPr/>
            </w:pPr>
            <w:r>
              <w:rPr/>
              <w:t> </w:t>
            </w:r>
          </w:p>
        </w:tc>
        <w:tc>
          <w:tcPr>
            <w:tcW w:w="2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5,702,314</w:t>
            </w:r>
          </w:p>
        </w:tc>
        <w:tc>
          <w:tcPr>
            <w:tcW w:w="65" w:type="dxa"/>
            <w:tcBorders/>
            <w:shd w:fill="FFFFFF" w:val="clear"/>
            <w:vAlign w:val="center"/>
          </w:tcPr>
          <w:p>
            <w:pPr>
              <w:pStyle w:val="TableContents"/>
              <w:bidi w:val="0"/>
              <w:spacing w:before="0" w:after="283"/>
              <w:jc w:val="left"/>
              <w:rPr/>
            </w:pPr>
            <w:r>
              <w:rPr/>
              <w:t> </w:t>
            </w:r>
          </w:p>
        </w:tc>
      </w:tr>
      <w:tr>
        <w:trPr/>
        <w:tc>
          <w:tcPr>
            <w:tcW w:w="10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Month #3 (June 1 - June 30)</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5,702,314</w:t>
            </w:r>
          </w:p>
        </w:tc>
        <w:tc>
          <w:tcPr>
            <w:tcW w:w="65" w:type="dxa"/>
            <w:tcBorders/>
            <w:shd w:fill="CCEEFF" w:val="clear"/>
            <w:vAlign w:val="center"/>
          </w:tcPr>
          <w:p>
            <w:pPr>
              <w:pStyle w:val="TableContents"/>
              <w:bidi w:val="0"/>
              <w:spacing w:before="0" w:after="283"/>
              <w:jc w:val="left"/>
              <w:rPr/>
            </w:pPr>
            <w:r>
              <w:rPr/>
              <w:t> </w:t>
            </w:r>
          </w:p>
        </w:tc>
      </w:tr>
      <w:tr>
        <w:trPr/>
        <w:tc>
          <w:tcPr>
            <w:tcW w:w="10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5,702,314</w:t>
            </w:r>
          </w:p>
        </w:tc>
        <w:tc>
          <w:tcPr>
            <w:tcW w:w="6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On March 13, 2026, the Company announced the adoption of a share repurchase program approved by the Board under which the Company is authorized to repurchase up to $10.0 million of its outstanding shares of common stock. This share repurchase program terminates on the earlier of September 12, 2026 or when the maximum dollar amount under the plan is expended. The shares of common stock repurchased during the three months ended June 30, 2026, as reflected in the table above, were repurchased under this share repurchase program.</w:t>
      </w:r>
    </w:p>
    <w:p>
      <w:pPr>
        <w:pStyle w:val="TextBody"/>
        <w:bidi w:val="0"/>
        <w:spacing w:before="0" w:after="0"/>
        <w:ind w:left="0" w:right="0" w:hanging="0"/>
        <w:jc w:val="both"/>
        <w:rPr>
          <w:rFonts w:ascii="Times New Roman" w:hAnsi="Times New Roman"/>
          <w:sz w:val="20"/>
        </w:rPr>
      </w:pPr>
      <w:r>
        <w:rPr>
          <w:rFonts w:ascii="Times New Roman" w:hAnsi="Times New Roman"/>
          <w:sz w:val="20"/>
        </w:rPr>
        <w:t>(2) The weighted average price paid per share of common stock does not include the cost of broker commissions or the 1% share repurchase excise tax imposed by the Inflation Reduction Act of 2022.</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Item_5_Other_Info"/>
      <w:bookmarkEnd w:id="1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None. Without limiting the generality of the foregoing, during the six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director or officer of the Company adopted or terminated any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any “non-Rule 10b5-1 trading arrangement,” as such terms are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of Regulation S-K.</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7" w:name="exs"/>
      <w:bookmarkEnd w:id="17"/>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60"/>
        <w:gridCol w:w="230"/>
        <w:gridCol w:w="71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
        <w:gridCol w:w="9461"/>
      </w:tblGrid>
      <w:tr>
        <w:trPr/>
        <w:tc>
          <w:tcPr>
            <w:tcW w:w="744" w:type="dxa"/>
            <w:tcBorders/>
            <w:vAlign w:val="center"/>
          </w:tcPr>
          <w:p>
            <w:pPr>
              <w:pStyle w:val="TableContents"/>
              <w:bidi w:val="0"/>
              <w:spacing w:before="0" w:after="283"/>
              <w:jc w:val="left"/>
              <w:rPr/>
            </w:pPr>
            <w:r>
              <w:rPr/>
              <w:t>10.1^*</w:t>
            </w:r>
          </w:p>
        </w:tc>
        <w:tc>
          <w:tcPr>
            <w:tcW w:w="9461" w:type="dxa"/>
            <w:tcBorders/>
            <w:vAlign w:val="center"/>
          </w:tcPr>
          <w:p>
            <w:pPr>
              <w:pStyle w:val="TableContents"/>
              <w:bidi w:val="0"/>
              <w:spacing w:before="0" w:after="283"/>
              <w:jc w:val="left"/>
              <w:rPr/>
            </w:pPr>
            <w:hyperlink w:anchor="ex_969895.htm">
              <w:r>
                <w:rPr>
                  <w:rStyle w:val="InternetLink"/>
                </w:rPr>
                <w:t>Letter Agreement, dated as of May 4, 2026, between HealthStream, Inc. and Michael Collier.</w:t>
              </w:r>
            </w:hyperlink>
          </w:p>
        </w:tc>
      </w:tr>
      <w:tr>
        <w:trPr/>
        <w:tc>
          <w:tcPr>
            <w:tcW w:w="744" w:type="dxa"/>
            <w:tcBorders/>
            <w:vAlign w:val="center"/>
          </w:tcPr>
          <w:p>
            <w:pPr>
              <w:pStyle w:val="TableContents"/>
              <w:bidi w:val="0"/>
              <w:spacing w:before="0" w:after="283"/>
              <w:jc w:val="left"/>
              <w:rPr/>
            </w:pPr>
            <w:r>
              <w:rPr/>
              <w:t>10.2^*</w:t>
            </w:r>
          </w:p>
        </w:tc>
        <w:tc>
          <w:tcPr>
            <w:tcW w:w="9461" w:type="dxa"/>
            <w:tcBorders/>
            <w:vAlign w:val="center"/>
          </w:tcPr>
          <w:p>
            <w:pPr>
              <w:pStyle w:val="TableContents"/>
              <w:bidi w:val="0"/>
              <w:spacing w:before="0" w:after="283"/>
              <w:jc w:val="left"/>
              <w:rPr/>
            </w:pPr>
            <w:hyperlink w:anchor="ex_988722.htm">
              <w:r>
                <w:rPr>
                  <w:rStyle w:val="InternetLink"/>
                </w:rPr>
                <w:t>Form of HealthStream, Inc. Restricted Share Unit Agreement (Non-Employee Director 2026) under 2022 Omnibus Incentive Plan</w:t>
              </w:r>
            </w:hyperlink>
          </w:p>
        </w:tc>
      </w:tr>
      <w:tr>
        <w:trPr/>
        <w:tc>
          <w:tcPr>
            <w:tcW w:w="744" w:type="dxa"/>
            <w:tcBorders/>
            <w:vAlign w:val="center"/>
          </w:tcPr>
          <w:p>
            <w:pPr>
              <w:pStyle w:val="TableContents"/>
              <w:bidi w:val="0"/>
              <w:spacing w:before="0" w:after="283"/>
              <w:jc w:val="left"/>
              <w:rPr/>
            </w:pPr>
            <w:r>
              <w:rPr/>
              <w:t>10.3^*</w:t>
            </w:r>
          </w:p>
        </w:tc>
        <w:tc>
          <w:tcPr>
            <w:tcW w:w="9461" w:type="dxa"/>
            <w:tcBorders/>
            <w:vAlign w:val="center"/>
          </w:tcPr>
          <w:p>
            <w:pPr>
              <w:pStyle w:val="TableContents"/>
              <w:bidi w:val="0"/>
              <w:spacing w:before="0" w:after="283"/>
              <w:jc w:val="left"/>
              <w:rPr/>
            </w:pPr>
            <w:hyperlink w:anchor="ex_983863.htm">
              <w:r>
                <w:rPr>
                  <w:rStyle w:val="InternetLink"/>
                </w:rPr>
                <w:t>Form of HealthStream, Inc. Non-Qualified Stock Agreement (Executive 2026) under 2022 Omnibus Incentive Plan</w:t>
              </w:r>
            </w:hyperlink>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461" w:type="dxa"/>
            <w:tcBorders/>
            <w:vAlign w:val="center"/>
          </w:tcPr>
          <w:p>
            <w:pPr>
              <w:pStyle w:val="TableContents"/>
              <w:bidi w:val="0"/>
              <w:spacing w:before="0" w:after="0"/>
              <w:ind w:left="0" w:right="0" w:hanging="0"/>
              <w:jc w:val="both"/>
              <w:rPr/>
            </w:pPr>
            <w:hyperlink w:anchor="ex_967159.htm">
              <w:r>
                <w:rPr>
                  <w:rStyle w:val="InternetLink"/>
                  <w:rFonts w:ascii="Times New Roman" w:hAnsi="Times New Roman"/>
                  <w:caps w:val="false"/>
                  <w:smallCaps w:val="false"/>
                  <w:sz w:val="20"/>
                </w:rPr>
                <w:t>Certification of the Chief Executive Officer Pursuant to Section 302 of the Sarbanes-Oxley Act of 2002</w:t>
              </w:r>
            </w:hyperlink>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461" w:type="dxa"/>
            <w:tcBorders/>
            <w:vAlign w:val="center"/>
          </w:tcPr>
          <w:p>
            <w:pPr>
              <w:pStyle w:val="TableContents"/>
              <w:bidi w:val="0"/>
              <w:spacing w:before="0" w:after="0"/>
              <w:ind w:left="0" w:right="0" w:hanging="0"/>
              <w:jc w:val="both"/>
              <w:rPr/>
            </w:pPr>
            <w:hyperlink w:anchor="ex_967160.htm">
              <w:r>
                <w:rPr>
                  <w:rStyle w:val="InternetLink"/>
                  <w:rFonts w:ascii="Times New Roman" w:hAnsi="Times New Roman"/>
                  <w:caps w:val="false"/>
                  <w:smallCaps w:val="false"/>
                  <w:sz w:val="20"/>
                </w:rPr>
                <w:t>Certification of the Principal Financial Officer Pursuant to Section 302 of the Sarbanes-Oxley Act of 2002</w:t>
              </w:r>
            </w:hyperlink>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461" w:type="dxa"/>
            <w:tcBorders/>
            <w:vAlign w:val="center"/>
          </w:tcPr>
          <w:p>
            <w:pPr>
              <w:pStyle w:val="TableContents"/>
              <w:bidi w:val="0"/>
              <w:spacing w:before="0" w:after="0"/>
              <w:ind w:left="0" w:right="0" w:hanging="0"/>
              <w:jc w:val="both"/>
              <w:rPr/>
            </w:pPr>
            <w:hyperlink w:anchor="ex_967161.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461" w:type="dxa"/>
            <w:tcBorders/>
            <w:vAlign w:val="center"/>
          </w:tcPr>
          <w:p>
            <w:pPr>
              <w:pStyle w:val="TableContents"/>
              <w:bidi w:val="0"/>
              <w:spacing w:before="0" w:after="0"/>
              <w:ind w:left="0" w:right="0" w:hanging="0"/>
              <w:jc w:val="both"/>
              <w:rPr/>
            </w:pPr>
            <w:hyperlink w:anchor="ex_967162.htm">
              <w:r>
                <w:rPr>
                  <w:rStyle w:val="InternetLink"/>
                  <w:rFonts w:ascii="Times New Roman" w:hAnsi="Times New Roman"/>
                  <w:caps w:val="false"/>
                  <w:smallCaps w:val="false"/>
                  <w:sz w:val="20"/>
                </w:rPr>
                <w:t>Certification Pursuant to 18 U.S.C. Section 1350, as Adopted Pursuant to Section 906 of the Sarbanes-Oxley Act of 2002</w:t>
              </w:r>
            </w:hyperlink>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INS</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SCH</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CAL</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DEF</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LAB</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101.1 PRE</w:t>
            </w:r>
          </w:p>
        </w:tc>
        <w:tc>
          <w:tcPr>
            <w:tcW w:w="94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744" w:type="dxa"/>
            <w:tcBorders/>
            <w:vAlign w:val="center"/>
          </w:tcPr>
          <w:p>
            <w:pPr>
              <w:pStyle w:val="TableContents"/>
              <w:bidi w:val="0"/>
              <w:spacing w:before="0" w:after="283"/>
              <w:jc w:val="left"/>
              <w:rPr/>
            </w:pPr>
            <w:r>
              <w:rPr/>
              <w:t>104</w:t>
            </w:r>
          </w:p>
        </w:tc>
        <w:tc>
          <w:tcPr>
            <w:tcW w:w="9461" w:type="dxa"/>
            <w:tcBorders/>
            <w:vAlign w:val="center"/>
          </w:tcPr>
          <w:p>
            <w:pPr>
              <w:pStyle w:val="TableContents"/>
              <w:bidi w:val="0"/>
              <w:spacing w:before="0" w:after="283"/>
              <w:jc w:val="left"/>
              <w:rPr/>
            </w:pPr>
            <w:r>
              <w:rPr/>
              <w:t>The cover page from the Company’s Quarterly Report on Form 10-Q for the quarter ended June 30, 2026, has been formatted in Inline XBRL</w:t>
            </w:r>
          </w:p>
        </w:tc>
      </w:tr>
      <w:tr>
        <w:trPr/>
        <w:tc>
          <w:tcPr>
            <w:tcW w:w="744" w:type="dxa"/>
            <w:tcBorders/>
            <w:vAlign w:val="center"/>
          </w:tcPr>
          <w:p>
            <w:pPr>
              <w:pStyle w:val="TableContents"/>
              <w:bidi w:val="0"/>
              <w:spacing w:before="0" w:after="283"/>
              <w:jc w:val="left"/>
              <w:rPr/>
            </w:pPr>
            <w:r>
              <w:rPr/>
              <w:t>^</w:t>
            </w:r>
          </w:p>
        </w:tc>
        <w:tc>
          <w:tcPr>
            <w:tcW w:w="9461" w:type="dxa"/>
            <w:tcBorders/>
            <w:vAlign w:val="center"/>
          </w:tcPr>
          <w:p>
            <w:pPr>
              <w:pStyle w:val="TableContents"/>
              <w:bidi w:val="0"/>
              <w:spacing w:before="0" w:after="283"/>
              <w:jc w:val="left"/>
              <w:rPr/>
            </w:pPr>
            <w:r>
              <w:rPr/>
              <w:t>Management contract or compensatory plan or arrangement</w:t>
            </w:r>
          </w:p>
        </w:tc>
      </w:tr>
      <w:tr>
        <w:trPr/>
        <w:tc>
          <w:tcPr>
            <w:tcW w:w="744" w:type="dxa"/>
            <w:tcBorders/>
            <w:vAlign w:val="center"/>
          </w:tcPr>
          <w:p>
            <w:pPr>
              <w:pStyle w:val="TableContents"/>
              <w:bidi w:val="0"/>
              <w:spacing w:before="0" w:after="283"/>
              <w:jc w:val="left"/>
              <w:rPr/>
            </w:pPr>
            <w:r>
              <w:rPr/>
              <w:t>*</w:t>
            </w:r>
          </w:p>
        </w:tc>
        <w:tc>
          <w:tcPr>
            <w:tcW w:w="9461" w:type="dxa"/>
            <w:tcBorders/>
            <w:vAlign w:val="center"/>
          </w:tcPr>
          <w:p>
            <w:pPr>
              <w:pStyle w:val="TableContents"/>
              <w:bidi w:val="0"/>
              <w:spacing w:before="0" w:after="283"/>
              <w:jc w:val="left"/>
              <w:rPr/>
            </w:pPr>
            <w:r>
              <w:rPr/>
              <w:t>Filed herewith</w:t>
            </w:r>
          </w:p>
        </w:tc>
      </w:tr>
      <w:tr>
        <w:trPr/>
        <w:tc>
          <w:tcPr>
            <w:tcW w:w="744" w:type="dxa"/>
            <w:tcBorders/>
            <w:vAlign w:val="center"/>
          </w:tcPr>
          <w:p>
            <w:pPr>
              <w:pStyle w:val="TableContents"/>
              <w:bidi w:val="0"/>
              <w:spacing w:before="0" w:after="283"/>
              <w:jc w:val="left"/>
              <w:rPr/>
            </w:pPr>
            <w:r>
              <w:rPr/>
              <w:t>**</w:t>
            </w:r>
          </w:p>
        </w:tc>
        <w:tc>
          <w:tcPr>
            <w:tcW w:w="9461" w:type="dxa"/>
            <w:tcBorders/>
            <w:vAlign w:val="center"/>
          </w:tcPr>
          <w:p>
            <w:pPr>
              <w:pStyle w:val="TableContents"/>
              <w:bidi w:val="0"/>
              <w:spacing w:before="0" w:after="283"/>
              <w:jc w:val="left"/>
              <w:rPr/>
            </w:pPr>
            <w:r>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8" w:name="sigs"/>
      <w:bookmarkEnd w:id="18"/>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1490"/>
        <w:gridCol w:w="320"/>
        <w:gridCol w:w="60"/>
        <w:gridCol w:w="1880"/>
      </w:tblGrid>
      <w:tr>
        <w:trPr/>
        <w:tc>
          <w:tcPr>
            <w:tcW w:w="1490" w:type="dxa"/>
            <w:tcBorders/>
            <w:vAlign w:val="center"/>
          </w:tcPr>
          <w:p>
            <w:pPr>
              <w:pStyle w:val="TableContents"/>
              <w:bidi w:val="0"/>
              <w:spacing w:before="0" w:after="283"/>
              <w:jc w:val="left"/>
              <w:rPr/>
            </w:pPr>
            <w:r>
              <w:rPr/>
              <w:t> </w:t>
            </w:r>
          </w:p>
        </w:tc>
        <w:tc>
          <w:tcPr>
            <w:tcW w:w="2260" w:type="dxa"/>
            <w:gridSpan w:val="3"/>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HEALTHSTREAM, INC.</w:t>
            </w:r>
          </w:p>
        </w:tc>
      </w:tr>
      <w:tr>
        <w:trPr/>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August 6,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283"/>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25 </w:t>
      </w:r>
    </w:p>
    <w:p>
      <w:pPr>
        <w:pStyle w:val="TextBody"/>
        <w:bidi w:val="0"/>
        <w:spacing w:before="0" w:after="0"/>
        <w:ind w:left="0" w:right="0" w:hanging="0"/>
        <w:jc w:val="right"/>
        <w:rPr>
          <w:rFonts w:ascii="Times New Roman" w:hAnsi="Times New Roman"/>
          <w:caps w:val="false"/>
          <w:smallCaps w:val="false"/>
          <w:sz w:val="20"/>
        </w:rPr>
      </w:pPr>
      <w:bookmarkStart w:id="19" w:name="ex_969895.htm"/>
      <w:bookmarkStart w:id="20" w:name="ksex_969895"/>
      <w:bookmarkEnd w:id="19"/>
      <w:bookmarkEnd w:id="20"/>
      <w:r>
        <w:rPr>
          <w:rFonts w:ascii="Times New Roman" w:hAnsi="Times New Roman"/>
          <w:caps w:val="false"/>
          <w:smallCaps w:val="false"/>
          <w:sz w:val="20"/>
        </w:rPr>
        <w:t>Exhibit 10.1</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Michael: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offer letter will confirm the terms of your offer of ongoing employment with HealthStream, Inc. (the “Company”) as its Chief Operating Officer. The following describes the general terms of your employment:</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26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u w:val="single"/>
              </w:rPr>
              <w:t>Position and Responsibilities.</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You will serve in the position of Chief Operating Officer and Executive Vice President. You will also continue to serve as a member of the Company’s Executive Team. </w:t>
      </w:r>
      <w:r>
        <w:rPr>
          <w:rFonts w:ascii="Times New Roman" w:hAnsi="Times New Roman"/>
          <w:caps w:val="false"/>
          <w:smallCaps w:val="false"/>
          <w:sz w:val="20"/>
          <w:u w:val="single"/>
        </w:rPr>
        <w:t>Exhibit A</w:t>
      </w:r>
      <w:r>
        <w:rPr>
          <w:rFonts w:ascii="Times New Roman" w:hAnsi="Times New Roman"/>
          <w:caps w:val="false"/>
          <w:smallCaps w:val="false"/>
          <w:sz w:val="20"/>
        </w:rPr>
        <w:t xml:space="preserve"> attached hereto sets forth the general job description of the COO role, including among other things the additional responsibilities of leading Customer Support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You will report to the Chief Executive Officer and assume and discharge such responsibilities as are commensurate with your position and as the Chief Executive Officer may direct. During your employment with the Company, you shall devote your full-time attention to your duties and responsibilities and shall perform them faithfully, diligently and completely. In addition, you shall comply with and be bound by the operating policies, procedures and practices of the Company including, without limitation, the Employee Handbook, Code of Conduct, Code of Ethics, and insider trading policies, in effect from time to time during your employment. Moreover, all compensation which has been paid to you or may be payable to you will be subject to recoupment pursuant to, and to the extent provided by, (i) the terms of the Company’s Compensation Recoupment Policy (as it may be amended from time to time) (the “Current Recoupment Policy”), (ii)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SEC rules and Nasdaq listing standards, the “Dodd-Frank Clawback Requirements”) (such policies referenced in clauses (i) and (ii), the “Policies”) and (iii) applicable SEC rules and NASDAQ listing requirements as in effect from time to time. The Company may utilize any method of recovery specified in the Policies in connection with any recoupment pursuant to the terms of the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You acknowledge that from time to time you will be required to travel in connection with the performance of your duties.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0"/>
        <w:gridCol w:w="170"/>
        <w:gridCol w:w="8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860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u w:val="single"/>
              </w:rPr>
              <w:t>Compensation</w:t>
            </w:r>
            <w:r>
              <w:rPr>
                <w:rFonts w:ascii="Times New Roman" w:hAnsi="Times New Roman"/>
                <w:caps w:val="false"/>
                <w:smallCaps w:val="false"/>
                <w:sz w:val="20"/>
              </w:rPr>
              <w:t>. In consideration for your services, during the term of your employment, you will receive: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Base Salary</w:t>
            </w:r>
            <w:r>
              <w:rPr>
                <w:rFonts w:ascii="Times New Roman" w:hAnsi="Times New Roman"/>
                <w:caps w:val="false"/>
                <w:smallCaps w:val="false"/>
                <w:sz w:val="20"/>
              </w:rPr>
              <w:t>. Your annual base salary will increase to $415,800.00 (“Base Salary”) beginning on the date your promotion is effective as determined by the Compensation Committee. Base Salary is payable in accordance with the Company’s prevailing payroll practices.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Cash Bonus Plan</w:t>
            </w:r>
            <w:r>
              <w:rPr>
                <w:rFonts w:ascii="Times New Roman" w:hAnsi="Times New Roman"/>
                <w:caps w:val="false"/>
                <w:smallCaps w:val="false"/>
                <w:sz w:val="20"/>
              </w:rPr>
              <w:t>. You will remain eligible to participate at the Executive Vice President-level in an annual cash bonus plan (“Bonus Plan”), which the Compensation Committee approved in March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Equity Awards –Time-Based Vesting</w:t>
            </w:r>
            <w:r>
              <w:rPr>
                <w:rFonts w:ascii="Times New Roman" w:hAnsi="Times New Roman"/>
                <w:caps w:val="false"/>
                <w:smallCaps w:val="false"/>
                <w:sz w:val="20"/>
              </w:rPr>
              <w:t>. Each year, you will remain eligible to receive an equity award (referred to herein as “Annual Awards”) in the form of restricted stock units (“RSUs”). All Annual Awards shall be subject to the terms and conditions of the agreement under which such awards are granted and the Equity Plan. The issuance and terms of all Annual Awards are subject to approval by the Compensation Committee.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Equity Award – Performance-Based Vesting</w:t>
            </w:r>
            <w:r>
              <w:rPr>
                <w:rFonts w:ascii="Times New Roman" w:hAnsi="Times New Roman"/>
                <w:caps w:val="false"/>
                <w:smallCaps w:val="false"/>
                <w:sz w:val="20"/>
              </w:rPr>
              <w:t>. You will be eligible to receive a performance-based equity award (referred to herein as the “Performance Award”) upon your acceptance of the position and the Compensation Committee’s approval of such award. The Performance Award shall be in the form of options. The total number of options granted to you shall be equal to: $150,000 divided by the closing value of the Company’s stock price on the grant award date, then multiplied by 3. For example, if the stock closes at a $20 share price on the award date, you would receive 22,500 options: ($150,000 divided by $20) x 3. The Performance Award will be eligible for vesting annually on the grant date anniversary according to the following schedule: 15% vest year 1, 20% vest year 2, 20% vest year 3, 20% vest year 4, and 25% vest year 5. Your Performance Award shall be subject to the terms and conditions of the Equity Plan and the agreement under which such awards are granted.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If you are employed upon a Change of Control as defined in the Equity Plan, all unvested options that are eligible to vest within the 30 months following the Change of Control shall automatically vest and any options that are not eligible to vest within 30 months of the Change of Control shall be forfeited. For example, if a Change of Control occurs after your year 1 options were eligible to vest, but before your year 2 options were eligible to vest, then your year 2, year 3, and 50% of your year 4 options would vest automatically upon the Change of Control, and 50% of your year 4 and 100% of your year 5 options would be forfeited. For additional example, if a Change of Control occurs after your year 3 options were eligible to vest, but before your years 4 and 5 options were eligible to vest, then your years 4 and 5 options would automatically vest upon the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Other Benefits.</w:t>
      </w:r>
      <w:r>
        <w:rPr>
          <w:rFonts w:ascii="Times New Roman" w:hAnsi="Times New Roman"/>
          <w:caps w:val="false"/>
          <w:smallCaps w:val="false"/>
          <w:sz w:val="20"/>
        </w:rPr>
        <w:t xml:space="preserve"> You will be entitled to receive the standard employee benefits made available by the Company to its employees to the full extent of your eligibility. During your employment, you shall be permitted, to the extent eligible, to participate in any group medical, dental, life insurance and disability insurance plans, or similar benefit plan of the Company that is available to employees generally. You shall also be eligible to participate in the Company’s 401(k) plan. Participation in any such plans shall be consistent with your rate of compensation to the extent that compensation is a determinative factor with respect to coverage under any such plans. The Company shall reimburse you for all reasonable expenses actually incurred or paid by you in the performance of your services on behalf of the Company subject to the terms of and in accordance with the Company’s expense reimbursement policy as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Trade Secret and Proprietary Information Agreement (“TSPI”).</w:t>
      </w:r>
      <w:r>
        <w:rPr>
          <w:rFonts w:ascii="Times New Roman" w:hAnsi="Times New Roman"/>
          <w:caps w:val="false"/>
          <w:smallCaps w:val="false"/>
          <w:sz w:val="20"/>
        </w:rPr>
        <w:t xml:space="preserve"> That certain TSPI set forth as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hereto, including without limitation the restrictive covenants therein, shall remain in full force and effect. It being understood that your promotion is contingent upon your signing the TSPI.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Conflicting Employment</w:t>
      </w:r>
      <w:r>
        <w:rPr>
          <w:rFonts w:ascii="Times New Roman" w:hAnsi="Times New Roman"/>
          <w:caps w:val="false"/>
          <w:smallCaps w:val="false"/>
          <w:sz w:val="20"/>
        </w:rPr>
        <w:t>. You agree that, during your employment with the Company, in addition to the restrictions set forth in the Restrictive Covenants, you will not engage in any other employment, occupation, consulting or other business activity directly related to the business in which the Company is now involved or becomes involved during your employment, nor will you engage in any other activities that conflict with your obligations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At-Will Employment.</w:t>
      </w:r>
      <w:r>
        <w:rPr>
          <w:rFonts w:ascii="Times New Roman" w:hAnsi="Times New Roman"/>
          <w:caps w:val="false"/>
          <w:smallCaps w:val="false"/>
          <w:sz w:val="20"/>
        </w:rPr>
        <w:t xml:space="preserve"> You acknowledge that your employment with the Company is for an unspecified duration that constitutes at-will employment, and that either you or the Company can terminate this relationship at any time, with or without cause and with or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General Provisions.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5"/>
        <w:gridCol w:w="9920"/>
      </w:tblGrid>
      <w:tr>
        <w:trPr/>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offer letter and the terms of your employment will be governed by the laws of Tennessee without regard to any conflict of laws.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offer letter sets forth the entire agreement and understanding between the Company and you relating to your employment and supersedes all prior verbal discussions between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agreement will be binding upon your heirs, executors, administrators and other legal representatives and will be for the benefit of the Company and its respective successors and assigns.</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245"/>
        <w:gridCol w:w="677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payments pursuant to this letter will be subject to applicable withholding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99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your employment will be at-will, the Company’s willingness to offer you the employment terms outlined herein is predicated on the understanding that you intend to commit to a minimum of five years of ongoing employment with the Company pursuant to the terms described in this offer letter.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acknowledge and confirm your acceptance of this letter by, signing and returning one copy of this offer letter in its entirety to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firstLine="720"/>
        <w:jc w:val="left"/>
        <w:rPr>
          <w:rFonts w:ascii="Times New Roman" w:hAnsi="Times New Roman"/>
          <w:caps w:val="false"/>
          <w:smallCaps w:val="false"/>
          <w:sz w:val="20"/>
        </w:rPr>
      </w:pPr>
      <w:r>
        <w:rPr>
          <w:rFonts w:ascii="Times New Roman" w:hAnsi="Times New Roman"/>
          <w:caps w:val="false"/>
          <w:smallCaps w:val="false"/>
          <w:sz w:val="20"/>
        </w:rPr>
        <w:t>Robert A. Frist, Jr.</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OFFER ACCEPTANCE: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accept the terms of my employment with HealthStream, Inc. as set forth herein and in any attached Annexes. I understand that this offer letter does not constitute a contract of employment for any specified period of time, and that either party, with or without cause and with or without notice, may terminate my employment relationship. I received this offer letter with notice of my pay rate and designated payday in English because I have represented to my employer that this is my primary language.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w:t>
      </w:r>
      <w:r>
        <w:rPr>
          <w:rFonts w:ascii="Times New Roman" w:hAnsi="Times New Roman"/>
          <w:b/>
          <w:caps w:val="false"/>
          <w:smallCaps w:val="false"/>
          <w:sz w:val="20"/>
        </w:rPr>
        <w:t>Date:</w:t>
      </w:r>
      <w:r>
        <w:rPr>
          <w:rFonts w:ascii="Times New Roman" w:hAnsi="Times New Roman"/>
          <w:caps w:val="false"/>
          <w:smallCaps w:val="false"/>
          <w:sz w:val="20"/>
        </w:rPr>
        <w:t>__/__/____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Michael M. Collier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 to Offer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Job Description:</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Position Summary</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Officer will be the senior executive primarily responsible for the enterprise operations of the Company. He shall report directly to the CEO and be responsible for translating corporate strategy into operational reality—building the frameworks, cadences, and accountability structures that allow the company to scale efficiently while improving customer outcomes and financial results. The COO will also be responsible for helping establish and implement transformational changes to the business that are likely to come from AI, including but not limited to the fusion of job roles, the management of agents as part of the workforce, and helping coordinate efforts to ensure efficient and profitable token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COO will be responsible for helping the CEO evaluate and establish capital deployment strategies designed to foster both organic and inorganic growth. In so doing, the COO shall serve as a primary liaison to the Board of Directors and lead the Company’s Corporate Development efforts in M&amp;A, minority investments, and strategic partnerships. Additionally, the COO will oversee internal services such as HR, Legal, and Business Enablement.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role requires a leader who can operate at 30,000 feet and at ground level simultaneously: setting enterprise-wide operating frameworks while making discrete decisions on hiring, restructuring, sensitive customer matters, legal decisions, and capital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Key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Enterprise Operations &amp; Execution</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 end-to-end operational performance across enterprise-wide Implementations, Customer Success, Customer Support, and Training.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 and implement enterprise operating frameworks—including standardized metrics, business rules, reporting cadences, and accountability structures—to drive visibility, consistency, and speed across the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prioritization and execution of strategic initiatives, translating board-level strategy into operating plans with owners, milestones, and outcomes.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Restructure and scale operational programs to improve renewal rates, accelerate time to revenue, and elevate customer satisfaction across the subscriber base.</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10"/>
        <w:gridCol w:w="61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 key vendor decisions such as real estate leases and benefits brokers.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AI Transformation</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Serve as the executive sponsor for coordinating the management of AI transformation related to the workforce, including working with the executive team to best identify and prioritize use cases that improve efficiency, reduce cost, and enhance customer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Champion AI readiness across all operational teams, ensuring reorganizations and process designs are built for automation and augmentation.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 in coordination with the exec team and HR, a workforce strategy that accounts for how AI will reshape roles, headcount, and skill requirements over the next 3-5 years. This will be a work in progress as the Company’s use of AI informs the path forward.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Stakeholder Alignment &amp; Cross-Functional Leadership</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Assist the CEO by serving as the connective tissue across the enterprise to help ensure alignment of priorities, resource allocation, and go-to-market execution.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Co-manage hiring decisions across the enterprise to ensure talent investments align with strategic priorities and budget discipline.</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10"/>
        <w:gridCol w:w="90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Lead legal and HR decisions at both the discrete (individual matter) and enterprise (policy and structure) levels.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Board &amp; Investor Support</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Partner with the CEO, CFO, General Counsel, and IR on board materials, earnings scripts, and periodic filings—translating operational performance into compelling investor narratives.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Provide visibility into the business through enterprise dashboards and reporting frameworks, such as the OneHealthStream Scorecard, that give the board and leadership team a clear line of sight into operational health.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Support capital deployment decisions, including M&amp;A evaluation, minority investment oversight, and strategic partnerships, stock repurchases, and 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4"/>
        </w:rPr>
      </w:pPr>
      <w:r>
        <w:rPr>
          <w:rFonts w:ascii="Times New Roman" w:hAnsi="Times New Roman"/>
          <w:b/>
          <w:caps w:val="false"/>
          <w:smallCaps w:val="false"/>
          <w:sz w:val="24"/>
        </w:rPr>
        <w:t>Corporate Development</w:t>
      </w:r>
    </w:p>
    <w:tbl>
      <w:tblPr>
        <w:tblW w:w="6940" w:type="dxa"/>
        <w:jc w:val="left"/>
        <w:tblInd w:w="0" w:type="dxa"/>
        <w:tblLayout w:type="fixed"/>
        <w:tblCellMar>
          <w:top w:w="0" w:type="dxa"/>
          <w:left w:w="0" w:type="dxa"/>
          <w:bottom w:w="0" w:type="dxa"/>
          <w:right w:w="0" w:type="dxa"/>
        </w:tblCellMar>
      </w:tblPr>
      <w:tblGrid>
        <w:gridCol w:w="60"/>
        <w:gridCol w:w="110"/>
        <w:gridCol w:w="677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Continue to lead the Company’s M&amp;A program and minority investment programs.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a rigorous understanding of the competitive landscape—monitoring market entrants, adjacencies, and technology shifts that affect the Company’s positioning.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Leverage competitive intelligence to inform operational priorities, product investment recommendations, and partnership strategy.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Scope of the Role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80"/>
        <w:gridCol w:w="8225"/>
      </w:tblGrid>
      <w:tr>
        <w:trPr/>
        <w:tc>
          <w:tcPr>
            <w:tcW w:w="1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 Reports</w:t>
            </w:r>
          </w:p>
        </w:tc>
        <w:tc>
          <w:tcPr>
            <w:tcW w:w="82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VPs of WDS Operations, Credentialing &amp; Scheduling Operations, Customer Success, Customer Support, Business Enablement, Legal, HR, Partnerships, Corporate Development</w:t>
            </w:r>
          </w:p>
        </w:tc>
      </w:tr>
      <w:tr>
        <w:trPr/>
        <w:tc>
          <w:tcPr>
            <w:tcW w:w="1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Employees Under Management</w:t>
            </w:r>
          </w:p>
        </w:tc>
        <w:tc>
          <w:tcPr>
            <w:tcW w:w="82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320 FTEs across operations, support, and shared services; approximately one-third of the Company’s total employee base</w:t>
            </w:r>
          </w:p>
        </w:tc>
      </w:tr>
      <w:tr>
        <w:trPr/>
        <w:tc>
          <w:tcPr>
            <w:tcW w:w="1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Internal Partners</w:t>
            </w:r>
          </w:p>
        </w:tc>
        <w:tc>
          <w:tcPr>
            <w:tcW w:w="82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CEO, EVPs, and SVPs</w:t>
            </w:r>
          </w:p>
        </w:tc>
      </w:tr>
      <w:tr>
        <w:trPr/>
        <w:tc>
          <w:tcPr>
            <w:tcW w:w="1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Key External Relationships</w:t>
            </w:r>
          </w:p>
        </w:tc>
        <w:tc>
          <w:tcPr>
            <w:tcW w:w="822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of Directors, investors, strategic partners, M&amp;A targets, minority investment companies, key vendors,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u w:val="single"/>
        </w:rPr>
      </w:pPr>
      <w:r>
        <w:rPr>
          <w:rFonts w:ascii="Times New Roman" w:hAnsi="Times New Roman"/>
          <w:b/>
          <w:caps w:val="false"/>
          <w:smallCaps w:val="false"/>
          <w:sz w:val="24"/>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TRADE SECRET AND PROPRIETARY INFORMATION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consideration of my continuing employment as Chief Operating Officer by HealthStream, Inc. and/or any of its corporate parents, subsidiaries, divisions, or affiliates, or the successors or assigns of any of the foregoing (hereinafter referred to as the "Company") on the terms set forth in the offer of employment to which this document is an Annex, I hereby agree as follows:</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60"/>
        <w:gridCol w:w="170"/>
        <w:gridCol w:w="1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685"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Trade Secret and Proprietary Information</w:t>
      </w:r>
      <w:r>
        <w:rPr>
          <w:rFonts w:ascii="Times New Roman" w:hAnsi="Times New Roman"/>
          <w:caps w:val="false"/>
          <w:smallCaps w:val="false"/>
          <w:sz w:val="20"/>
        </w:rPr>
        <w:t>. I understand and acknowledge that, during the course of my employment arrangement with the Company and as a result of my having executed this Trade Secret and Proprietary Information Agreement, I will be granted access to valuable information relating to the Company’s business that provides the Company with a competitive advantage, which is not generally known by, nor easily learned or determined by, persons outside the Company (collectively "Trade Secret and Proprietary Information"). The term Trade Secret and Proprietary Information shall include, but shall not be limited to: (a) specifications, manuals, software in various stages of development; (b) customer and prospect lists, and details of agreements and communications with customers and prospects; (c) sales plans and projections, product pricing information, acquisition, expansion, marketing, financial and other business information and existing and future products and business plans of the Company; (d) sales proposals, demonstrations systems, sales material; (e) research and development; (f) computer programs; (g) sources of supply; (h) identity of specialized consultants and contractors and Trade Secret and Proprietary Information developed by them for the Company; (i) purchasing, operating and other cost data; (j) special customer needs, cost and pricing data; (k) patient information, including without limitation Protected Health Information as defined in 45 C.F.R. 164.501 and (l) employee information (including, but not limited to, personnel, payroll, compensation and benefit data and plans), including all such information recorded in manuals, memoranda, projections, reports, minutes, plans, drawings, sketches, designs, formula books, data, specifications, software programs and records, whether or not legended or otherwise identified by the Company as Trade Secret and Proprietary Information, as well as such information that is the subject of meetings and discussions and not recorded. Trade Secret and Proprietary Information shall not include such information that I can demonstrate (i) is generally available to the public (other than as a result of a disclosure by me), (ii) was disclosed to me by a third party under no obligation to keep such information confidential or (iii) was known by me prior to, and not as a result of, my employment or anticipated employment with the Company; provided, however, that, notwithstanding the preceding sentence, all information set forth in subsections (k) and (l) above shall always be treated as Trade Secret and Proprietary Information, and shall not be deemed in the public domain or nonconfidential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Duty of Confidentiality</w:t>
      </w:r>
      <w:r>
        <w:rPr>
          <w:rFonts w:ascii="Times New Roman" w:hAnsi="Times New Roman"/>
          <w:caps w:val="false"/>
          <w:smallCaps w:val="false"/>
          <w:sz w:val="20"/>
        </w:rPr>
        <w:t>. I agree at all times, both during and after my employment with the Company, to hold all of the Company’s Trade Secret and Proprietary Information in a fiduciary capacity for the benefit of the Company and to safeguard all such Trade Secret and Proprietary Information. I also agree that I will not directly or indirectly disclose or use any such Trade Secret and Proprietary Information to any third person or entity outside the Company, except as may be necessary in the good faith performance of my duties for the Company. I further agree that, in addition to enforcing this restriction, the Company may have other rights and remedies under the common law or applicable statutory laws relating to the protection of trade secrets. Notwithstanding anything in this Agreement to the contrary, I understand that I may disclose the Company’s Trade Secret and Proprietary Information to the extent required by applicable laws or governmental regulations or judicial or regulatory process, provided that I give the Company prompt notice of any and all such requests for disclosure so that it has ample opportunity to take all necessary or desired action, to avoid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Unfair Competition</w:t>
      </w:r>
      <w:r>
        <w:rPr>
          <w:rFonts w:ascii="Times New Roman" w:hAnsi="Times New Roman"/>
          <w:caps w:val="false"/>
          <w:smallCaps w:val="false"/>
          <w:sz w:val="20"/>
        </w:rPr>
        <w:t>. I acknowledge that the Company has a compelling business interest in preventing unfair competition stemming from the intentional or inadvertent use or disclosure of the Company’s Trade Secret and Proprietary Information and Company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Intellectual Property and Inventions</w:t>
      </w:r>
      <w:r>
        <w:rPr>
          <w:rFonts w:ascii="Times New Roman" w:hAnsi="Times New Roman"/>
          <w:caps w:val="false"/>
          <w:smallCaps w:val="false"/>
          <w:sz w:val="20"/>
        </w:rPr>
        <w:t>. I acknowledge that all developments and other intellectual property, including, without limitation, the creation of new products, conferences, training/seminars, publications, programs, methods of organizing information, inventions, discoveries, concepts, ideas, improvements, patents, trademarks, trade names, copyrights, trade secrets, designs, works, reports, computer software, flow charts, diagrams, procedures, data, documentation, and writings and any other intellectual property (collectively referred to as “Developments”) that I, alone or jointly with others, may discover, conceive, create, make, develop, reduce to practice, or acquire at any time during or in connection with my employment with the Company are the sole and exclusive property of the Company. I hereby assign to the Company all rights, titles, and interests in and to all such Developments, and all intellectual property related thereto. I agree to disclose to the Company promptly and fully all future Developments and, at any time upon request and at the expense of the Company, to execute, acknowledge, and deliver to the Company all instruments that the Company shall prepare, to give evidence, and to take any and all other actions that are necessary or desirable in the reasonable opinion of the Company to enable the Company to file and prosecute applications for, and to acquire, maintain, and enforce, all letters patent, trademark registrations, or copyrights covering the Developments in all countries in which the same are deemed necessary by the Company. All data, memoranda, notes, lists, drawings, records, files, investor and client/customer lists, supplier lists, and other documentation (and all copies thereof) made or compiled by me or made available to me concerning the Developments or otherwise concerning the past, present, or planned business of the Company are the property of the Company, and will be delivered to the Company immediately upon the termination of my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Competitive Business.</w:t>
      </w:r>
      <w:r>
        <w:rPr>
          <w:rFonts w:ascii="Times New Roman" w:hAnsi="Times New Roman"/>
          <w:caps w:val="false"/>
          <w:smallCaps w:val="false"/>
          <w:sz w:val="20"/>
        </w:rPr>
        <w:t xml:space="preserve"> I acknowledge that a business engaged in the same or similar business as the Company shall be a Competitive Business. Thus, “Competitive Business” shall mean: (i) one that offers e-learning, clinical development, workforce development, talent management, workforce management, simulation, courseware, PaaS (platform as a service), benchmarking or related services or solutions to the healthcare industry; (ii) one that offers credentialing or privileging services to the healthcare industry; (iii) one that offers staff scheduling solutions to the healthcare industry; and (iv) any enterprise engaged in any other type of business in which the Company or one of its affiliates is also engaged, or plans to be engaged, so long as I am directly involved in such business or planned business on behalf of the Company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Non-Solicitation of Employees, Customers</w:t>
      </w:r>
      <w:r>
        <w:rPr>
          <w:rFonts w:ascii="Times New Roman" w:hAnsi="Times New Roman"/>
          <w:caps w:val="false"/>
          <w:smallCaps w:val="false"/>
          <w:sz w:val="20"/>
        </w:rPr>
        <w:t>. In order to protect the Company’s Trade Secret and Proprietary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(a) during my employment with the Company and for a period of one (1) year after the termination of such employment for any reason (the “Restricted Period”), I will not, without the express written permission of HealthStream, directly or indirectly solicit, induce, hire, engage, or attempt to hire or engage any employee or independent contractor of the Company, or in any other way interfere with the Company’s employment or contractual relations with any of its employees or independent contractors, nor will I solicit, induce, hire, engage or attempt to hire or engage any individual who was an employee of the Company at any time during the one year period immediately prior to the termination of my employment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(b) during the Restricted Period, I will not, without the express written permission of HealthStream, directly or indirectly contact, call upon or solicit, on behalf of a Competitive Business, any existing or prospective client, or customer of the Company who I serviced, or otherwise developed a relationship with, as a result of my employment with the Company, nor will I attempt to divert or take away from the Company the business of any such client or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Restrictions on Competitive Employment</w:t>
      </w:r>
      <w:r>
        <w:rPr>
          <w:rFonts w:ascii="Times New Roman" w:hAnsi="Times New Roman"/>
          <w:caps w:val="false"/>
          <w:smallCaps w:val="false"/>
          <w:sz w:val="20"/>
        </w:rPr>
        <w:t>. In order to protect the Company’s Trade Secret and Proprietary Information and the good will of the Company, during the Restricted Period, I will not (as principal, agent, employee, consultant, director or otherwise), anywhere in the United States and Canada, including but not limited to the states and locations in which I have been engaged in the business of the Company, directly or indirectly, without the prior written approval of the Company, engage in, or perform any services for, a Competitive Business. Notwithstanding the foregoing, I understand that I may have an interest consisting of publicly traded securities constituting less than 1 percent of any class of publicly traded securities in any public company engaged in a Competitive Business so long as I am not employed by and do not consult with, or become a director of or otherwise engage in any activities for, such company. The Restricted Period shall be extended by the length of any period during which I am in breach of the terms of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Injunctive Remedies</w:t>
      </w:r>
      <w:r>
        <w:rPr>
          <w:rFonts w:ascii="Times New Roman" w:hAnsi="Times New Roman"/>
          <w:caps w:val="false"/>
          <w:smallCaps w:val="false"/>
          <w:sz w:val="20"/>
        </w:rPr>
        <w:t>. I acknowledge and agree that the restrictions contained in this Agreement are reasonably necessary to protect the legitimate business interests of the Company, and that any violation of any of the restrictions will result in immediate and irreparable injury to the Company for which monetary damages will not be an adequate remedy. I further acknowledge and agree that if any such restriction is violated, the Company will be entitled to immediate relief enjoining such violation (including, without limitation, temporary and permanent injunctions, a decree for specific performance, and an equitable accounting of earnings, profits, and other benefits arising from such violation) in any court having jurisdiction over such claim, without the necessity of showing any actual damage or posting any bond or furnishing any other security, and that the specific enforcement of the provisions of this Agreement will not diminish my ability to earn a livelihood or create or impose upon me any undue hardship. I also agree that any request for such relief by the Company shall be in addition to, and without prejudice to, any claim for monetary damages that the Company may elect to assert.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Severability Provision</w:t>
      </w:r>
      <w:r>
        <w:rPr>
          <w:rFonts w:ascii="Times New Roman" w:hAnsi="Times New Roman"/>
          <w:caps w:val="false"/>
          <w:smallCaps w:val="false"/>
          <w:sz w:val="20"/>
        </w:rPr>
        <w:t>. I acknowledge and agree that the restrictions imposed upon me by the terms, conditions, and provisions of this Agreement are fair, reasonable, and reasonably required for the protection of the Company. In the event that any part of this Agreement is deemed invalid, illegal, or unenforceable, all other terms, conditions, and provisions of this Agreement shall nevertheless remain in full force and effect. In the event that the provisions of any of Sections 1, 2, 3 or 4 of this Agreement relating to the geographic area of restriction, the length of restriction or the scope of restriction shall be deemed to exceed the maximum area, length or scope that a court of competent jurisdiction would deem enforceable, said area, length or scope shall, for purposes of this Agreement, be deemed to be the maximum area, length of time or scope that such court would deem valid and enforceable, and that such court has the authority under this Agreement to rewrite (or “blue-pencil”) the restriction(s) at-issue to achieve this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Non-Waiver</w:t>
      </w:r>
      <w:r>
        <w:rPr>
          <w:rFonts w:ascii="Times New Roman" w:hAnsi="Times New Roman"/>
          <w:caps w:val="false"/>
          <w:smallCaps w:val="false"/>
          <w:sz w:val="20"/>
        </w:rPr>
        <w:t>. Any waiver by the Company of my breach of any term, condition, or provision of this Agreement shall not operate or be construed as a waiver of the Company’s rights upon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Waiver of Jury Trial.</w:t>
      </w:r>
      <w:r>
        <w:rPr>
          <w:rFonts w:ascii="Times New Roman" w:hAnsi="Times New Roman"/>
          <w:caps w:val="false"/>
          <w:smallCaps w:val="false"/>
          <w:sz w:val="20"/>
        </w:rPr>
        <w:t xml:space="preserve"> TO THE MAXIMUM EXTENT PERMITTED BY LAW, I HEREBY KNOWINGLY, VOLUNTARILY, AND INTENTIONALLY WAIVE THE RIGHT TO A TRIAL BY JURY IN CONNECTION WITH ANY LITIGATION ARISING OUT OF, UNDER, IN CONNECTION WITH, OR IN ANY WAY RELATED TO THIS AGREEMENT. THIS INCLUDES, WITHOUT LIMITATION, ANY LITIGATION CONCERNING ANY COURSE OF CONDUCT, COURSE OF DEALING, STATEMENT (WHETHER VERBAL OR WRITTEN), OR ACTION OF THE COMPANY OR ME, OR ANY EXERCISE BY THE COMPANY OR ME OF OUR RESPECTIVE RIGHTS UNDER THIS AGREEMENT OR IN ANY WAY RELATING TO THIS AGREEMENT. I FURTHER ACKNOWLEDGE THAT THIS WAIVER IS A MATERIAL INDUCEMENT FOR THE COMPANY TO ISSUE AND ACCEPT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Continuation of Employment.         </w:t>
      </w:r>
      <w:r>
        <w:rPr>
          <w:rFonts w:ascii="Times New Roman" w:hAnsi="Times New Roman"/>
          <w:caps w:val="false"/>
          <w:smallCaps w:val="false"/>
          <w:sz w:val="20"/>
        </w:rPr>
        <w:t xml:space="preserve"> This Agreement does not constitute a contract of employment or an implied promise to continue my employment or status with the Company; nor does this Agreement affect my rights or the rights of the Company to terminate my employment status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Governing Law</w:t>
      </w:r>
      <w:r>
        <w:rPr>
          <w:rFonts w:ascii="Times New Roman" w:hAnsi="Times New Roman"/>
          <w:caps w:val="false"/>
          <w:smallCaps w:val="false"/>
          <w:sz w:val="20"/>
        </w:rPr>
        <w:t>. This Agreement shall be construed in accordance with and governed for all purposes by the laws and public policy of Tennessee, without regard to principles of conflict of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Superseding Agreement</w:t>
      </w:r>
      <w:r>
        <w:rPr>
          <w:rFonts w:ascii="Times New Roman" w:hAnsi="Times New Roman"/>
          <w:caps w:val="false"/>
          <w:smallCaps w:val="false"/>
          <w:sz w:val="20"/>
        </w:rPr>
        <w:t>. This Trade Secret and Proprietary Information Agreement supersedes any and all previous agreements of the same or similar nature between you and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indicated by my signature below, I agree to abide and be bound by the terms and conditions of this Trade Secret and Proprietary Information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w:t>
      </w:r>
      <w:r>
        <w:rPr>
          <w:rFonts w:ascii="Times New Roman" w:hAnsi="Times New Roman"/>
          <w:b/>
          <w:caps w:val="false"/>
          <w:smallCaps w:val="false"/>
          <w:sz w:val="20"/>
        </w:rPr>
        <w:t>Date:</w:t>
      </w:r>
      <w:r>
        <w:rPr>
          <w:rFonts w:ascii="Times New Roman" w:hAnsi="Times New Roman"/>
          <w:caps w:val="false"/>
          <w:smallCaps w:val="false"/>
          <w:sz w:val="20"/>
        </w:rPr>
        <w:t>__/__/____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Michael Collier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1" w:name="ex_988722.htm"/>
      <w:bookmarkStart w:id="22" w:name="ksex_988722"/>
      <w:bookmarkEnd w:id="21"/>
      <w:bookmarkEnd w:id="22"/>
      <w:r>
        <w:rPr>
          <w:rFonts w:ascii="Times New Roman" w:hAnsi="Times New Roman"/>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SHARE UNIT AGREEMENT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(NON-EMPLOYEE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This RESTRICTED SHARE UNIT AGREEMENT (this “Agreement”) is made and entered into as of the 28th day of May, 2026 (the “Grant Date”), between HealthStream, Inc., a Tennessee corporation (together with its Subsidiaries and Affiliates, the “Company”), and [NAME] (the “Grantee”). Capitalized terms not otherwise defined herein shall have the meaning ascribed to such terms in the HealthStream, Inc. 2022 Omnibus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WHEREAS, the Company has adopted the Plan, which permits the issuance of Restricted Share Units;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Compensation Committee of the Board of Directors of the Company, including any subcommittees formed pursuant to Section 3.3 of the Plan, has determined that it would be to the advantage and best interest of the Company and its shareholders to grant an award of the Restricted Share Units provided for herein to the Grantee as an incentive for increased efforts during his or her term of service as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RESTRICTED SHARE UNIT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number of Restricted Share Units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 hereunder:                                                       [RSUs]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Grant Date:                                                               May 28,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rFonts w:ascii="Times New Roman" w:hAnsi="Times New Roman"/>
          <w:caps w:val="false"/>
          <w:smallCaps w:val="false"/>
          <w:sz w:val="20"/>
        </w:rPr>
      </w:pPr>
      <w:r>
        <w:rPr>
          <w:rFonts w:ascii="Times New Roman" w:hAnsi="Times New Roman"/>
          <w:caps w:val="false"/>
          <w:smallCaps w:val="false"/>
          <w:sz w:val="20"/>
        </w:rPr>
        <w:t>1.</w:t>
      </w:r>
      <w:r>
        <w:rPr>
          <w:rFonts w:ascii="Times New Roman" w:hAnsi="Times New Roman"/>
          <w:caps w:val="false"/>
          <w:smallCaps w:val="false"/>
          <w:sz w:val="20"/>
          <w:u w:val="single"/>
        </w:rPr>
        <w:t xml:space="preserve">    Grant of Restricted Share Unit Award.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 xml:space="preserve">1.2    The Grantee’s rights with respect to the Award shall remain forfeitable at all times prior to the dates on which the RSUs shall vest in accordance with </w:t>
      </w:r>
      <w:r>
        <w:rPr>
          <w:rFonts w:ascii="Times New Roman" w:hAnsi="Times New Roman"/>
          <w:caps w:val="false"/>
          <w:smallCaps w:val="false"/>
          <w:sz w:val="20"/>
          <w:u w:val="single"/>
        </w:rPr>
        <w:t>Section 2</w:t>
      </w:r>
      <w:r>
        <w:rPr>
          <w:rFonts w:ascii="Times New Roman" w:hAnsi="Times New Roman"/>
          <w:caps w:val="false"/>
          <w:smallCaps w:val="false"/>
          <w:sz w:val="20"/>
        </w:rPr>
        <w:t xml:space="preserve"> hereof. This Award may not be assigned, alienated, pledged, attached, sold or otherwise transferred or encumbered by Grantee other than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0"/>
        <w:jc w:val="left"/>
        <w:rPr>
          <w:rFonts w:ascii="Times New Roman" w:hAnsi="Times New Roman"/>
          <w:caps w:val="false"/>
          <w:smallCaps w:val="false"/>
          <w:sz w:val="20"/>
        </w:rPr>
      </w:pPr>
      <w:r>
        <w:rPr>
          <w:rFonts w:ascii="Times New Roman" w:hAnsi="Times New Roman"/>
          <w:caps w:val="false"/>
          <w:smallCaps w:val="false"/>
          <w:sz w:val="20"/>
        </w:rPr>
        <w:t>2.</w:t>
      </w:r>
      <w:r>
        <w:rPr>
          <w:rFonts w:ascii="Times New Roman" w:hAnsi="Times New Roman"/>
          <w:caps w:val="false"/>
          <w:smallCaps w:val="false"/>
          <w:sz w:val="20"/>
          <w:u w:val="single"/>
        </w:rPr>
        <w:t>    Vesting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2.1</w:t>
      </w:r>
      <w:r>
        <w:rPr>
          <w:rFonts w:ascii="Times New Roman" w:hAnsi="Times New Roman"/>
          <w:caps w:val="false"/>
          <w:smallCaps w:val="false"/>
          <w:sz w:val="20"/>
          <w:u w:val="single"/>
        </w:rPr>
        <w:t>    Vesting</w:t>
      </w:r>
      <w:r>
        <w:rPr>
          <w:rFonts w:ascii="Times New Roman" w:hAnsi="Times New Roman"/>
          <w:caps w:val="false"/>
          <w:smallCaps w:val="false"/>
          <w:sz w:val="20"/>
        </w:rPr>
        <w:t xml:space="preserve">. Except as provided in </w:t>
      </w:r>
      <w:r>
        <w:rPr>
          <w:rFonts w:ascii="Times New Roman" w:hAnsi="Times New Roman"/>
          <w:caps w:val="false"/>
          <w:smallCaps w:val="false"/>
          <w:sz w:val="20"/>
          <w:u w:val="single"/>
        </w:rPr>
        <w:t>Section 2.2</w:t>
      </w:r>
      <w:r>
        <w:rPr>
          <w:rFonts w:ascii="Times New Roman" w:hAnsi="Times New Roman"/>
          <w:caps w:val="false"/>
          <w:smallCaps w:val="false"/>
          <w:sz w:val="20"/>
        </w:rPr>
        <w:t>, the RSUs subject to this Award shall vest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1/3 of the RSUs shall vest on the first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An additional 1/3 of the RSUs shall vest on the second anniversary of the Grant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The remaining 1/3 of the RSUs shall vest on the third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2.2</w:t>
      </w:r>
      <w:r>
        <w:rPr>
          <w:rFonts w:ascii="Times New Roman" w:hAnsi="Times New Roman"/>
          <w:caps w:val="false"/>
          <w:smallCaps w:val="false"/>
          <w:sz w:val="20"/>
          <w:u w:val="single"/>
        </w:rPr>
        <w:t>    Change in Control</w:t>
      </w:r>
      <w:r>
        <w:rPr>
          <w:rFonts w:ascii="Times New Roman" w:hAnsi="Times New Roman"/>
          <w:caps w:val="false"/>
          <w:smallCaps w:val="false"/>
          <w:sz w:val="20"/>
        </w:rPr>
        <w:t>. Notwithstanding the foregoing, upon the occurrence of a Change in Control, this Award shall become vested immediately prior to a Change in Control as to 100% of the RSUs (but only to the extent such Award has not otherwise terminated or become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2.3</w:t>
      </w:r>
      <w:r>
        <w:rPr>
          <w:rFonts w:ascii="Times New Roman" w:hAnsi="Times New Roman"/>
          <w:caps w:val="false"/>
          <w:smallCaps w:val="false"/>
          <w:sz w:val="20"/>
          <w:u w:val="single"/>
        </w:rPr>
        <w:t>    Settlement</w:t>
      </w:r>
      <w:r>
        <w:rPr>
          <w:rFonts w:ascii="Times New Roman" w:hAnsi="Times New Roman"/>
          <w:caps w:val="false"/>
          <w:smallCaps w:val="false"/>
          <w:sz w:val="20"/>
        </w:rPr>
        <w:t xml:space="preserve">. The Grantee shall be entitled to settlement of the RSUs subject to this Award at the time that such RSUs vest pursuant to </w:t>
      </w:r>
      <w:r>
        <w:rPr>
          <w:rFonts w:ascii="Times New Roman" w:hAnsi="Times New Roman"/>
          <w:caps w:val="false"/>
          <w:smallCaps w:val="false"/>
          <w:sz w:val="20"/>
          <w:u w:val="single"/>
        </w:rPr>
        <w:t>Section 2.1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2.2</w:t>
      </w:r>
      <w:r>
        <w:rPr>
          <w:rFonts w:ascii="Times New Roman" w:hAnsi="Times New Roman"/>
          <w:caps w:val="false"/>
          <w:smallCaps w:val="false"/>
          <w:sz w:val="20"/>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provided, however, that if the Grantee shall have elected to defer payment of any RSUs that become vested to such later date as may be permitted by the Company in accordance with policies and procedures approved by the Company in compliance with Section 409A of the Code, the settlement of such vested RSUs shall instead occur on such later date.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otherwise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2.4</w:t>
      </w:r>
      <w:r>
        <w:rPr>
          <w:rFonts w:ascii="Times New Roman" w:hAnsi="Times New Roman"/>
          <w:caps w:val="false"/>
          <w:smallCaps w:val="false"/>
          <w:sz w:val="20"/>
          <w:u w:val="single"/>
        </w:rPr>
        <w:t>    Termination</w:t>
      </w:r>
      <w:r>
        <w:rPr>
          <w:rFonts w:ascii="Times New Roman" w:hAnsi="Times New Roman"/>
          <w:caps w:val="false"/>
          <w:smallCaps w:val="false"/>
          <w:sz w:val="20"/>
        </w:rPr>
        <w:t>. Except as otherwise provided by the Committee, this Award shall not become vested as to any RSUs that have not vested as of the time of the Grantee’s termination of service with the Company for any reason, and Grantee shall forfeit any unvested RSUs as of the date of such 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3.</w:t>
      </w:r>
      <w:r>
        <w:rPr>
          <w:rFonts w:ascii="Times New Roman" w:hAnsi="Times New Roman"/>
          <w:caps w:val="false"/>
          <w:smallCaps w:val="false"/>
          <w:sz w:val="20"/>
          <w:u w:val="single"/>
        </w:rPr>
        <w:t>    No Right to Continued Service</w:t>
      </w:r>
      <w:r>
        <w:rPr>
          <w:rFonts w:ascii="Times New Roman" w:hAnsi="Times New Roman"/>
          <w:caps w:val="false"/>
          <w:smallCaps w:val="false"/>
          <w:sz w:val="20"/>
        </w:rPr>
        <w:t>. Nothing in this Agreement or the Plan shall be interpreted or construed to confer upon the Grantee any right to continue service as a member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4.</w:t>
      </w:r>
      <w:r>
        <w:rPr>
          <w:rFonts w:ascii="Times New Roman" w:hAnsi="Times New Roman"/>
          <w:caps w:val="false"/>
          <w:smallCaps w:val="false"/>
          <w:sz w:val="20"/>
          <w:u w:val="single"/>
        </w:rPr>
        <w:t>    Adjustments</w:t>
      </w:r>
      <w:r>
        <w:rPr>
          <w:rFonts w:ascii="Times New Roman" w:hAnsi="Times New Roman"/>
          <w:caps w:val="false"/>
          <w:smallCaps w:val="false"/>
          <w:sz w:val="20"/>
        </w:rPr>
        <w:t xml:space="preserve">. The provisions of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14.3</w:t>
      </w:r>
      <w:r>
        <w:rPr>
          <w:rFonts w:ascii="Times New Roman" w:hAnsi="Times New Roman"/>
          <w:caps w:val="false"/>
          <w:smallCaps w:val="false"/>
          <w:sz w:val="20"/>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5.</w:t>
      </w:r>
      <w:r>
        <w:rPr>
          <w:rFonts w:ascii="Times New Roman" w:hAnsi="Times New Roman"/>
          <w:caps w:val="false"/>
          <w:smallCaps w:val="false"/>
          <w:sz w:val="20"/>
          <w:u w:val="single"/>
        </w:rPr>
        <w:t>    Administration Subject to the Plan</w:t>
      </w:r>
      <w:r>
        <w:rPr>
          <w:rFonts w:ascii="Times New Roman" w:hAnsi="Times New Roman"/>
          <w:caps w:val="false"/>
          <w:smallCaps w:val="false"/>
          <w:sz w:val="20"/>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6.</w:t>
      </w:r>
      <w:r>
        <w:rPr>
          <w:rFonts w:ascii="Times New Roman" w:hAnsi="Times New Roman"/>
          <w:caps w:val="false"/>
          <w:smallCaps w:val="false"/>
          <w:sz w:val="20"/>
          <w:u w:val="single"/>
        </w:rPr>
        <w:t>    Modification of Agreement</w:t>
      </w:r>
      <w:r>
        <w:rPr>
          <w:rFonts w:ascii="Times New Roman" w:hAnsi="Times New Roman"/>
          <w:caps w:val="false"/>
          <w:smallCaps w:val="false"/>
          <w:sz w:val="20"/>
        </w:rPr>
        <w: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7.</w:t>
      </w:r>
      <w:r>
        <w:rPr>
          <w:rFonts w:ascii="Times New Roman" w:hAnsi="Times New Roman"/>
          <w:caps w:val="false"/>
          <w:smallCaps w:val="false"/>
          <w:sz w:val="20"/>
          <w:u w:val="single"/>
        </w:rPr>
        <w:t>    Section 409A</w:t>
      </w:r>
      <w:r>
        <w:rPr>
          <w:rFonts w:ascii="Times New Roman" w:hAnsi="Times New Roman"/>
          <w:caps w:val="false"/>
          <w:smallCaps w:val="false"/>
          <w:sz w:val="20"/>
        </w:rPr>
        <w:t>. The Grantee shall be responsible for all taxes due in connection with the grant or vesting or any payment or transfer with respect to the RSUs and Shares (and cash, if applicable) payable hereunder.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 (i) no RSU payable upon the Grantee’s termination of service shall be issued, unless Grantee’s termination of service constitutes a “separation from service” within the meaning of Section 1.409A-1(h) of the Treasury Regulations and (ii) if at the time of a Grantee’s termination of service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Grantee’s termination of service with the Company (or the earliest date as is permitted under Section 409A of the Code), if such payment or benefit is payable upon a termination of service.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8.</w:t>
      </w:r>
      <w:r>
        <w:rPr>
          <w:rFonts w:ascii="Times New Roman" w:hAnsi="Times New Roman"/>
          <w:caps w:val="false"/>
          <w:smallCaps w:val="false"/>
          <w:sz w:val="20"/>
          <w:u w:val="single"/>
        </w:rPr>
        <w:t>    Severability</w:t>
      </w:r>
      <w:r>
        <w:rPr>
          <w:rFonts w:ascii="Times New Roman" w:hAnsi="Times New Roman"/>
          <w:caps w:val="false"/>
          <w:smallCaps w:val="false"/>
          <w:sz w:val="20"/>
        </w:rPr>
        <w:t>. 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9.</w:t>
      </w:r>
      <w:r>
        <w:rPr>
          <w:rFonts w:ascii="Times New Roman" w:hAnsi="Times New Roman"/>
          <w:caps w:val="false"/>
          <w:smallCaps w:val="false"/>
          <w:sz w:val="20"/>
          <w:u w:val="single"/>
        </w:rPr>
        <w:t>    Governing Law</w:t>
      </w:r>
      <w:r>
        <w:rPr>
          <w:rFonts w:ascii="Times New Roman" w:hAnsi="Times New Roman"/>
          <w:caps w:val="false"/>
          <w:smallCaps w:val="false"/>
          <w:sz w:val="20"/>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10.</w:t>
      </w:r>
      <w:r>
        <w:rPr>
          <w:rFonts w:ascii="Times New Roman" w:hAnsi="Times New Roman"/>
          <w:caps w:val="false"/>
          <w:smallCaps w:val="false"/>
          <w:sz w:val="20"/>
          <w:u w:val="single"/>
        </w:rPr>
        <w:t>    Successors in Interest</w:t>
      </w:r>
      <w:r>
        <w:rPr>
          <w:rFonts w:ascii="Times New Roman" w:hAnsi="Times New Roman"/>
          <w:caps w:val="false"/>
          <w:smallCaps w:val="false"/>
          <w:sz w:val="20"/>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11.</w:t>
      </w:r>
      <w:r>
        <w:rPr>
          <w:rFonts w:ascii="Times New Roman" w:hAnsi="Times New Roman"/>
          <w:caps w:val="false"/>
          <w:smallCaps w:val="false"/>
          <w:sz w:val="20"/>
          <w:u w:val="single"/>
        </w:rPr>
        <w:t>    Resolution of Disputes</w:t>
      </w:r>
      <w:r>
        <w:rPr>
          <w:rFonts w:ascii="Times New Roman" w:hAnsi="Times New Roman"/>
          <w:caps w:val="false"/>
          <w:smallCaps w:val="false"/>
          <w:sz w:val="20"/>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12.</w:t>
      </w:r>
      <w:r>
        <w:rPr>
          <w:rFonts w:ascii="Times New Roman" w:hAnsi="Times New Roman"/>
          <w:caps w:val="false"/>
          <w:smallCaps w:val="false"/>
          <w:sz w:val="20"/>
          <w:u w:val="single"/>
        </w:rPr>
        <w:t>    Notices</w:t>
      </w:r>
      <w:r>
        <w:rPr>
          <w:rFonts w:ascii="Times New Roman" w:hAnsi="Times New Roman"/>
          <w:caps w:val="false"/>
          <w:smallCaps w:val="false"/>
          <w:sz w:val="20"/>
        </w:rPr>
        <w:t>. All notices required to be given under this Award shall be deemed to be received if delivered or mailed as provided for herein to the parties at the following addresses, or to such other address as either party may provide in writing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i/>
          <w:caps w:val="false"/>
          <w:smallCaps w:val="false"/>
          <w:sz w:val="20"/>
        </w:rPr>
        <w:t>To the Company</w:t>
      </w:r>
      <w:r>
        <w:rPr>
          <w:rFonts w:ascii="Times New Roman" w:hAnsi="Times New Roman"/>
          <w:caps w:val="false"/>
          <w:smallCaps w:val="false"/>
          <w:sz w:val="20"/>
        </w:rPr>
        <w:t>:                  HealthStream, Inc.</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500 11th Avenue North, Suite 850</w:t>
      </w:r>
    </w:p>
    <w:p>
      <w:pPr>
        <w:pStyle w:val="TextBody"/>
        <w:bidi w:val="0"/>
        <w:spacing w:before="0" w:after="0"/>
        <w:ind w:left="0" w:right="0" w:firstLine="900"/>
        <w:jc w:val="both"/>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2880"/>
        <w:jc w:val="both"/>
        <w:rPr>
          <w:rFonts w:ascii="Times New Roman" w:hAnsi="Times New Roman"/>
          <w:caps w:val="false"/>
          <w:smallCaps w:val="false"/>
          <w:sz w:val="20"/>
        </w:rPr>
      </w:pPr>
      <w:r>
        <w:rPr>
          <w:rFonts w:ascii="Times New Roman" w:hAnsi="Times New Roman"/>
          <w:i/>
          <w:caps w:val="false"/>
          <w:smallCaps w:val="false"/>
          <w:sz w:val="20"/>
        </w:rPr>
        <w:t>To the Grantee</w:t>
      </w:r>
      <w:r>
        <w:rPr>
          <w:rFonts w:ascii="Times New Roman" w:hAnsi="Times New Roman"/>
          <w:caps w:val="false"/>
          <w:smallCaps w:val="false"/>
          <w:sz w:val="20"/>
        </w:rPr>
        <w:t>:         The address then maintained with respect to the Grantee in the Company’s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caused this Restricted Share Unit Agreement to be duly executed effective as of the day and year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2880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288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p>
      <w:pPr>
        <w:pStyle w:val="TextBody"/>
        <w:bidi w:val="0"/>
        <w:spacing w:before="0" w:after="0"/>
        <w:ind w:left="432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b/>
          <w:caps w:val="false"/>
          <w:smallCaps w:val="false"/>
          <w:sz w:val="20"/>
        </w:rPr>
        <w:t>GRANTEE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u w:val="single"/>
        </w:rPr>
      </w:pPr>
      <w:r>
        <w:rPr>
          <w:rFonts w:ascii="Times New Roman" w:hAnsi="Times New Roman"/>
          <w:caps w:val="false"/>
          <w:smallCaps w:val="false"/>
          <w:sz w:val="20"/>
          <w:u w:val="single"/>
        </w:rPr>
        <w:t>________________________________</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17039358.2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3" w:name="ex_983863.htm"/>
      <w:bookmarkStart w:id="24" w:name="ksex_983863"/>
      <w:bookmarkEnd w:id="23"/>
      <w:bookmarkEnd w:id="24"/>
      <w:r>
        <w:rPr>
          <w:rFonts w:ascii="Times New Roman" w:hAnsi="Times New Roman"/>
          <w:b/>
          <w:caps w:val="false"/>
          <w:smallCaps w:val="false"/>
          <w:sz w:val="20"/>
        </w:rPr>
        <w:t>Exhibit 10.3</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NON-QUALIFIED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This NON-QUALIFIED STOCK OPTION AGREEMENT (this “Agreement”) is made and entered into as of the grant date set forth below (the “Grant Date”), between HealthStream, Inc., a Tennessee corporation (together with its Subsidiaries and Affiliates, the “Company”), and {Name} (the “Grantee”). Capitalized terms not otherwise defined herein shall have the meaning ascribed to such terms in the HealthStream, Inc. 2022 Omnibus Incentive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WHEREAS, the Company has adopted the Plan, which permits the grant of Non-Qualified Stock Options;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WHEREAS, the Compensation Committee of the Board of Directors of the Company (the “Committee”), has determined that it would be to the advantage and best interest of the Company and its shareholders to grant a Non-Qualified Stock Option provided for herein to the Grantee as an incentive for increased efforts during his or her term of service or employment with the Company or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NON-QUALIFIED STOCK OPTION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number of Shares Subject to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 per Share: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 Date: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Section 1          </w:t>
      </w:r>
      <w:r>
        <w:rPr>
          <w:rFonts w:ascii="Times New Roman" w:hAnsi="Times New Roman"/>
          <w:caps w:val="false"/>
          <w:smallCaps w:val="false"/>
          <w:sz w:val="20"/>
          <w:u w:val="single"/>
        </w:rPr>
        <w:t xml:space="preserve">Option.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Grant</w:t>
      </w:r>
      <w:r>
        <w:rPr>
          <w:rFonts w:ascii="Times New Roman" w:hAnsi="Times New Roman"/>
          <w:caps w:val="false"/>
          <w:smallCaps w:val="false"/>
          <w:sz w:val="20"/>
        </w:rPr>
        <w:t>. The Company hereby grants to the Grantee the option (the “Option”), exercisable in whole or in part, to purchase the number of Shares set forth above (the “Option Shares”), for an exercise price per Share (the “Exercise Price”) in the amount set forth above, on the terms and conditions set forth herein and subject to all provisions of the Plan. This Option is granted as a Non-Qualified Stock Option under the Plan, and is not intended to qualify as an incentive stock option, as that term is used in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6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Transfer</w:t>
      </w:r>
      <w:r>
        <w:rPr>
          <w:rFonts w:ascii="Times New Roman" w:hAnsi="Times New Roman"/>
          <w:caps w:val="false"/>
          <w:smallCaps w:val="false"/>
          <w:sz w:val="20"/>
        </w:rPr>
        <w:t>. This Option may not be assigned, alienated, pledged, attached, sold or otherwise transferred or encumbered by Grantee other than by will or the laws of descent and distribution.</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Section 2         </w:t>
      </w:r>
      <w:r>
        <w:rPr>
          <w:rFonts w:ascii="Times New Roman" w:hAnsi="Times New Roman"/>
          <w:caps w:val="false"/>
          <w:smallCaps w:val="false"/>
          <w:sz w:val="20"/>
          <w:u w:val="single"/>
        </w:rPr>
        <w:t>Vesting and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Vesting</w:t>
      </w:r>
      <w:r>
        <w:rPr>
          <w:rFonts w:ascii="Times New Roman" w:hAnsi="Times New Roman"/>
          <w:caps w:val="false"/>
          <w:smallCaps w:val="false"/>
          <w:sz w:val="20"/>
        </w:rPr>
        <w:t xml:space="preserve">. Except as otherwise provided in </w:t>
      </w:r>
      <w:r>
        <w:rPr>
          <w:rFonts w:ascii="Times New Roman" w:hAnsi="Times New Roman"/>
          <w:caps w:val="false"/>
          <w:smallCaps w:val="false"/>
          <w:sz w:val="20"/>
          <w:u w:val="single"/>
        </w:rPr>
        <w:t>Section 2(b)</w:t>
      </w:r>
      <w:r>
        <w:rPr>
          <w:rFonts w:ascii="Times New Roman" w:hAnsi="Times New Roman"/>
          <w:caps w:val="false"/>
          <w:smallCaps w:val="false"/>
          <w:sz w:val="20"/>
        </w:rPr>
        <w:t xml:space="preserve"> below, the Option shall vest and become exercisable as follows (and will thereafter be exercisable until its expiration or termination in accordance with </w:t>
      </w:r>
      <w:r>
        <w:rPr>
          <w:rFonts w:ascii="Times New Roman" w:hAnsi="Times New Roman"/>
          <w:caps w:val="false"/>
          <w:smallCaps w:val="false"/>
          <w:sz w:val="20"/>
          <w:u w:val="single"/>
        </w:rPr>
        <w:t>Section 4</w:t>
      </w:r>
      <w:r>
        <w:rPr>
          <w:rFonts w:ascii="Times New Roman" w:hAnsi="Times New Roman"/>
          <w:caps w:val="false"/>
          <w:smallCaps w:val="false"/>
          <w:sz w:val="20"/>
        </w:rPr>
        <w:t xml:space="preserv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         15% of the Option Shares shall vest and become exercisable on the first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         An additional 20% of the Option Shares shall vest and become exercisable on the second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(iii)         An additional 20% of the Option Shares shall vest and become exercisable on the third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(iv)         An additional 20% of the Option Shares shall vest and become exercisable on the fourth anniversary of the Grant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(v)          The remaining 25% of the Option Shares shall vest and become exercisable on the fifth anniversary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Change in Control</w:t>
      </w:r>
      <w:r>
        <w:rPr>
          <w:rFonts w:ascii="Times New Roman" w:hAnsi="Times New Roman"/>
          <w:caps w:val="false"/>
          <w:smallCaps w:val="false"/>
          <w:sz w:val="20"/>
        </w:rPr>
        <w:t>. Notwithstanding anything contained herein to the contrary, upon the occurrence of a Change in Control, this Option shall become vested immediately prior to such Change in Control as to 100% of the Option Shares (but only to the extent the Option has not otherwise terminated or become vested), and the terms of the Plan shall otherwise apply with respect to the terms of this Option in connection with such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3         </w:t>
      </w:r>
      <w:r>
        <w:rPr>
          <w:rFonts w:ascii="Times New Roman" w:hAnsi="Times New Roman"/>
          <w:caps w:val="false"/>
          <w:smallCaps w:val="false"/>
          <w:sz w:val="20"/>
          <w:u w:val="single"/>
        </w:rPr>
        <w:t>Exercise Procedures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Option Payment; Withholding</w:t>
      </w:r>
      <w:r>
        <w:rPr>
          <w:rFonts w:ascii="Times New Roman" w:hAnsi="Times New Roman"/>
          <w:caps w:val="false"/>
          <w:smallCaps w:val="false"/>
          <w:sz w:val="20"/>
        </w:rPr>
        <w:t>. The Option may be exercised in whole or in part at any time within the period permitted hereunder for the exercise of the Option, with respect to whole Option Shares only, by providing written notice of intent to exercise the Option delivered to the Company at its principal office (or such other means provided by the Company), stating the number of Option Shares to be purchased and such other information as may be requested by the Company. Such notice shall not be effective unless accompanied by payment of the Exercise Price for the number of Option Shares in respect of which the Option is then exercised (the “Option Payment”) in accordance with Section 6.4(d) of the Plan. The issuance of Option Shares upon exercise of the Option shall be subject to federal, state, local and/or foreign tax withholding in accordance with Section 14.6 of the Plan, and the Company shall have the right to require the Grantee to remit to the Company an amount necessary to satisfy any federal, state, local and/or foreign tax withholding requirements prior to the delivery of any issuance of any Option Shares for which this Option is exercised in accordance with Section 14.6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Rights as a Holder</w:t>
      </w:r>
      <w:r>
        <w:rPr>
          <w:rFonts w:ascii="Times New Roman" w:hAnsi="Times New Roman"/>
          <w:caps w:val="false"/>
          <w:smallCaps w:val="false"/>
          <w:sz w:val="20"/>
        </w:rPr>
        <w:t>. Grantee shall not be the holder of, or have any of the rights of a holder with respect to, any Option Shares in respect of which this Option is exercised until (a) the Option shall have been exercised in accordance with the terms of this Agreement and the Grantee shall have paid the full Option Payment for the number of Option Shares in respect of which the Option has been exercised and any withholding taxes due in connection with such exercise, and (b) the Company shall have issued the Option Shares to Grantee as evidenced by a “book entry” (i.e., a computerized or manual entry) in the records of the Company or its designated agent in the name of the Grantee, or such other means allowed by the Company. Upon the occurrence of the foregoing, Grantee shall have full voting and other ownership rights with respect to Option Shares for which the Option has been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4         </w:t>
      </w:r>
      <w:r>
        <w:rPr>
          <w:rFonts w:ascii="Times New Roman" w:hAnsi="Times New Roman"/>
          <w:caps w:val="false"/>
          <w:smallCaps w:val="false"/>
          <w:sz w:val="20"/>
          <w:u w:val="single"/>
        </w:rPr>
        <w:t>Expiration</w:t>
      </w:r>
      <w:r>
        <w:rPr>
          <w:rFonts w:ascii="Times New Roman" w:hAnsi="Times New Roman"/>
          <w:caps w:val="false"/>
          <w:smallCaps w:val="false"/>
          <w:sz w:val="20"/>
        </w:rPr>
        <w:t>. This Option, to the extent not previously exercised hereunder, will expire on the date that is 10 years following the Grant Date (the “Expiration Date”), unless earlier terminated as set forth below. Following the termination of Grantee’s employment by the Company, Grantee shall have no further rights with respect to this Option (or any right to exercise this Option), except as otherwise provided in this Section 4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Termination by Death</w:t>
      </w:r>
      <w:r>
        <w:rPr>
          <w:rFonts w:ascii="Times New Roman" w:hAnsi="Times New Roman"/>
          <w:caps w:val="false"/>
          <w:smallCaps w:val="false"/>
          <w:sz w:val="20"/>
        </w:rPr>
        <w:t>. If the Grantee’s employment by the Company terminates by reason of death, or if the Grantee dies within three (3) months after termination of such employment for any reason other than Cause, this Option may thereafter be exercised, to the extent the Option was exercisable at the time of such termination, by the legal representative of the estate or by the legatee of the Grantee under the will of the Grantee, for a period of one (1) year from the date of death or until the Expiration Date, whichever period is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Termination by Reason of Disability</w:t>
      </w:r>
      <w:r>
        <w:rPr>
          <w:rFonts w:ascii="Times New Roman" w:hAnsi="Times New Roman"/>
          <w:caps w:val="false"/>
          <w:smallCaps w:val="false"/>
          <w:sz w:val="20"/>
        </w:rPr>
        <w:t>. If the Grantee’s employment by the Company terminates by reason of Disability, this Option may thereafter be exercised, to the extent the Option was exercisable at the time of such termination, by the Grantee or personal representative or guardian of the Grantee, as applicable, for a period of one (1) year from the date of such termination of employment or until the Expiration Date, whichever period is the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Termination by Normal Retirement or Early Retirement</w:t>
      </w:r>
      <w:r>
        <w:rPr>
          <w:rFonts w:ascii="Times New Roman" w:hAnsi="Times New Roman"/>
          <w:caps w:val="false"/>
          <w:smallCaps w:val="false"/>
          <w:sz w:val="20"/>
        </w:rPr>
        <w:t>. If the Grantee’s employment by the Company terminates by reason of Normal Retirement or Early Retirement, this Option may thereafter be exercised by the Grantee, to the extent the Option was exercisable at the time of such termination, for a period of one year from the date of such termination of employment or until the Expiration Date, whichever period is the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Termination for Cause</w:t>
      </w:r>
      <w:r>
        <w:rPr>
          <w:rFonts w:ascii="Times New Roman" w:hAnsi="Times New Roman"/>
          <w:caps w:val="false"/>
          <w:smallCaps w:val="false"/>
          <w:sz w:val="20"/>
        </w:rPr>
        <w:t>. If the Grantee’s employment by the Company is terminated for Cause, this Option shall terminate immediately and become void and of no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Other Termination</w:t>
      </w:r>
      <w:r>
        <w:rPr>
          <w:rFonts w:ascii="Times New Roman" w:hAnsi="Times New Roman"/>
          <w:caps w:val="false"/>
          <w:smallCaps w:val="false"/>
          <w:sz w:val="20"/>
        </w:rPr>
        <w:t>. If the Grantee’s employment by the Company terminates for any reason other than for Cause, death, Disability, Normal Retirement or Early Retirement, this Option may be exercised, to the extent the Option was exercisable at the time of such termination, by the Grantee for a period of three (3) months from the date of such termination of employment or the Expiration Date, whichever period is the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5         </w:t>
      </w:r>
      <w:r>
        <w:rPr>
          <w:rFonts w:ascii="Times New Roman" w:hAnsi="Times New Roman"/>
          <w:caps w:val="false"/>
          <w:smallCaps w:val="false"/>
          <w:sz w:val="20"/>
          <w:u w:val="single"/>
        </w:rPr>
        <w:t>Adjustments</w:t>
      </w:r>
      <w:r>
        <w:rPr>
          <w:rFonts w:ascii="Times New Roman" w:hAnsi="Times New Roman"/>
          <w:caps w:val="false"/>
          <w:smallCaps w:val="false"/>
          <w:sz w:val="20"/>
        </w:rPr>
        <w:t xml:space="preserve">. The provisions of </w:t>
      </w:r>
      <w:r>
        <w:rPr>
          <w:rFonts w:ascii="Times New Roman" w:hAnsi="Times New Roman"/>
          <w:caps w:val="false"/>
          <w:smallCaps w:val="false"/>
          <w:sz w:val="20"/>
          <w:u w:val="single"/>
        </w:rPr>
        <w:t>Section 4.2</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13.3</w:t>
      </w:r>
      <w:r>
        <w:rPr>
          <w:rFonts w:ascii="Times New Roman" w:hAnsi="Times New Roman"/>
          <w:caps w:val="false"/>
          <w:smallCaps w:val="false"/>
          <w:sz w:val="20"/>
        </w:rPr>
        <w:t xml:space="preserve"> of the Plan are hereby incorporated by reference, and the Option (including the number of Option Shares subject to this Option and the exercise price per Option Share) are subject to such provisions. Any determination made by the Committee pursuant to such provisions shall be made in accordance with the provisions of the Plan and shall be final and binding for all purposes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6         </w:t>
      </w:r>
      <w:r>
        <w:rPr>
          <w:rFonts w:ascii="Times New Roman" w:hAnsi="Times New Roman"/>
          <w:caps w:val="false"/>
          <w:smallCaps w:val="false"/>
          <w:sz w:val="20"/>
          <w:u w:val="single"/>
        </w:rPr>
        <w:t>Administration Subject to the Plan</w:t>
      </w:r>
      <w:r>
        <w:rPr>
          <w:rFonts w:ascii="Times New Roman" w:hAnsi="Times New Roman"/>
          <w:caps w:val="false"/>
          <w:smallCaps w:val="false"/>
          <w:sz w:val="20"/>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7         </w:t>
      </w:r>
      <w:r>
        <w:rPr>
          <w:rFonts w:ascii="Times New Roman" w:hAnsi="Times New Roman"/>
          <w:caps w:val="false"/>
          <w:smallCaps w:val="false"/>
          <w:sz w:val="20"/>
          <w:u w:val="single"/>
        </w:rPr>
        <w:t>Modification of Agreement</w:t>
      </w:r>
      <w:r>
        <w:rPr>
          <w:rFonts w:ascii="Times New Roman" w:hAnsi="Times New Roman"/>
          <w:caps w:val="false"/>
          <w:smallCaps w:val="false"/>
          <w:sz w:val="20"/>
        </w:rPr>
        <w:t>. Subject to the restrictions contained in the Plan and applicable law, the Committee may waive any conditions or rights under, amend any terms of, or alter, suspend, discontinue, cancel or terminate, the Option, prospectively or retroactively.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8         </w:t>
      </w:r>
      <w:r>
        <w:rPr>
          <w:rFonts w:ascii="Times New Roman" w:hAnsi="Times New Roman"/>
          <w:caps w:val="false"/>
          <w:smallCaps w:val="false"/>
          <w:sz w:val="20"/>
          <w:u w:val="single"/>
        </w:rPr>
        <w:t>No Right to Continued Employment</w:t>
      </w:r>
      <w:r>
        <w:rPr>
          <w:rFonts w:ascii="Times New Roman" w:hAnsi="Times New Roman"/>
          <w:caps w:val="false"/>
          <w:smallCaps w:val="false"/>
          <w:sz w:val="20"/>
        </w:rPr>
        <w:t>. The grant of the Option shall not be construed as giving the Grantee the right to be retained in the service of the Company, and the Company may at any time dismiss the Grantee from service, free from any liability or any claim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9         </w:t>
      </w:r>
      <w:r>
        <w:rPr>
          <w:rFonts w:ascii="Times New Roman" w:hAnsi="Times New Roman"/>
          <w:caps w:val="false"/>
          <w:smallCaps w:val="false"/>
          <w:sz w:val="20"/>
          <w:u w:val="single"/>
        </w:rPr>
        <w:t>Severability</w:t>
      </w:r>
      <w:r>
        <w:rPr>
          <w:rFonts w:ascii="Times New Roman" w:hAnsi="Times New Roman"/>
          <w:caps w:val="false"/>
          <w:smallCaps w:val="false"/>
          <w:sz w:val="20"/>
        </w:rPr>
        <w:t>.         If any provision of this Agreement is, or becomes, or is deemed to be invalid, illegal, or unenforceable in any jurisdiction or as to any Person or the Option, or would disqualify the Plan or Option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Option, such provision shall be stricken as to such jurisdiction, Person or Option, and the remainder of the Plan and Option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10         </w:t>
      </w:r>
      <w:r>
        <w:rPr>
          <w:rFonts w:ascii="Times New Roman" w:hAnsi="Times New Roman"/>
          <w:caps w:val="false"/>
          <w:smallCaps w:val="false"/>
          <w:sz w:val="20"/>
          <w:u w:val="single"/>
        </w:rPr>
        <w:t>Governing Law</w:t>
      </w:r>
      <w:r>
        <w:rPr>
          <w:rFonts w:ascii="Times New Roman" w:hAnsi="Times New Roman"/>
          <w:caps w:val="false"/>
          <w:smallCaps w:val="false"/>
          <w:sz w:val="20"/>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11         </w:t>
      </w:r>
      <w:r>
        <w:rPr>
          <w:rFonts w:ascii="Times New Roman" w:hAnsi="Times New Roman"/>
          <w:caps w:val="false"/>
          <w:smallCaps w:val="false"/>
          <w:sz w:val="20"/>
          <w:u w:val="single"/>
        </w:rPr>
        <w:t>Successors in Interest</w:t>
      </w:r>
      <w:r>
        <w:rPr>
          <w:rFonts w:ascii="Times New Roman" w:hAnsi="Times New Roman"/>
          <w:caps w:val="false"/>
          <w:smallCaps w:val="false"/>
          <w:sz w:val="20"/>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12         </w:t>
      </w:r>
      <w:r>
        <w:rPr>
          <w:rFonts w:ascii="Times New Roman" w:hAnsi="Times New Roman"/>
          <w:caps w:val="false"/>
          <w:smallCaps w:val="false"/>
          <w:sz w:val="20"/>
          <w:u w:val="single"/>
        </w:rPr>
        <w:t>Resolution of Disputes</w:t>
      </w:r>
      <w:r>
        <w:rPr>
          <w:rFonts w:ascii="Times New Roman" w:hAnsi="Times New Roman"/>
          <w:caps w:val="false"/>
          <w:smallCaps w:val="false"/>
          <w:sz w:val="20"/>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13         </w:t>
      </w:r>
      <w:r>
        <w:rPr>
          <w:rFonts w:ascii="Times New Roman" w:hAnsi="Times New Roman"/>
          <w:caps w:val="false"/>
          <w:smallCaps w:val="false"/>
          <w:sz w:val="20"/>
          <w:u w:val="single"/>
        </w:rPr>
        <w:t>Notices</w:t>
      </w:r>
      <w:r>
        <w:rPr>
          <w:rFonts w:ascii="Times New Roman" w:hAnsi="Times New Roman"/>
          <w:caps w:val="false"/>
          <w:smallCaps w:val="false"/>
          <w:sz w:val="20"/>
        </w:rPr>
        <w:t>. All notices required to be given under this Option shall be deemed to be received if delivered or mailed as provided for herein to the parties at the following addresses, or to such other address as either party may provide in writing from time to time.</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To the Company</w:t>
      </w:r>
      <w:r>
        <w:rPr>
          <w:rFonts w:ascii="Times New Roman" w:hAnsi="Times New Roman"/>
          <w:caps w:val="false"/>
          <w:smallCaps w:val="false"/>
          <w:sz w:val="20"/>
        </w:rPr>
        <w:t>:                  HealthStream, Inc.</w:t>
      </w:r>
    </w:p>
    <w:p>
      <w:pPr>
        <w:pStyle w:val="TextBody"/>
        <w:bidi w:val="0"/>
        <w:spacing w:lineRule="auto" w:line="288"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500 11th Avenue North, Suite 850</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Nashville TN 37203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To the Grantee</w:t>
      </w:r>
      <w:r>
        <w:rPr>
          <w:rFonts w:ascii="Times New Roman" w:hAnsi="Times New Roman"/>
          <w:caps w:val="false"/>
          <w:smallCaps w:val="false"/>
          <w:sz w:val="20"/>
        </w:rPr>
        <w:t>:                  The address then maintained with respect to the Grantee in the Company’s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parties have caused this Agreement to be duly executed effective as of the day and year first above written.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2880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28800" cy="5619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and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GRANTEE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 Non-Qualified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5" w:name="ex_967159.htm"/>
      <w:bookmarkStart w:id="26" w:name="ksex_967159"/>
      <w:bookmarkEnd w:id="25"/>
      <w:bookmarkEnd w:id="26"/>
      <w:r>
        <w:rPr>
          <w:rFonts w:ascii="Times New Roman" w:hAnsi="Times New Roman"/>
          <w:caps w:val="false"/>
          <w:smallCaps w:val="false"/>
          <w:sz w:val="20"/>
        </w:rPr>
        <w:t>EXHIBIT 31.1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A. Frist, Jr.,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28" w:type="dxa"/>
          <w:right w:w="0" w:type="dxa"/>
        </w:tblCellMar>
      </w:tblPr>
      <w:tblGrid>
        <w:gridCol w:w="1745"/>
        <w:gridCol w:w="60"/>
        <w:gridCol w:w="1985"/>
      </w:tblGrid>
      <w:tr>
        <w:trPr/>
        <w:tc>
          <w:tcPr>
            <w:tcW w:w="174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bottom w:val="single" w:sz="2" w:space="0" w:color="000000"/>
            </w:tcBorders>
            <w:vAlign w:val="center"/>
          </w:tcPr>
          <w:p>
            <w:pPr>
              <w:pStyle w:val="TableContents"/>
              <w:bidi w:val="0"/>
              <w:spacing w:before="0" w:after="283"/>
              <w:jc w:val="both"/>
              <w:rPr/>
            </w:pPr>
            <w:r>
              <w:rPr/>
              <w:t> </w:t>
            </w:r>
          </w:p>
        </w:tc>
        <w:tc>
          <w:tcPr>
            <w:tcW w:w="198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7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7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985"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7" w:name="ex_967160.htm"/>
      <w:bookmarkStart w:id="28" w:name="ksex_967160"/>
      <w:bookmarkEnd w:id="27"/>
      <w:bookmarkEnd w:id="28"/>
      <w:r>
        <w:rPr>
          <w:rFonts w:ascii="Times New Roman" w:hAnsi="Times New Roman"/>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Scott A. Roberts,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HealthStream,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28" w:type="dxa"/>
          <w:right w:w="0" w:type="dxa"/>
        </w:tblCellMar>
      </w:tblPr>
      <w:tblGrid>
        <w:gridCol w:w="1745"/>
        <w:gridCol w:w="60"/>
        <w:gridCol w:w="1880"/>
      </w:tblGrid>
      <w:tr>
        <w:trPr/>
        <w:tc>
          <w:tcPr>
            <w:tcW w:w="1745"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6, 2026</w:t>
            </w:r>
          </w:p>
        </w:tc>
        <w:tc>
          <w:tcPr>
            <w:tcW w:w="60" w:type="dxa"/>
            <w:tcBorders>
              <w:bottom w:val="single" w:sz="2" w:space="0" w:color="000000"/>
            </w:tcBorders>
            <w:vAlign w:val="center"/>
          </w:tcPr>
          <w:p>
            <w:pPr>
              <w:pStyle w:val="TableContents"/>
              <w:bidi w:val="0"/>
              <w:spacing w:before="0" w:after="283"/>
              <w:jc w:val="both"/>
              <w:rPr/>
            </w:pPr>
            <w:r>
              <w:rPr/>
              <w:t> </w:t>
            </w:r>
          </w:p>
        </w:tc>
        <w:tc>
          <w:tcPr>
            <w:tcW w:w="188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7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74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1880" w:type="dxa"/>
            <w:tcBorders/>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29" w:name="ex_967161.htm"/>
      <w:bookmarkStart w:id="30" w:name="ksex_967161"/>
      <w:bookmarkEnd w:id="29"/>
      <w:bookmarkEnd w:id="30"/>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31" w:name="led176023F2021891631222411188"/>
      <w:bookmarkEnd w:id="31"/>
      <w:r>
        <w:rPr>
          <w:rFonts w:ascii="Times New Roman" w:hAnsi="Times New Roman"/>
          <w:caps w:val="false"/>
          <w:smallCaps w:val="false"/>
          <w:sz w:val="20"/>
        </w:rPr>
        <w:t>June 30, 2026, as filed with the Securities and Exchange Commission on the date hereof (the “Report”), Robert A. Frist, Jr., Chief Executive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985" w:type="dxa"/>
        <w:jc w:val="left"/>
        <w:tblInd w:w="0" w:type="dxa"/>
        <w:tblLayout w:type="fixed"/>
        <w:tblCellMar>
          <w:top w:w="0" w:type="dxa"/>
          <w:left w:w="0" w:type="dxa"/>
          <w:bottom w:w="28" w:type="dxa"/>
          <w:right w:w="0" w:type="dxa"/>
        </w:tblCellMar>
      </w:tblPr>
      <w:tblGrid>
        <w:gridCol w:w="19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A. Frist, Jr.</w:t>
            </w:r>
          </w:p>
        </w:tc>
      </w:tr>
      <w:tr>
        <w:trPr/>
        <w:tc>
          <w:tcPr>
            <w:tcW w:w="198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1985" w:type="dxa"/>
            <w:tcBorders/>
            <w:tcMar>
              <w:bottom w:w="0" w:type="dxa"/>
            </w:tcMar>
            <w:vAlign w:val="center"/>
          </w:tcPr>
          <w:p>
            <w:pPr>
              <w:pStyle w:val="TableContents"/>
              <w:bidi w:val="0"/>
              <w:spacing w:before="0" w:after="283"/>
              <w:jc w:val="left"/>
              <w:rPr/>
            </w:pPr>
            <w:r>
              <w:rPr/>
              <w:t>August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caps w:val="false"/>
          <w:smallCaps w:val="false"/>
          <w:sz w:val="20"/>
        </w:rPr>
      </w:pPr>
      <w:bookmarkStart w:id="32" w:name="ex_967162.htm"/>
      <w:bookmarkStart w:id="33" w:name="ksex_967162"/>
      <w:bookmarkEnd w:id="32"/>
      <w:bookmarkEnd w:id="33"/>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connection with the Quarterly Report of HealthStream, Inc. (the “Company”) on Form 10-Q for the period ending </w:t>
      </w:r>
      <w:bookmarkStart w:id="34" w:name="led176021F2022271646689229750"/>
      <w:bookmarkEnd w:id="34"/>
      <w:r>
        <w:rPr>
          <w:rFonts w:ascii="Times New Roman" w:hAnsi="Times New Roman"/>
          <w:caps w:val="false"/>
          <w:smallCaps w:val="false"/>
          <w:sz w:val="20"/>
        </w:rPr>
        <w:t>June 30, 2026, as filed with the Securities and Exchange Commission on the date hereof (the “Report”), Scott A. Roberts, Chief Financial Officer of the Company, certifies,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80" w:type="dxa"/>
        <w:jc w:val="left"/>
        <w:tblInd w:w="0" w:type="dxa"/>
        <w:tblLayout w:type="fixed"/>
        <w:tblCellMar>
          <w:top w:w="0" w:type="dxa"/>
          <w:left w:w="0" w:type="dxa"/>
          <w:bottom w:w="28" w:type="dxa"/>
          <w:right w:w="0" w:type="dxa"/>
        </w:tblCellMar>
      </w:tblPr>
      <w:tblGrid>
        <w:gridCol w:w="1880"/>
      </w:tblGrid>
      <w:tr>
        <w:trPr/>
        <w:tc>
          <w:tcPr>
            <w:tcW w:w="188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smallCaps/>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Scott A. Roberts</w:t>
            </w:r>
          </w:p>
        </w:tc>
      </w:tr>
      <w:tr>
        <w:trPr/>
        <w:tc>
          <w:tcPr>
            <w:tcW w:w="18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tcMar>
              <w:bottom w:w="0" w:type="dxa"/>
            </w:tcMar>
            <w:vAlign w:val="center"/>
          </w:tcPr>
          <w:p>
            <w:pPr>
              <w:pStyle w:val="TableContents"/>
              <w:bidi w:val="0"/>
              <w:spacing w:before="0" w:after="283"/>
              <w:jc w:val="left"/>
              <w:rPr/>
            </w:pPr>
            <w:r>
              <w:rPr/>
              <w:t>August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24700</Words>
  <Characters>134630</Characters>
  <CharactersWithSpaces>161635</CharactersWithSpaces>
  <Paragraphs>5147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