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2022</w:t>
      </w:r>
    </w:p>
    <w:p>
      <w:pPr>
        <w:spacing w:after="0" w:line="225" w:lineRule="exact"/>
        <w:rPr>
          <w:sz w:val="24"/>
          <w:szCs w:val="24"/>
          <w:color w:val="auto"/>
        </w:rPr>
      </w:pPr>
    </w:p>
    <w:p>
      <w:pPr>
        <w:ind w:left="4380" w:right="4060" w:hanging="4372"/>
        <w:spacing w:after="0" w:line="547" w:lineRule="auto"/>
        <w:tabs>
          <w:tab w:leader="none" w:pos="3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000-27701</w:t>
      </w: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7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89"/>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00" w:type="dxa"/>
            <w:vAlign w:val="bottom"/>
            <w:gridSpan w:val="6"/>
          </w:tcPr>
          <w:p>
            <w:pPr>
              <w:jc w:val="center"/>
              <w:ind w:left="650"/>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8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6"/>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7"/>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90"/>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25, 2022, there were 30,391,600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Arial" w:cs="Arial" w:eastAsia="Arial" w:hAnsi="Arial"/>
                <w:sz w:val="18"/>
                <w:szCs w:val="18"/>
                <w:b w:val="1"/>
                <w:bCs w:val="1"/>
                <w:color w:val="auto"/>
                <w:w w:val="94"/>
              </w:rPr>
              <w:t>Index to Form 10</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9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March 31, 2022 and December 31, 2021</w:t>
              </w:r>
            </w:hyperlink>
          </w:p>
        </w:tc>
        <w:tc>
          <w:tcPr>
            <w:tcW w:w="23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2022 and 2021</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(Unaudited) – Three Months ended March 31, 2022 and 2021</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50"/>
        </w:trPr>
        <w:tc>
          <w:tcPr>
            <w:tcW w:w="940" w:type="dxa"/>
            <w:vAlign w:val="bottom"/>
          </w:tcPr>
          <w:p>
            <w:pPr>
              <w:spacing w:after="0"/>
              <w:rPr>
                <w:sz w:val="21"/>
                <w:szCs w:val="21"/>
                <w:color w:val="auto"/>
              </w:rPr>
            </w:pPr>
          </w:p>
        </w:tc>
        <w:tc>
          <w:tcPr>
            <w:tcW w:w="87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Shareholders' Equity (Unaudited) – Three Months ended March 31, 2022 and 2021</w:t>
              </w:r>
            </w:hyperlink>
          </w:p>
        </w:tc>
        <w:tc>
          <w:tcPr>
            <w:tcW w:w="28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2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2022 and 2021</w:t>
              </w:r>
            </w:hyperlink>
          </w:p>
        </w:tc>
        <w:tc>
          <w:tcPr>
            <w:tcW w:w="110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Part II.</w:t>
            </w:r>
          </w:p>
        </w:tc>
        <w:tc>
          <w:tcPr>
            <w:tcW w:w="1320" w:type="dxa"/>
            <w:vAlign w:val="bottom"/>
            <w:gridSpan w:val="5"/>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Other Information</w:t>
              </w:r>
            </w:hyperlink>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43,370</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46,905</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5,041</w:t>
            </w: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Accounts receivable, net of allowance for doubtful accounts of $541 and $853 at March 31, 2022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2021,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30,308</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 unbilled</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4,612</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royalties, net of amortization</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9,155</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Other prepaid expenses and other 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106,845</w:t>
            </w:r>
          </w:p>
        </w:tc>
      </w:t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Property and equipment, net of accumulated depreciation of $19,270 and $17,999 at March 31, 2022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17,950</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8"/>
              </w:rPr>
              <w:t>Capitalized software development, net of accumulated amortization of $90,537 and $86,097 at March 31, 2022 and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December 31, 2021, respectively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32,412</w:t>
            </w:r>
          </w:p>
        </w:tc>
      </w:tr>
      <w:tr>
        <w:trPr>
          <w:trHeight w:val="20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25,168</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182,785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182,501</w:t>
            </w: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Customer-related intangibles, net of accumulated amortization of $47,847 and $45,615 at March 31, 2022 and December</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31, 2021,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68,803</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4"/>
              </w:rPr>
              <w:t>Other intangible assets, net of accumulated amortization of $18,140 and $16,752 at March 31, 2022 and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2021, respectively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20,402</w:t>
            </w:r>
          </w:p>
        </w:tc>
      </w:tr>
      <w:tr>
        <w:trPr>
          <w:trHeight w:val="205"/>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commissions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24,012</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Non-marketable equity investments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483,926</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486,753</w:t>
            </w:r>
          </w:p>
        </w:tc>
      </w:tr>
      <w:tr>
        <w:trPr>
          <w:trHeight w:val="183"/>
        </w:trPr>
        <w:tc>
          <w:tcPr>
            <w:tcW w:w="8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17,770</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21,497</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Accrued royalties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5,037</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114,562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100,350</w:t>
            </w: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18,146</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Operating lease liability, noncurrent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26,178</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Other long term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1,477</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Common stock, no par value, 75,000 shares authorized; 30,518 and 31,327 shares issued and outstanding at March</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31, 2022 and December 31, 2021,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270,791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68,122</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322,572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339,019</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486,753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9,525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9,183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9,723</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60,168</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loss, net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3,213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0.09</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Weighted average shares of common stock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30,955</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30,976</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31,526</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rPr>
              <w:t>HEALTHSTREAM, INC.</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4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(In thousands)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18"/>
                <w:szCs w:val="18"/>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marketable securities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9"/>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other comprehensive income</w:t>
            </w:r>
          </w:p>
        </w:tc>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tcPr>
          <w:p>
            <w:pPr>
              <w:spacing w:after="0"/>
              <w:rPr>
                <w:sz w:val="18"/>
                <w:szCs w:val="18"/>
                <w:color w:val="auto"/>
              </w:rPr>
            </w:pPr>
          </w:p>
        </w:tc>
      </w:tr>
      <w:tr>
        <w:trPr>
          <w:trHeight w:val="249"/>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240" w:type="dxa"/>
            <w:vAlign w:val="bottom"/>
            <w:gridSpan w:val="10"/>
          </w:tcPr>
          <w:p>
            <w:pPr>
              <w:jc w:val="center"/>
              <w:ind w:left="350"/>
              <w:spacing w:after="0"/>
              <w:rPr>
                <w:sz w:val="20"/>
                <w:szCs w:val="20"/>
                <w:color w:val="auto"/>
              </w:rPr>
            </w:pPr>
            <w:r>
              <w:rPr>
                <w:rFonts w:ascii="Arial" w:cs="Arial" w:eastAsia="Arial" w:hAnsi="Arial"/>
                <w:sz w:val="18"/>
                <w:szCs w:val="18"/>
                <w:b w:val="1"/>
                <w:bCs w:val="1"/>
                <w:color w:val="auto"/>
                <w:w w:val="99"/>
              </w:rPr>
              <w:t>CONDENSED CONSOLIDATED STATEMENTS OF SHAREHOLDERS' EQUITY (UNAUDITED)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 March 31, 2022</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Income</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68,122</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339,019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2,893</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(19,889)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71,015</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322,572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 March 31,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Income</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62,277</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334,062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2,291</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31,553</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64,569</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336,805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2,893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9,153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non-marketable equity investments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Non-cash paid time off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and unbilled receivables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royalties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commissions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(3,602)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(5,339)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19,104</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(5,205)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acquire non-marketable equity investments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(6,305)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(5,326)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(9,660)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(19,726)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cash dividends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2022 are not necessarily indicative of the results that may be expected for the year ending December 31, 2022.</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2021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2021 (included in the Company's Annual Report on Form 10-K, filed with the Securities and Exchange Commission on February 28,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Financial Accounting Standards Board issued Accounting Standards Update ("ASU") 2021-08</w:t>
      </w:r>
      <w:r>
        <w:rPr>
          <w:rFonts w:ascii="Arial" w:cs="Arial" w:eastAsia="Arial" w:hAnsi="Arial"/>
          <w:sz w:val="17"/>
          <w:szCs w:val="17"/>
          <w:i w:val="1"/>
          <w:iCs w:val="1"/>
          <w:color w:val="auto"/>
        </w:rPr>
        <w:t>, Business Combinations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Contract Assets and Contract Liabilities from Contracts with Customers. </w:t>
      </w:r>
      <w:r>
        <w:rPr>
          <w:rFonts w:ascii="Arial" w:cs="Arial" w:eastAsia="Arial" w:hAnsi="Arial"/>
          <w:sz w:val="17"/>
          <w:szCs w:val="17"/>
          <w:color w:val="auto"/>
        </w:rPr>
        <w:t>The new guidance requires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a business combination to be recognized and measured by the acquirer on the acquisition date in accordance with Accounting Standards Codification ("ASC") 606</w:t>
      </w:r>
      <w:r>
        <w:rPr>
          <w:rFonts w:ascii="Arial" w:cs="Arial" w:eastAsia="Arial" w:hAnsi="Arial"/>
          <w:sz w:val="17"/>
          <w:szCs w:val="17"/>
          <w:i w:val="1"/>
          <w:iCs w:val="1"/>
          <w:color w:val="auto"/>
        </w:rPr>
        <w:t>, Revenue from Contracts with Customers</w:t>
      </w:r>
      <w:r>
        <w:rPr>
          <w:rFonts w:ascii="Arial" w:cs="Arial" w:eastAsia="Arial" w:hAnsi="Arial"/>
          <w:sz w:val="17"/>
          <w:szCs w:val="17"/>
          <w:color w:val="auto"/>
        </w:rPr>
        <w:t>, as if it had originated the contracts. This approach differs from the current requirement to measure contract assets and contract liabilities acquired in a business combination at fair value. The standard will be effective for the first interim period within annual reporting periods beginning after December 15, 2022 and early adoption is permitted. The Company early adopted this ASU on January 1, 2022, and the adoption impact of the new standard will depend on the magnitude of future acquisitions. The standard will not impact contract assets or liabilities from business combinations that occurred prior to the adoption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225"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760"/>
              <w:spacing w:after="0"/>
              <w:rPr>
                <w:sz w:val="20"/>
                <w:szCs w:val="20"/>
                <w:color w:val="auto"/>
              </w:rPr>
            </w:pPr>
            <w:r>
              <w:rPr>
                <w:rFonts w:ascii="Arial" w:cs="Arial" w:eastAsia="Arial" w:hAnsi="Arial"/>
                <w:sz w:val="18"/>
                <w:szCs w:val="18"/>
                <w:b w:val="1"/>
                <w:bCs w:val="1"/>
                <w:color w:val="auto"/>
              </w:rPr>
              <w:t>Three Months Ended March 31, 2022</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Workforce</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Provider</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Solutions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62,075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3,292</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 net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65,367</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760"/>
              <w:spacing w:after="0"/>
              <w:rPr>
                <w:sz w:val="20"/>
                <w:szCs w:val="20"/>
                <w:color w:val="auto"/>
              </w:rPr>
            </w:pPr>
            <w:r>
              <w:rPr>
                <w:rFonts w:ascii="Arial" w:cs="Arial" w:eastAsia="Arial" w:hAnsi="Arial"/>
                <w:sz w:val="18"/>
                <w:szCs w:val="18"/>
                <w:b w:val="1"/>
                <w:bCs w:val="1"/>
                <w:color w:val="auto"/>
              </w:rPr>
              <w:t>Three Months Ended March 31, 2021</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Workforce</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Provider</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Solutions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60,367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1,477</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 net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63,468</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41"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41"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the Company recognized $6,000 and $0.1 million in impairment losses on receivables and contract assets arising from the Company’s contracts with customers, respectively.</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March 31, 2022 and 2021, we recognized revenues of approximately $34.6 million and $33.6 million, respectively, from amounts included in deferred revenue at the beginning of the respective periods. As of March 31, 2022, approximately $444 million of revenue is expected to be recognized from remaining performance obligations under contracts with customers. We expect to recognize revenue related to approximately 44% of these remaining performance obligations over the next 12 months, with the remaining amounts recognized thereafter.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$2.5 million and $2.1 million for the three months ended March 31, 2022 and 2021, respectively, which is included in sales and marketing expenses in the accompanying Condensed Consolidated Statements of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computes its interim period provision for income taxes by applying the estimated annual effective tax rate to year-to-date pretax income or loss and adjusts the provision for discrete tax items recorded in the period. During both the three months ended March 31, 2022 and 2021, the Company recorded a provision for income taxes of approximately $0.9 million. The Company’s effective tax rate was 23% and 29% for the three months ended March 31, 2022 and 2021,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three months ended March 31, 2022, the Company recorded discrete tax expense of $0.1 million, which consisted primarily of tax deficiencies associated with stock-based awards. During the three months ended March 31, 2021, the Company recorded discrete tax expense a $0.1 million related primarily to a permanent difference related to purchase accounting adjustments and the impact of a state tax rate change enacted during the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stock awards outstanding under its 2016 Omnibus Incentive Plan. The Company accounts for its stock-based compensation plan using the fair-value based method for costs related to share-based payments, including restricted share units (“RSUs”) and stock options. During the three months ended March 31, 2022, the Company approved the grant of 135,352 RSUs subject to service-based time vesting, of which 35,161 of these RSUs were conditioned upon and subject to shareholder approval of our 2022 Omnibus Incentive Plan to be submitted to the Company's shareholders for approval at the annual meeting of the Company's shareholders to be held on May 26, 2022. Of these, the 100,191 RSUs that were not conditioned on shareholder approval of our 2022 Omnibus Incentive Plan were granted with a weighted average grant date fair value of $20.32 per share, measured based on the closing fair market value of the Company’s stock on the date of grant. Applicable accounting standards require that the 35,161 RSUs conditioned upon approval of our 2022 Omnibus Incentive Plan not be valued unless and until the condition is met (that is, at such time that the 2022 Omnibus Incentive Plan is approved by shareholders at the annual meeting of the Company’s shareholders on May 26, 2022). During the three months ended March 31, 2021, the Company issued 121,551 RSUs subject to service-based time vesting with a weighted average grant date fair value of $23.16 per share, measured based on the closing fair market value of the Company’s stock on the date of grant.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June 30, 2018, the Company granted 70,000 performance-based RSUs, the vesting of which occurs over a five-year period and is contingent upon continued service and achieving certain performance criteria established by the Compensation Committee on an annual basis in increments of 10%, 15%, 20%, 25%, and 30% based on performance in 2018, 2019, 2020, 2021, and 2022, respectively. The performance criteria for the final 21,000 of these performance-based RSUs is based on 2022 performance. The measurement date for these 21,000 performance-based RSUs was established during the three months ended March 31, 2022 with a grant date fair value of $20.32 per share, measured based on the closing fair market value of the Company's stock on the date the performance criteria was established.</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March 31, 2022, the Company approved the grant of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of which 17,224 performance-based RSUs were conditioned upon and subject to shareholder approval of our 2022 Omnibus Incentive Plan to be submitted to the Company’s shareholders for approval at the annual meeting of the Company’s shareholders on May 26, 2022. Of the total amount of performance-based RSUs approved by the Company, the performance criteria for 13,654 of these performance-based RSUs is based on 2022 performance. The measurement date for the 11,070 of these performance-based RSUs that are not conditioned on approval of the 2022 Omnibus Incentive Plan at the annual meeting of shareholders on May 26, 2022 was established during the three months ended March 31, 2022 with a grant date fair value of $20.32 per share, measured based on the closing fair market value of the Company's stock on the date the performance criteria was established. Applicable accounting standards require that the 17,224 performance-based RSUs conditioned upon approval of our 2022 Omnibus Incentive Plan (including 2,584 of these performance-based RSUs for which performance criteria will be based on 2022 performance) not be valued unless and until the condition is met (that is, at such time that the 2022 Omnibus Incentive Plan is approved by shareholders at the annual meeting of the Company’s shareholders on May 26, 2022). The performance criteria for the remaining 77,388 performance-based RSUs with performance not based on 2022 performance has not yet been determined and will be established on an annual basis in 2023, 2024, 2025, and 2026, as applicable; therefore, the measurement date for these remaining 77,388 performance-based RSUs cannot be determined until the performance criteria have been established.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Product development</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429</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 based compensation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 the Company's Board of Directors authorized a share repurchase program to repurchase up to $20.0 million of the Company's outstanding shares of common stock. This share repurchase program concluded on March 8, 2022,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three months ended March 31, 2022, the Company repurchased 649,739 shares pursuant to this share repurchase program at an aggregate fair value of $14.9 million, based on an average price per share of $22.92 (excluding the cost of broker commissions).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expansion program will terminate on the earlier of March 13, 2023, or when the maximum dollar amount has been expended. During the three months ended March 31, 2022, the Company repurchased 242,647 shares pursuant to this share repurchase program at an aggregate fair value of $5.0 million, based on an average price per share of $20.52 (excluding the cost of broker commissions).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218,000 and 148,000 for the three months ended March 31, 2022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2,893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30,955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31,504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shares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Weighted-average diluted shares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30,976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31,526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per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0.07</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352"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52"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March 31, 2022,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Revenues, net:</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63,468</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(7,782)</w:t>
            </w:r>
          </w:p>
        </w:tc>
      </w:tr>
      <w:tr>
        <w:trPr>
          <w:trHeight w:val="210"/>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Segment assets *</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266,882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258,864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137,008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483,926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486,753</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20" w:hanging="212"/>
        <w:spacing w:after="0" w:line="273"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2022, the Company was in compliance with all covenants. There were no balances outstanding on the Revolving Credit Facility as of or during the three months ended March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Special Cautionary Notice Regarding Forward</w:t>
      </w:r>
      <w:r>
        <w:rPr>
          <w:rFonts w:ascii="MS PGothic" w:cs="MS PGothic" w:eastAsia="MS PGothic" w:hAnsi="MS PGothic"/>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2021, appearing in our Annual Report on Form 10-K that was filed with the Securities and Exchange Commission (“SEC”) on February 28, 2022 (the “2021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2021 Form 10-K and other disclosures in our 2021 Form 10-K, earnings releases and other filings with the SEC from time to time, as well as other cautionary statements contained elsewhere in this report, including our critical accounting policies and estimates as discussed in this report and our 2021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HealthStream provides primarily SaaS based applications for healthcare organizations—all designed to improve business and clinical outcomes by supporting the people who deliver patient care.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in the process of more completely unifying the Company under a single platform strategy that will serve as the foundation for the entire enterprise. By enabling our applications through a common technology platform known as hStream, we believe that stand-alone applications, which already provide a powerful value proposition, will begin to leverage each other to more efficiently and effectively empower our customers to manage their businesses and improve their outcomes. As we continue to achieve this goal of orienting multiple applications in relation to a single technology platform, distinctions between our current reporting segments of Workforce Solutions and Provider Solutions may become less applicable, or even obsolete, in terms of how we operate and report on the Company's business. At the current time, what we characterize and report on as Workforce Solutions products are used by healthcare organizations to meet a broad range of their clinical development, learning and performance, certification, scheduling, safety and compliance, and competency assessment needs. Provider Solutions products are used by healthcare organizations for provider credentialing, privileging, and enrollment needs. HealthStream’s primary customers include healthcare organizations and other participants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first quarter of 2022 are set forth in the bullets below.</w:t>
      </w:r>
    </w:p>
    <w:p>
      <w:pPr>
        <w:spacing w:after="0" w:line="22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$65.4 million in the first quarter of 2022, an increase of 3% from $63.5 million in the first quarter of 2021.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$4.0 million in the first quarter of 2022, up 22% from $3.3 million in the first quarter of 2021.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$2.9 million in the first quarter of 2022, up 26% from $2.3 million in the first quarter of 2021.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Earnings per share (“EPS”) of $0.09 per share (diluted) in the first quarter of 2022 compared to $0.07 per share (diluted) in the first quarter of 2021.</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$14.0 million in the first quarter of 2022, up 3% from $13.6 million in the first quarter of 2021.</w:t>
      </w:r>
    </w:p>
    <w:p>
      <w:pPr>
        <w:spacing w:after="0" w:line="103" w:lineRule="exact"/>
        <w:rPr>
          <w:sz w:val="20"/>
          <w:szCs w:val="20"/>
          <w:color w:val="auto"/>
        </w:rPr>
      </w:pPr>
    </w:p>
    <w:p>
      <w:pPr>
        <w:ind w:left="220" w:hanging="212"/>
        <w:spacing w:after="0" w:line="198" w:lineRule="auto"/>
        <w:tabs>
          <w:tab w:leader="none" w:pos="2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COVID-19 pandemic persists and remains a cause of uncertainty and potential volatility, conditions related to the pandemic have generally improved in the United States in recent months, with the number of daily hospitalizations in the United States reaching a pandemic-era low during this period according to the Centers for Disease Control and Prevention. In general, this means that the healthcare organizations we serve are no longer under the immediate threat of having their operations overrun by an overwhelming influx of COVID patients. As the inflow of COVID patients with respect to healthcare organizations has become more manageable, certain areas of our business, such as our compliance and learning solutions, have begun to return to and, in some cases, even eclipse pre-pandemic norms. However, other parts of our business have continued to be negatively impacted by the lingering as well as the after-effects of the pandemic. One of the more pronounced after-effects for our healthcare customers involves staffing challenges such as burnout and labor shortages. The pressures associated with these challenges continue to result in delayed sales for certain of our products, particularly those that are more elective in nature. Ultimately, we believe that our product offerings are well-positioned to help our healthcare customers successfully manage issues associated with onboarding, training, developing, engaging, and retaining employees—nurses in particular—and we remain dedicated to helping our customers overcome both the direct and indirect challenges associated with the pandemic.</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height of the pandemic, including in 2021, we experienced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We believe that the delay in bookings from the height of the pandemic negatively impacted our revenue growth in the first quarter of 2022, and will continue to negatively impact our revenue, at least through the second quarter of 2022 and potentially throughout the remainder of the year. However, we also experienced increased bookings in the first quarter of 2022, which we believe will begin to benefit revenue that we will recognize in the latter half of 2022.</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closely monitor developments related to the pandemic that may have an adverse impact on our operational and financial performance and we remain prepared to the best of our ability to adjust to such developments as they may arise. We also continue to take actions focused on the safety and well-being of our employees, assisting our customers in this time of need, and mitigating operational and financial impacts to our business.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that some of the uncertainties and impact that are currently being experienced in the United States on a macro-level and in healthcare more specifically may be both directly and indirectly related to the pandemic. For example, the U.S. economy has recently experienced various disruptions, including inflationary pressures, significant disruptions to global supply networks, and challenging labor market conditions. In this regard, we have recently experienced, and believe that some of our customers have experienced, increased labor, supply chain, capital, and other expenditures associated with current inflationary pressures. These conditions impacting the U.S. economy and our customers in the healthcare industry may adversely impact our business and results of operations. However, as discussed above, we also believe that our product offerings are well positioned to help customers mitigate some of the negative impacts otherwise associated with these challenges as we continue to fulfill our vision of improving healthcare by developing the people who provide care.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225" w:lineRule="exact"/>
        <w:rPr>
          <w:sz w:val="20"/>
          <w:szCs w:val="20"/>
          <w:color w:val="auto"/>
        </w:rPr>
      </w:pPr>
    </w:p>
    <w:p>
      <w:pPr>
        <w:jc w:val="both"/>
        <w:ind w:left="420" w:hanging="210"/>
        <w:spacing w:after="0" w:line="25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Revenues, net</w:t>
      </w:r>
      <w:r>
        <w:rPr>
          <w:rFonts w:ascii="Arial" w:cs="Arial" w:eastAsia="Arial" w:hAnsi="Arial"/>
          <w:sz w:val="18"/>
          <w:szCs w:val="18"/>
          <w:color w:val="auto"/>
        </w:rPr>
        <w:t>. Revenues, net, reflect income generated by the sales of goods and services related to our operations and, prior to the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2021-08 on January 1, 2022, reflects deferred revenue write-downs associated with fair value accounting for acquired businesses. Revenues, net, were $65.4 million for the three months ended March 31, 2022, compared to $63.5 million for the three months ended March 31, 2021. Management utilizes revenue in connection with managing our business and believes that this metric provides useful information to investors as a key indicator of the growth and success of our products.</w:t>
      </w:r>
    </w:p>
    <w:p>
      <w:pPr>
        <w:spacing w:after="0" w:line="187" w:lineRule="exact"/>
        <w:rPr>
          <w:rFonts w:ascii="Arial" w:cs="Arial" w:eastAsia="Arial" w:hAnsi="Arial"/>
          <w:sz w:val="18"/>
          <w:szCs w:val="18"/>
          <w:color w:val="auto"/>
        </w:rPr>
      </w:pPr>
    </w:p>
    <w:p>
      <w:pPr>
        <w:jc w:val="both"/>
        <w:ind w:left="420" w:hanging="210"/>
        <w:spacing w:after="0" w:line="25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Operating Income</w:t>
      </w:r>
      <w:r>
        <w:rPr>
          <w:rFonts w:ascii="Arial" w:cs="Arial" w:eastAsia="Arial" w:hAnsi="Arial"/>
          <w:sz w:val="18"/>
          <w:szCs w:val="18"/>
          <w:color w:val="auto"/>
        </w:rPr>
        <w:t>. Operating income represents the amount of profit realized from our operations and is calculated as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net and operating costs and expenses. Operating income was $4.0 million for the three months ended March 31, 2022, compared to $3.3 million for the three months ended March 31, 2021. Management utilizes operating income in connection with managing our business and believes that our operating income provides useful information to investors as a key indicator of profitability.</w:t>
      </w:r>
    </w:p>
    <w:p>
      <w:pPr>
        <w:spacing w:after="0" w:line="186" w:lineRule="exact"/>
        <w:rPr>
          <w:rFonts w:ascii="Arial" w:cs="Arial" w:eastAsia="Arial" w:hAnsi="Arial"/>
          <w:sz w:val="18"/>
          <w:szCs w:val="18"/>
          <w:color w:val="auto"/>
        </w:rPr>
      </w:pPr>
    </w:p>
    <w:p>
      <w:pPr>
        <w:jc w:val="both"/>
        <w:ind w:left="420" w:hanging="210"/>
        <w:spacing w:after="0" w:line="272"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Adjusted EBITDA, calculated as set forth below under “Reconciliation of Non-GAAP Financial Measures,” is utilized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 connection with managing our business and provides useful information to investors because adjusted EBITDA reflects net income adjusted for certain GAAP accounting, non-cash and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certain performance-based equity award grants are based on the achievement of adjusted EBITDA (as defined in applicable bonus and equity grant documentation) targets. Adjusted EBITDA was $14.0 million for the three months ended March 31, 2022, compared to $13.6 million for the three months ended March 31, 2021.</w:t>
      </w:r>
    </w:p>
    <w:p>
      <w:pPr>
        <w:spacing w:after="0" w:line="177" w:lineRule="exact"/>
        <w:rPr>
          <w:rFonts w:ascii="Arial" w:cs="Arial" w:eastAsia="Arial" w:hAnsi="Arial"/>
          <w:sz w:val="17"/>
          <w:szCs w:val="17"/>
          <w:color w:val="auto"/>
        </w:rPr>
      </w:pPr>
    </w:p>
    <w:p>
      <w:pPr>
        <w:jc w:val="both"/>
        <w:ind w:left="420" w:hanging="210"/>
        <w:spacing w:after="0" w:line="296"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emerging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that enables healthcare organizations and their respective workforces to easily connect to and gain value from the growing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March 31, 2022, we had approximately 5.13 million contracted subscriptions to hStream, compared to 4.34 million as of March 31, 2021.</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2021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2021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$1.9 million, or 3%, to $65.4 million for the three months ended March 31, 2022 from $63.5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3"/>
              </w:rPr>
              <w:t>Three Months Ended March 31,</w:t>
            </w: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52,039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51,247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13,328</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12,221</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65,367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63,468</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81%</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Revenues for Workforce Solutions increased $0.8 million, or 2%, to $52.0 million for the three months ended March 31, 2022, from $51.2 million for the three months ended March 31, 2021. The Workforce Solutions segment achieved this 2% growth while overcoming a $1.7 million decline from the legacy resuscitation business. Revenues from other solutions more than offset the decline in legacy resuscitation revenues.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Provider Solutions increased $1.1 million, or 9%, to $13.3 million for the three months ended March 31, 2022, from $12.2 million for the three months ended March 31, 2021. Revenue growth was primarily attributable to new subscription revenues.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$0.7 million, or 3%, to $22.0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from $22.7 million for the three months ended March 31, 2021. Cost of revenues as a percentage of revenues was 34% and 36% for the three months ended March 31, 2022 and 2021, respectively.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for Workforce Solutions decreased $1.0 million to $17.6 million for the three months ended March 31, 2022, compared to the prior year period and approximated 34% and 36% of revenues for Workforce Solutions for the three months ended March 31, 2022 and 2021, respectively. The decrease is primarily attributable to a lower royalties payable by us related to legacy resuscitation products, consistent with the reduction in these revenues. Cost of revenues for Provider Solutions increased $0.3 million to $4.4 million for the three months ended March 31, 2022, compared to the prior year period and approximated 33% of Provider Solutions revenues for both the three months ended March 31, 2022 and 2021. The increase in amount is primarily associated with an increase in personnel costs during the three months ended March 31, 2022.</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$0.9 million, or 9%, to $10.4 million for the three months ended March 31,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$9.5 million for the three months ended March 31, 2021. Product development expenses as a percentage of revenues were 16% and 15% for the three months ended March 31, 2022 and 2021, respectively.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Product development expenses for Workforce Solutions increased $0.6 million to $8.8 million for the three months ended March 31, 2022, compared to the prior year period and approximated 17% and 16% of revenues for Workforce Solutions for the three months ended March 31, 2022 and 2021, respectively. The increase is primarily associated with an increase in personnel costs and contract labor, which was partially offset by an increase in labor capitalized for internally developed software. Additionally, the first quarter of 2021 included a non-recurring, non-cash benefit related to the reduction of paid time off ("PTO") expense as a result of modifications to the Company's PTO policy. Product development expenses for Provider Solutions increased $0.3 million to $1.6 million for the three months ended March 31, 2022, compared to the prior year period and approximated 12% and 11% of revenues for Provider Solutions for the three months ended March 31, 2022 and 2021, respectively. The increase in product development expenses is primarily due to an increase in personnel costs compared to the prior year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$1.4 million, or 16%, to $10.4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from $9.0 million for the three months ended March 31, 2021. Sales and marketing expenses were 16% and 14% of revenues for the three months ended March 31, 2022 and 2021, respectively.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marketing expenses for Workforce Solutions increased $1.2 million to $8.4 million for the three months ended March 31, 2022, compared to the prior year period and approximated 16% and 14% of revenues for Workforce Solutions for the three months ended March 31, 2022 and 2021, respectively. The increase is primarily due to additional personnel expenses, increased sales commissions, and higher marketing expenses. Sales and marketing expenses for Provider Solutions increased $0.2 million to $1.8 million for the three months ended March 31, 2022, compared to the prior year period and approximated 13% of revenues for Provider Solutions for both the three months ended March 31, 2022 and 2021. The increase is due to an increase in personnel expenses and general marketing expenses. The unallocated corporate portion of sales and marketing expenses decreased $46,000 to $0.2 million for the three months ended March 31, 2022, compared to the prior year period.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$0.5 million, or 6%, to $9.2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2022, from $9.7 million for the three months ended March 31, 2021. Other general and administrative expenses were 14% and 15% of revenues for the three months ended March 31, 2022 and 2021,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general and administrative expenses for Workforce Solutions decreased $1.0 million to $2.1 million for the three months ended March 31, 2022, compared to the prior year period and approximated 4% and 6% of Workforce Solutions revenues for the three months ended March 31, 2022 and 2021, respectively. The decrease is primarily due to lower transition service costs associated with prior acquisitions and reductions in facilities costs associated with closing certain leased satellite offices. Other general and administrative expenses for Provider Solutions increased $45,000 to $0.9 million for the three months ended March 31, 2022, compared to the prior year period and approximated 7% of Provider Solutions revenues for both the three months ended March 31, 2022 and 2021. The unallocated corporate portion of other general and administrative expenses increased $0.4 million to $6.2 million for the three months ended March 31, 2022, compared to the prior year period primarily due to increased personnel costs and employee recruitment expenses.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$0.1 million, or 2%, to $9.3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from $9.2 million for the three months ended March 31, 2021. This increase is primarily a result of an increase in amortization associated with capitalized software.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Loss, Net</w:t>
      </w:r>
      <w:r>
        <w:rPr>
          <w:rFonts w:ascii="Arial" w:cs="Arial" w:eastAsia="Arial" w:hAnsi="Arial"/>
          <w:sz w:val="18"/>
          <w:szCs w:val="18"/>
          <w:color w:val="auto"/>
        </w:rPr>
        <w:t>. Other loss, net was $0.3 million for the three months ended March 31, 2022, compared to $0.1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The decrease is primarily a result of a greater loss from equity method investments for the three months ended March 31, 2022, compared to the prior year period.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$0.9 million for both the three months ended March 31, 2022 and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effective tax rate was 23% for the three months ended March 31, 2022, compared to 29% for the three months ended March 31, 2021. The Company’s effective tax rate primarily reflects the statutory corporate income tax rate, the net effect of state taxes, foreign income taxes, the effect of various permanent tax differences, and recognition of discrete tax items. During the three months ended March 31, 2022, the Company recorded discrete tax expense of $0.1 million, which consisted primarily of tax deficiencies associated with stock-based awards. During the three months ended March 31, 2021, the Company recorded discrete tax expense a $0.1 million related primarily to a permanent difference related to purchase accounting adjustments and the impact of a state tax rate change enacted during the period.</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approximately $2.9 million and $2.3 million for the three months ended March 31, 2022 and 2021, respectively. Earnings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(EPS) was $0.09 per share (diluted) and $0.07 per share (diluted) for the three months ended March 31, 2022 and 2021, respectively.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was $14.0 million for the three months ended March 31, 2022, compared to $13.6 million for the three months ended March 31, 2021. See “Reconciliation of Non-GAAP Financial Measures” below for our reconciliation of adjusted EBITDA to the most directly comparable measures under US GAAP and disclosure regarding why we believe adjusted EBITDA provides useful information to investors.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changes in fair value of non-marketable equity investments, and the de-recognition of non-cash expense resulting from the paid time off expense reduction in the first quarter of 2021 (“adjusted EBITDA”) is a useful measure for evaluating the operating performance of the Company because adjusted EBITDA reflects net income adjusted for certain GAAP accounting, non-cash and non-operating items which may not, in any such case, fully reflect the underlying operating performance of our business. We also believe that adjusted EBITDA is useful to many investors to assess the Company’s ongoing operating performance and to compare the Company’s operating performance between periods. Additionally, short-term cash incentive bonuses and certain performance-based equity awards are based on the achievement of adjusted EBITDA (as defined in applicable bonus and equity grant documentation) targets.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will be measured as if the Company had originated the contract (rather than the contract being measured at fair value) such that, for such acquisitions, the Company will no longer record deferred revenue write-downs associated with acquired businesses (for acquisitions completed prior to January 1, 2022, the Company will continue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analytical tools.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49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2,893</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Non-cash paid time off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49"/>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9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040" w:type="dxa"/>
            <w:vAlign w:val="bottom"/>
          </w:tcPr>
          <w:p>
            <w:pPr>
              <w:spacing w:after="0"/>
              <w:rPr>
                <w:sz w:val="24"/>
                <w:szCs w:val="24"/>
                <w:color w:val="auto"/>
              </w:rPr>
            </w:pPr>
          </w:p>
        </w:tc>
        <w:tc>
          <w:tcPr>
            <w:tcW w:w="3960" w:type="dxa"/>
            <w:vAlign w:val="bottom"/>
          </w:tcPr>
          <w:p>
            <w:pPr>
              <w:jc w:val="right"/>
              <w:ind w:right="219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operating activities increased by $1.6 million to $20.7 million during the three months ended March 31, 2022, from $19.1 million during the three months ended March 31, 2021. Such increase was primarily due to lower royalties paid by us compared to the prior year period and was partially offset by lower cash receipts and increased labor costs. Our DSO was 45 days for the first quarter of 2022 compared to 52 days for the first quarter of 2021.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investing activities was $4.0 million for the three months ended March 31, 2022, compared to $9.7 million for the three months ended March 31, 2021. During the three months ended March 31, 2022, the Company spent $22,000 related to a post-closing adjustment for a prior acquisition, invested in marketable securities of $2.0 million, made payments for capitalized software development of $6.3 million, and purchased property and equipment of $0.6 million. These uses of cash were partially offset by $5.0 million in maturities of marketable securities. During the three months ended March 31, 2021, the Company spent $2.0 million to acquire ComplyALIGN and on a net cash basis received $1.3 million of proceeds upon settling post-closing adjustments related to ANSOS and ShiftWizard acquisitions for a net cash outflow of $0.7 million for business combinations, invested in marketable securities of $5.2 million, made payments for capitalized software development of $5.3 million, purchased property and equipment of $2.0 million, and invested $1.0 million in non-marketable equity investments. These uses of cash were partially offset by $4.5 million in maturities of marketable securities.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financing activities was approximately $20.2 million for the three months ended March 31, 2022, compared to $0.4 million for the three months ended March 31, 2021. The uses of cash for the three months ended March 31, 2022 included $19.7 million for repurchases of common stock and $0.5 million for the payment of employee payroll taxes in relation to the vesting of restricted share units. The uses of cash for the three months ended March 31, 2021 primarily included $0.4 million for the payment of employee payroll taxes in relation to the vesting of restricted share units.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balance sheet reflects negative working capital of $7.3 million at March 31, 2022, compared to positive working capital of $6.5 million at December 31, 2021. The decrease in working capital is primarily a result of a reduction in cash to fund the repurchases of common stock and an increase in deferred revenue. The Company’s primary source of liquidity as of March 31, 2022 was $43.4 million of cash and cash equivalents and $2.0 million of marketable securities. The Company also has a $65.0 million revolving credit facility, all of which was available for additional borrowing at March 31, 2022. The revolving credit facility expires on October 28, 2023, unless earlier renewed or amended.</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 the Company's Board of Directors authorized a share repurchase program to repurchase up to $20.0 million of the Company's outstanding shares of common stock. The share repurchase program concluded on March 8, 2022, when the maximum dollar amount authorized under the program was expended. Under this program, the Company repurchased a total of 853,023 shares in open market purchases at an aggregate value of $20.0 million, reflecting an average price per share of $23.45 (excluding the cost of broker commissions). During the three months ended March 31, 2022, the Company repurchased 649,739 shares pursuant to this share repurchase program at an aggregate fair value of $14.9 million, based on an average price per share of $22.92 (excluding the cost of broker commissions).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program will terminate on the earlier of March 13, 2023, or when the maximum dollar amount has been expended. During the three months ended March 31, 2022, the Company repurchased 242,647 shares pursuant to this share repurchase program at an aggregate fair value of $5.0 million, based on an average price per share of $20.52 (excluding the cost of broker commissions).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and for the foreseeable future thereafter.</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2022,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ectPr>
          <w:pgSz w:w="11900" w:h="16838" w:orient="portrait"/>
          <w:cols w:equalWidth="0" w:num="1">
            <w:col w:w="11240"/>
          </w:cols>
          <w:pgMar w:left="320" w:top="125"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2022,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$45.4 million at March 31, 2022. Assuming a hypothetical 10% decrease in interest rates for invested balances, interest income from cash and investments would decrease on an annualized basis by approximately $5,000.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2022 that has materially affected, or that is reasonably likely to materially affect, HealthStream’s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2021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30, 2021, the Company announced a share repurchase program approved by the Company's Board of Directors under which the Company was authorized to purchase up to $20.0 million of its common stock. Under this program, during the first three months of 2022 the Company repurchased 649,739 shares at an aggregate fair value of $14.9 million, reflecting an average price per share of $22.92 (excluding the cost of broker commissions). The share repurchase program concluded on March 8, 2022, when the maximum dollar amount was expended.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14, 2022, the Company announced an expansion of the share repurchase program authorized by the Company’s Board of Directors under which the Company may purchase up to an additional $10.0 million of its common stock. Pursuant to this authorization, repurchases may be made in the open market, including under a Rule 105b-1 plan, through privately negotiated transactions, or otherwise. Under this program, during the first three months of 2022 the Company repurchased 242,647 shares at an aggregate fair value of $5.0 million, reflecting an average price per share of $20.52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13, 2023 or when the maximum dollar amount has been expended.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plans for the three months ended March 31, 2022.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 Total number of</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approximate dollar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 Total number of</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units) that may yet be</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(b) Average price paid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publicly announced</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220" w:type="dxa"/>
            <w:vAlign w:val="bottom"/>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per share (or unit)(1)</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Month #1 (January 1 - 31)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216,645</w:t>
            </w:r>
          </w:p>
        </w:tc>
        <w:tc>
          <w:tcPr>
            <w:tcW w:w="9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9,438,062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Month #2 (February 1 - February 28)</w:t>
            </w:r>
          </w:p>
        </w:tc>
        <w:tc>
          <w:tcPr>
            <w:tcW w:w="1700" w:type="dxa"/>
            <w:vAlign w:val="bottom"/>
          </w:tcPr>
          <w:p>
            <w:pPr>
              <w:jc w:val="right"/>
              <w:spacing w:after="0"/>
              <w:rPr>
                <w:sz w:val="20"/>
                <w:szCs w:val="20"/>
                <w:color w:val="auto"/>
              </w:rPr>
            </w:pPr>
            <w:r>
              <w:rPr>
                <w:rFonts w:ascii="Arial" w:cs="Arial" w:eastAsia="Arial" w:hAnsi="Arial"/>
                <w:sz w:val="18"/>
                <w:szCs w:val="18"/>
                <w:color w:val="auto"/>
              </w:rPr>
              <w:t>282,247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22.36</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282,247</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3,127,204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Month #3 (March 1 - March 31)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393,494</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5,020,204</w:t>
            </w:r>
          </w:p>
        </w:tc>
      </w:tr>
      <w:tr>
        <w:trPr>
          <w:trHeight w:val="20"/>
        </w:trPr>
        <w:tc>
          <w:tcPr>
            <w:tcW w:w="31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892,386</w:t>
            </w:r>
          </w:p>
        </w:tc>
        <w:tc>
          <w:tcPr>
            <w:tcW w:w="2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22.27</w:t>
            </w:r>
          </w:p>
        </w:tc>
        <w:tc>
          <w:tcPr>
            <w:tcW w:w="22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892,386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5,020,204</w:t>
            </w:r>
          </w:p>
        </w:tc>
      </w:tr>
      <w:tr>
        <w:trPr>
          <w:trHeight w:val="20"/>
        </w:trPr>
        <w:tc>
          <w:tcPr>
            <w:tcW w:w="3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2900" w:hanging="5330"/>
        <w:spacing w:after="0" w:line="417" w:lineRule="auto"/>
        <w:tabs>
          <w:tab w:leader="none" w:pos="446"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The weighted average price paid per share of common stock does not include the cost of broker commissions.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37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HealthStream, Inc. 2022 Cash Incentive Bonus Plan</w:t>
              </w:r>
            </w:hyperlink>
          </w:p>
        </w:tc>
        <w:tc>
          <w:tcPr>
            <w:tcW w:w="6420" w:type="dxa"/>
            <w:vAlign w:val="bottom"/>
            <w:gridSpan w:val="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40" w:type="dxa"/>
            <w:vAlign w:val="bottom"/>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Form of</w:t>
              </w:r>
            </w:hyperlink>
          </w:p>
        </w:tc>
        <w:tc>
          <w:tcPr>
            <w:tcW w:w="9540" w:type="dxa"/>
            <w:vAlign w:val="bottom"/>
            <w:gridSpan w:val="8"/>
          </w:tcPr>
          <w:p>
            <w:pPr>
              <w:ind w:left="4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HealthStream, Inc. Restricted Share Unit Agreement (Performance) under 2016 Omnibus Incentive Plan</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40" w:type="dxa"/>
            <w:vAlign w:val="bottom"/>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Form of</w:t>
              </w:r>
            </w:hyperlink>
          </w:p>
        </w:tc>
        <w:tc>
          <w:tcPr>
            <w:tcW w:w="9540" w:type="dxa"/>
            <w:vAlign w:val="bottom"/>
            <w:gridSpan w:val="8"/>
          </w:tcPr>
          <w:p>
            <w:pPr>
              <w:ind w:left="40"/>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HealthStream, Inc. Restricted Share Unit Agreement (Performance) contingent upon approval of 2022 Omnibus Incentive Plan</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Form of HealthStream, Inc. Restricted Share Unit Agreement (Time Based) contingent upon approval of 2022 Omnibus Incentive Plan</w:t>
              </w:r>
            </w:hyperlink>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180" w:type="dxa"/>
            <w:vAlign w:val="bottom"/>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Certification of the Chief Executive Officer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74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18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Certification of the Principal Financial Officer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766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180" w:type="dxa"/>
            <w:vAlign w:val="bottom"/>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040" w:type="dxa"/>
            <w:vAlign w:val="bottom"/>
          </w:tcPr>
          <w:p>
            <w:pPr>
              <w:spacing w:after="0" w:line="20" w:lineRule="exact"/>
              <w:rPr>
                <w:sz w:val="1"/>
                <w:szCs w:val="1"/>
                <w:color w:val="auto"/>
              </w:rPr>
            </w:pPr>
          </w:p>
        </w:tc>
        <w:tc>
          <w:tcPr>
            <w:tcW w:w="8740" w:type="dxa"/>
            <w:vAlign w:val="bottom"/>
            <w:gridSpan w:val="6"/>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18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040" w:type="dxa"/>
            <w:vAlign w:val="bottom"/>
          </w:tcPr>
          <w:p>
            <w:pPr>
              <w:spacing w:after="0" w:line="20" w:lineRule="exact"/>
              <w:rPr>
                <w:sz w:val="1"/>
                <w:szCs w:val="1"/>
                <w:color w:val="auto"/>
              </w:rPr>
            </w:pPr>
          </w:p>
        </w:tc>
        <w:tc>
          <w:tcPr>
            <w:tcW w:w="8740" w:type="dxa"/>
            <w:vAlign w:val="bottom"/>
            <w:gridSpan w:val="6"/>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101.1 INS</w:t>
            </w:r>
          </w:p>
        </w:tc>
        <w:tc>
          <w:tcPr>
            <w:tcW w:w="10180" w:type="dxa"/>
            <w:vAlign w:val="bottom"/>
            <w:gridSpan w:val="9"/>
          </w:tcPr>
          <w:p>
            <w:pPr>
              <w:spacing w:after="0"/>
              <w:rPr>
                <w:sz w:val="20"/>
                <w:szCs w:val="20"/>
                <w:color w:val="auto"/>
              </w:rPr>
            </w:pPr>
            <w:r>
              <w:rPr>
                <w:rFonts w:ascii="Arial" w:cs="Arial" w:eastAsia="Arial" w:hAnsi="Arial"/>
                <w:sz w:val="18"/>
                <w:szCs w:val="18"/>
                <w:color w:val="auto"/>
                <w:w w:val="91"/>
              </w:rPr>
              <w:t>Inline XBRL Instance Document – The instant document does not appear in the Interactive Data File because its XBRL tags are embedded</w:t>
            </w:r>
          </w:p>
        </w:tc>
      </w:tr>
      <w:tr>
        <w:trPr>
          <w:trHeight w:val="216"/>
        </w:trPr>
        <w:tc>
          <w:tcPr>
            <w:tcW w:w="10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SCH</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CAL</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DEF</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LAB</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101.1 PRE</w:t>
            </w:r>
          </w:p>
        </w:tc>
        <w:tc>
          <w:tcPr>
            <w:tcW w:w="101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40" w:hanging="1032"/>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March 31, 2022, has been formatted in Inline</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9"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of compensatory plan or arrangement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480"/>
              <w:spacing w:after="0"/>
              <w:rPr>
                <w:sz w:val="20"/>
                <w:szCs w:val="20"/>
                <w:color w:val="auto"/>
              </w:rPr>
            </w:pPr>
            <w:r>
              <w:rPr>
                <w:rFonts w:ascii="Arial" w:cs="Arial" w:eastAsia="Arial" w:hAnsi="Arial"/>
                <w:sz w:val="18"/>
                <w:szCs w:val="18"/>
                <w:color w:val="auto"/>
              </w:rPr>
              <w:t>HEALTHSTREAM,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April 28, 2022</w:t>
            </w:r>
          </w:p>
        </w:tc>
        <w:tc>
          <w:tcPr>
            <w:tcW w:w="7700" w:type="dxa"/>
            <w:vAlign w:val="bottom"/>
            <w:gridSpan w:val="2"/>
          </w:tcPr>
          <w:p>
            <w:pPr>
              <w:ind w:left="2480"/>
              <w:spacing w:after="0"/>
              <w:rPr>
                <w:sz w:val="20"/>
                <w:szCs w:val="20"/>
                <w:color w:val="auto"/>
              </w:rPr>
            </w:pPr>
            <w:r>
              <w:rPr>
                <w:rFonts w:ascii="Arial" w:cs="Arial" w:eastAsia="Arial" w:hAnsi="Arial"/>
                <w:sz w:val="18"/>
                <w:szCs w:val="18"/>
                <w:color w:val="auto"/>
              </w:rPr>
              <w:t>By:   /s/ Scott A. Roberts</w:t>
            </w:r>
          </w:p>
        </w:tc>
      </w:tr>
      <w:tr>
        <w:trPr>
          <w:trHeight w:val="195"/>
        </w:trPr>
        <w:tc>
          <w:tcPr>
            <w:tcW w:w="35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Cash Incentive Bonus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Pursuant to the HealthStream, Inc. 2016 Omnibus Incentive Plan, the Compensation Committee (the “Committee”) of the Board of Directors of HealthStream, Inc. (the “Company”) hereby establishes this 2022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2022 fiscal year in order to reward Management for facilitating the Company’s achievement of certain levels of financial performance during fiscal year 2022 and to further align their interests with those of the shareholders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 The annual bonus paid to Management after the Committee determines the applicable financial measure has been achieved.</w:t>
      </w:r>
    </w:p>
    <w:p>
      <w:pPr>
        <w:spacing w:after="0" w:line="248" w:lineRule="exact"/>
        <w:rPr>
          <w:rFonts w:ascii="Arial" w:cs="Arial" w:eastAsia="Arial" w:hAnsi="Arial"/>
          <w:sz w:val="16"/>
          <w:szCs w:val="16"/>
          <w:color w:val="auto"/>
        </w:rPr>
      </w:pPr>
    </w:p>
    <w:p>
      <w:pPr>
        <w:ind w:left="980" w:right="20" w:hanging="324"/>
        <w:spacing w:after="0" w:line="273"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 The Company’s Adjusted EBITDA for the 2022 fiscal year calculated as set forth in the “Reconciliation of Non-GAAP</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2022 budget; and (ii) Adjusted EBITDA (profit/loss) from acquisitions and divestitures consummated during 2022 (collectively, the “Excluded Expenses”). The Committee has the negative discretion to include the Excluded Expenses in the calculation of Adjusted EBITDA.</w:t>
      </w:r>
    </w:p>
    <w:p>
      <w:pPr>
        <w:spacing w:after="0" w:line="171" w:lineRule="exact"/>
        <w:rPr>
          <w:rFonts w:ascii="Arial" w:cs="Arial" w:eastAsia="Arial" w:hAnsi="Arial"/>
          <w:sz w:val="17"/>
          <w:szCs w:val="17"/>
          <w:color w:val="auto"/>
        </w:rPr>
      </w:pPr>
    </w:p>
    <w:p>
      <w:pPr>
        <w:ind w:left="980" w:right="10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Incremental Threshold Adjusted EBITDA </w:t>
      </w:r>
      <w:r>
        <w:rPr>
          <w:rFonts w:ascii="Arial" w:cs="Arial" w:eastAsia="Arial" w:hAnsi="Arial"/>
          <w:sz w:val="18"/>
          <w:szCs w:val="18"/>
          <w:color w:val="auto"/>
        </w:rPr>
        <w:t>– the amount of Adjusted EBITDA before bonuses less Threshold Adjusted EBITDA;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Adjusted EBITDA amount is established by the Committee. Incremental Threshold Adjusted EBITDA funds the Threshold Bonus Pool as set forth in the "Payout" section below..</w:t>
      </w:r>
    </w:p>
    <w:p>
      <w:pPr>
        <w:spacing w:after="0" w:line="175" w:lineRule="exact"/>
        <w:rPr>
          <w:rFonts w:ascii="Arial" w:cs="Arial" w:eastAsia="Arial" w:hAnsi="Arial"/>
          <w:sz w:val="18"/>
          <w:szCs w:val="18"/>
          <w:color w:val="auto"/>
        </w:rPr>
      </w:pPr>
    </w:p>
    <w:p>
      <w:pPr>
        <w:ind w:left="980" w:right="260" w:hanging="324"/>
        <w:spacing w:after="0" w:line="34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Incremental Target Adjusted EBITDA </w:t>
      </w:r>
      <w:r>
        <w:rPr>
          <w:rFonts w:ascii="Arial" w:cs="Arial" w:eastAsia="Arial" w:hAnsi="Arial"/>
          <w:sz w:val="16"/>
          <w:szCs w:val="16"/>
          <w:color w:val="auto"/>
        </w:rPr>
        <w:t>– the amount of Adjusted EBITDA before bonuses less Target Adjusted EBITDA; as such Target</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EBITDA amount is established by the Committee. Incremental Target EBITDA funds the Target Bonus Pool as set forth below.</w:t>
      </w:r>
    </w:p>
    <w:p>
      <w:pPr>
        <w:spacing w:after="0" w:line="115" w:lineRule="exact"/>
        <w:rPr>
          <w:rFonts w:ascii="Arial" w:cs="Arial" w:eastAsia="Arial" w:hAnsi="Arial"/>
          <w:sz w:val="16"/>
          <w:szCs w:val="16"/>
          <w:color w:val="auto"/>
        </w:rPr>
      </w:pPr>
    </w:p>
    <w:p>
      <w:pPr>
        <w:ind w:left="980" w:right="180" w:hanging="324"/>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Incremental Stretch Adjusted EBITDA </w:t>
      </w:r>
      <w:r>
        <w:rPr>
          <w:rFonts w:ascii="Arial" w:cs="Arial" w:eastAsia="Arial" w:hAnsi="Arial"/>
          <w:sz w:val="18"/>
          <w:szCs w:val="18"/>
          <w:color w:val="auto"/>
        </w:rPr>
        <w:t>– the amount of Adjusted EBITDA before bonuses that is achieved after the Target Bonus Pool is</w:t>
      </w:r>
      <w:r>
        <w:rPr>
          <w:rFonts w:ascii="Arial" w:cs="Arial" w:eastAsia="Arial" w:hAnsi="Arial"/>
          <w:sz w:val="18"/>
          <w:szCs w:val="18"/>
          <w:b w:val="1"/>
          <w:bCs w:val="1"/>
          <w:color w:val="auto"/>
        </w:rPr>
        <w:t xml:space="preserve"> </w:t>
      </w:r>
      <w:r>
        <w:rPr>
          <w:rFonts w:ascii="Arial" w:cs="Arial" w:eastAsia="Arial" w:hAnsi="Arial"/>
          <w:sz w:val="18"/>
          <w:szCs w:val="18"/>
          <w:color w:val="auto"/>
        </w:rPr>
        <w:t>fully funded. The Incremental Stretch Adjusted EBITDA funds the Stretch Bonus Pool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2022 Financial Measure and Plan Principles: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Financial Measure </w:t>
      </w:r>
      <w:r>
        <w:rPr>
          <w:rFonts w:ascii="Arial" w:cs="Arial" w:eastAsia="Arial" w:hAnsi="Arial"/>
          <w:sz w:val="18"/>
          <w:szCs w:val="18"/>
          <w:color w:val="auto"/>
        </w:rPr>
        <w:t>– Adjusted EBITDA before bonuses will be the financial measure for 2022.</w:t>
      </w:r>
    </w:p>
    <w:p>
      <w:pPr>
        <w:spacing w:after="0" w:line="225" w:lineRule="exact"/>
        <w:rPr>
          <w:rFonts w:ascii="Arial" w:cs="Arial" w:eastAsia="Arial" w:hAnsi="Arial"/>
          <w:sz w:val="18"/>
          <w:szCs w:val="18"/>
          <w:color w:val="auto"/>
        </w:rPr>
      </w:pPr>
    </w:p>
    <w:p>
      <w:pPr>
        <w:ind w:left="660" w:right="2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Funding Principle </w:t>
      </w:r>
      <w:r>
        <w:rPr>
          <w:rFonts w:ascii="Arial" w:cs="Arial" w:eastAsia="Arial" w:hAnsi="Arial"/>
          <w:sz w:val="17"/>
          <w:szCs w:val="17"/>
          <w:color w:val="auto"/>
        </w:rPr>
        <w:t>– The Annual Bonus will be funded: (i) first from the amount of Incremental Threshold Adjusted EBITDA that exceeds</w:t>
      </w:r>
      <w:r>
        <w:rPr>
          <w:rFonts w:ascii="Arial" w:cs="Arial" w:eastAsia="Arial" w:hAnsi="Arial"/>
          <w:sz w:val="17"/>
          <w:szCs w:val="17"/>
          <w:b w:val="1"/>
          <w:bCs w:val="1"/>
          <w:color w:val="auto"/>
        </w:rPr>
        <w:t xml:space="preserve"> </w:t>
      </w:r>
      <w:r>
        <w:rPr>
          <w:rFonts w:ascii="Arial" w:cs="Arial" w:eastAsia="Arial" w:hAnsi="Arial"/>
          <w:sz w:val="17"/>
          <w:szCs w:val="17"/>
          <w:color w:val="auto"/>
        </w:rPr>
        <w:t>Threshold Adjusted EBITDA, (ii) then from the amount of Incremental Target Adjusted EBITDA that exceeds Target Adjusted EBITDA, and (iii) finally, for Executives only from the amount of Incremental Stretch Adjusted EBITDA that exceeds Stretch Adjusted EBITDA.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groups are eligible for participation in the Plan:</w:t>
      </w:r>
    </w:p>
    <w:p>
      <w:pPr>
        <w:spacing w:after="0" w:line="221" w:lineRule="exact"/>
        <w:rPr>
          <w:sz w:val="20"/>
          <w:szCs w:val="20"/>
          <w:color w:val="auto"/>
        </w:rPr>
      </w:pPr>
    </w:p>
    <w:p>
      <w:pPr>
        <w:ind w:left="1300" w:right="40" w:hanging="644"/>
        <w:spacing w:after="0" w:line="273" w:lineRule="auto"/>
        <w:tabs>
          <w:tab w:leader="none" w:pos="11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Executive Team </w:t>
      </w:r>
      <w:r>
        <w:rPr>
          <w:rFonts w:ascii="Arial" w:cs="Arial" w:eastAsia="Arial" w:hAnsi="Arial"/>
          <w:sz w:val="17"/>
          <w:szCs w:val="17"/>
          <w:color w:val="auto"/>
        </w:rPr>
        <w:t>– The maximum Annual Bonus (prior to giving effect to any payment of any Stretch Bonus Amount) that (i)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HealthStream, the President &amp; Chief Operating Officer of HealthStream, and the President of VerityStream shall be eligible to receive under the Plan shall be an amount equal to 40% of such member’s base salary. (ii) Executive Vice Presidents shall be eligible to receive under the Plan shall be an amount equal to 35% of such member’s base salary, and (iii) Senior Vice Presidents shall be eligible to receive under the Plan shall be an amount equal to 30% of such member’s base salary. Unless otherwise excluded below, the Executive Team eligible for participation includes the Chief Executive Officer, President &amp; Chief Operating Officer, and Executive Vice Presidents and Senior Vice Presidents of the Company (collectively, the “Executives”).</w:t>
      </w:r>
    </w:p>
    <w:p>
      <w:pPr>
        <w:spacing w:after="0" w:line="171" w:lineRule="exact"/>
        <w:rPr>
          <w:rFonts w:ascii="Arial" w:cs="Arial" w:eastAsia="Arial" w:hAnsi="Arial"/>
          <w:sz w:val="17"/>
          <w:szCs w:val="17"/>
          <w:b w:val="1"/>
          <w:bCs w:val="1"/>
          <w:color w:val="auto"/>
        </w:rPr>
      </w:pPr>
    </w:p>
    <w:p>
      <w:pPr>
        <w:ind w:left="980" w:right="100" w:hanging="324"/>
        <w:spacing w:after="0" w:line="282" w:lineRule="auto"/>
        <w:tabs>
          <w:tab w:leader="none" w:pos="112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Vice Presidents </w:t>
      </w:r>
      <w:r>
        <w:rPr>
          <w:rFonts w:ascii="Arial" w:cs="Arial" w:eastAsia="Arial" w:hAnsi="Arial"/>
          <w:sz w:val="18"/>
          <w:szCs w:val="18"/>
          <w:color w:val="auto"/>
        </w:rPr>
        <w:t>– The maximum Annual Bonus that Vice Presidents shall be eligible to receive under the Plan shall be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20% of such Vice President’s base salary.</w:t>
      </w:r>
    </w:p>
    <w:p>
      <w:pPr>
        <w:spacing w:after="0" w:line="161" w:lineRule="exact"/>
        <w:rPr>
          <w:rFonts w:ascii="Arial" w:cs="Arial" w:eastAsia="Arial" w:hAnsi="Arial"/>
          <w:sz w:val="18"/>
          <w:szCs w:val="18"/>
          <w:b w:val="1"/>
          <w:bCs w:val="1"/>
          <w:color w:val="auto"/>
        </w:rPr>
      </w:pPr>
    </w:p>
    <w:p>
      <w:pPr>
        <w:ind w:left="980" w:hanging="324"/>
        <w:spacing w:after="0" w:line="282" w:lineRule="auto"/>
        <w:tabs>
          <w:tab w:leader="none" w:pos="111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Associate Vice Presidents </w:t>
      </w:r>
      <w:r>
        <w:rPr>
          <w:rFonts w:ascii="Arial" w:cs="Arial" w:eastAsia="Arial" w:hAnsi="Arial"/>
          <w:sz w:val="18"/>
          <w:szCs w:val="18"/>
          <w:color w:val="auto"/>
        </w:rPr>
        <w:t>– The maximum Annual Bonus that Associate Vice Presidents shall be eligible to receive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equal to 18% of such Associate Vice President’s base salary.</w:t>
      </w:r>
    </w:p>
    <w:p>
      <w:pPr>
        <w:spacing w:after="0" w:line="161" w:lineRule="exact"/>
        <w:rPr>
          <w:rFonts w:ascii="Arial" w:cs="Arial" w:eastAsia="Arial" w:hAnsi="Arial"/>
          <w:sz w:val="18"/>
          <w:szCs w:val="18"/>
          <w:b w:val="1"/>
          <w:bCs w:val="1"/>
          <w:color w:val="auto"/>
        </w:rPr>
      </w:pPr>
    </w:p>
    <w:p>
      <w:pPr>
        <w:ind w:left="1300" w:hanging="644"/>
        <w:spacing w:after="0" w:line="266" w:lineRule="auto"/>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Directors </w:t>
      </w:r>
      <w:r>
        <w:rPr>
          <w:rFonts w:ascii="Arial" w:cs="Arial" w:eastAsia="Arial" w:hAnsi="Arial"/>
          <w:sz w:val="18"/>
          <w:szCs w:val="18"/>
          <w:color w:val="auto"/>
        </w:rPr>
        <w:t>- The maximum Annual Bonus that Senior Directors shall be eligible to receive under the Plan shall be an amount equal</w:t>
      </w:r>
      <w:r>
        <w:rPr>
          <w:rFonts w:ascii="Arial" w:cs="Arial" w:eastAsia="Arial" w:hAnsi="Arial"/>
          <w:sz w:val="18"/>
          <w:szCs w:val="18"/>
          <w:b w:val="1"/>
          <w:bCs w:val="1"/>
          <w:color w:val="auto"/>
        </w:rPr>
        <w:t xml:space="preserve"> </w:t>
      </w:r>
      <w:r>
        <w:rPr>
          <w:rFonts w:ascii="Arial" w:cs="Arial" w:eastAsia="Arial" w:hAnsi="Arial"/>
          <w:sz w:val="18"/>
          <w:szCs w:val="18"/>
          <w:color w:val="auto"/>
        </w:rPr>
        <w:t>to 10% of such Senior Director’s base salary. For purposes of clarity, Directors do not include members of the Board of Directors, but are management-level employees of the Company.</w:t>
      </w:r>
    </w:p>
    <w:p>
      <w:pPr>
        <w:spacing w:after="0" w:line="175" w:lineRule="exact"/>
        <w:rPr>
          <w:rFonts w:ascii="Arial" w:cs="Arial" w:eastAsia="Arial" w:hAnsi="Arial"/>
          <w:sz w:val="18"/>
          <w:szCs w:val="18"/>
          <w:b w:val="1"/>
          <w:bCs w:val="1"/>
          <w:color w:val="auto"/>
        </w:rPr>
      </w:pPr>
    </w:p>
    <w:p>
      <w:pPr>
        <w:ind w:left="1300" w:right="120" w:hanging="644"/>
        <w:spacing w:after="0" w:line="266" w:lineRule="auto"/>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 The maximum Annual Bonus that Directors shall be eligible to receive under the Plan shall be an amount equal to 8%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base salary. For purposes of clarity, Directors do not include members of the Board of Directors, but are management-level employees of the Company.</w:t>
      </w:r>
    </w:p>
    <w:p>
      <w:pPr>
        <w:spacing w:after="0" w:line="175" w:lineRule="exact"/>
        <w:rPr>
          <w:rFonts w:ascii="Arial" w:cs="Arial" w:eastAsia="Arial" w:hAnsi="Arial"/>
          <w:sz w:val="18"/>
          <w:szCs w:val="18"/>
          <w:b w:val="1"/>
          <w:bCs w:val="1"/>
          <w:color w:val="auto"/>
        </w:rPr>
      </w:pPr>
    </w:p>
    <w:p>
      <w:pPr>
        <w:ind w:left="1300" w:hanging="644"/>
        <w:spacing w:after="0" w:line="261" w:lineRule="auto"/>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Requirements </w:t>
      </w:r>
      <w:r>
        <w:rPr>
          <w:rFonts w:ascii="Arial" w:cs="Arial" w:eastAsia="Arial" w:hAnsi="Arial"/>
          <w:sz w:val="18"/>
          <w:szCs w:val="18"/>
          <w:color w:val="auto"/>
        </w:rPr>
        <w:t>– Participants in the Plan who were employed with the Company through December 31, 2022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bonus payments, if any, under the Plan regardless of whether such employees are employed on the date such payments are actually made. Notwithstanding the foregoing, in the case of death or disability, the participant’s pro rata share from January 1, 2022 through the date of participant’s death or disability shall be awarded.</w:t>
      </w:r>
    </w:p>
    <w:p>
      <w:pPr>
        <w:spacing w:after="0" w:line="179" w:lineRule="exact"/>
        <w:rPr>
          <w:rFonts w:ascii="Arial" w:cs="Arial" w:eastAsia="Arial" w:hAnsi="Arial"/>
          <w:sz w:val="18"/>
          <w:szCs w:val="18"/>
          <w:b w:val="1"/>
          <w:bCs w:val="1"/>
          <w:color w:val="auto"/>
        </w:rPr>
      </w:pPr>
    </w:p>
    <w:p>
      <w:pPr>
        <w:ind w:left="1300" w:right="120" w:hanging="644"/>
        <w:spacing w:after="0" w:line="282" w:lineRule="auto"/>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Exclusions </w:t>
      </w:r>
      <w:r>
        <w:rPr>
          <w:rFonts w:ascii="Arial" w:cs="Arial" w:eastAsia="Arial" w:hAnsi="Arial"/>
          <w:sz w:val="18"/>
          <w:szCs w:val="18"/>
          <w:color w:val="auto"/>
        </w:rPr>
        <w:t>– Members of the Executive Team with a commission-based incentive compensation plan shall not be eligible to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Payout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Payouts under the Plan shall be determined as follows: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Bonus payable to any participant in this Plan will be determined as follows:</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that Adjusted EBITDA before bonuses is less than or equal to Threshold Adjusted EBITDA, a participant will receive no Annual Bonus.</w:t>
      </w:r>
    </w:p>
    <w:p>
      <w:pPr>
        <w:spacing w:after="0" w:line="170" w:lineRule="exact"/>
        <w:rPr>
          <w:rFonts w:ascii="Arial" w:cs="Arial" w:eastAsia="Arial" w:hAnsi="Arial"/>
          <w:sz w:val="18"/>
          <w:szCs w:val="18"/>
          <w:color w:val="auto"/>
        </w:rPr>
      </w:pPr>
    </w:p>
    <w:p>
      <w:pPr>
        <w:ind w:left="1300" w:right="20" w:hanging="320"/>
        <w:spacing w:after="0" w:line="29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the extent Incremental Threshold Adjusted funds the Threshold Bonus Pool, a participant will receive a percentage of his or her maximum Annual Bonus payable as set forth above under “The Plan-Eligibility” (the “Maximum Annual Bonus”) in an amount between 0% and 25%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25% of the Maximum Annual Bonus for all participants is achieved.</w:t>
      </w:r>
    </w:p>
    <w:p>
      <w:pPr>
        <w:spacing w:after="0" w:line="164" w:lineRule="exact"/>
        <w:rPr>
          <w:rFonts w:ascii="Arial" w:cs="Arial" w:eastAsia="Arial" w:hAnsi="Arial"/>
          <w:sz w:val="16"/>
          <w:szCs w:val="16"/>
          <w:color w:val="auto"/>
        </w:rPr>
      </w:pPr>
    </w:p>
    <w:p>
      <w:pPr>
        <w:ind w:left="1300" w:right="120" w:hanging="320"/>
        <w:spacing w:after="0" w:line="25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that the Threshold Bonus Pool is fully funded, a participant will then be eligible to receive an Annual Bonus in an amount between 25% and 100% of the Maximum Annual Bonus payable to such participant, based on the amount of bonus pool that is funded for that range (the “Target Bonus Pool”). The Target Bonus Pool shall be funded by seventy-eight cents of every dollar of Incremental Target Adjusted EBITDA until the Target Bonus Pool is fully funded. The Target Bonus Pool is fully funded at the point in which the Target Adjusted EBITDA is reached after bonus payments equal to the remaining 75% of the Maximum Bonus Amount (at which point 100% of the Maximum Bonus in the aggregate would be earned); provided Executives shall also be eligible to receive a Stretch Bonus Amount as set forth below.</w:t>
      </w:r>
    </w:p>
    <w:p>
      <w:pPr>
        <w:spacing w:after="0" w:line="194" w:lineRule="exact"/>
        <w:rPr>
          <w:rFonts w:ascii="Arial" w:cs="Arial" w:eastAsia="Arial" w:hAnsi="Arial"/>
          <w:sz w:val="18"/>
          <w:szCs w:val="18"/>
          <w:color w:val="auto"/>
        </w:rPr>
      </w:pPr>
    </w:p>
    <w:p>
      <w:pPr>
        <w:ind w:left="1300" w:hanging="320"/>
        <w:spacing w:after="0" w:line="25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Solely for Executives, in the event that Target Bonus Pool is fully funded, each Executive will then be eligible to receive—in addition to her or his Maximum Annual Bonus, which has already been earned—an additional payment (the “Stretch Bonus Amount”) in an amount equal to a percentage between 0% and 15% of the base salary payable to such Executive based on the amount of bonus pool that is funded for that range (the “Stretch Bonus Pool”). The Stretch Bonus Pool shall be funded by ten cents of every dollar of Incremental Stretch Adjusted EBITDA until the Stretch Bonus Pool is fully funded. The Stretch Bonus Pool is fully funded at the point in which the Stretch Adjusted EBITDA (as established by the Committee) is reached after bonus payments equal to 15% of each Executives base salary. For purposes of clarity, Executives shall become eligible to begin achieving the Stretch Bonus Amount after 100% of the Maximum Annual Bonus is achieved, and payment for any Stretch Bonus Amount an executive achieves shall be in addition to the 100% Maximum Annual Bonus.</w:t>
      </w:r>
    </w:p>
    <w:p>
      <w:pPr>
        <w:spacing w:after="0" w:line="19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Annual Bonus payouts made to the Executive Team, Leadership Team, Senior Directors, or Directors pursuant to the Plan shall be payable at such time as bonuses are paid generally to executive officers of the Company.</w:t>
      </w:r>
    </w:p>
    <w:p>
      <w:pPr>
        <w:sectPr>
          <w:pgSz w:w="11900" w:h="16838" w:orient="portrait"/>
          <w:cols w:equalWidth="0" w:num="1">
            <w:col w:w="11200"/>
          </w:cols>
          <w:pgMar w:left="320" w:top="584"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10.2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This RESTRICTED SHARE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March, 2022 (the “</w:t>
      </w:r>
      <w:r>
        <w:rPr>
          <w:rFonts w:ascii="Arial" w:cs="Arial" w:eastAsia="Arial" w:hAnsi="Arial"/>
          <w:sz w:val="18"/>
          <w:szCs w:val="18"/>
          <w:u w:val="single" w:color="auto"/>
          <w:color w:val="auto"/>
        </w:rPr>
        <w:t>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between HealthStream, Inc., a Tennessee corporation (together with its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and [ ] (the “</w:t>
      </w:r>
      <w:r>
        <w:rPr>
          <w:rFonts w:ascii="Arial" w:cs="Arial" w:eastAsia="Arial" w:hAnsi="Arial"/>
          <w:sz w:val="18"/>
          <w:szCs w:val="18"/>
          <w:u w:val="single" w:color="auto"/>
          <w:color w:val="auto"/>
        </w:rPr>
        <w:t>Grantee</w:t>
      </w:r>
      <w:r>
        <w:rPr>
          <w:rFonts w:ascii="Arial" w:cs="Arial" w:eastAsia="Arial" w:hAnsi="Arial"/>
          <w:sz w:val="18"/>
          <w:szCs w:val="18"/>
          <w:color w:val="auto"/>
        </w:rPr>
        <w:t>”). Capitalized terms not otherwise defined herein shall have the meaning ascribed to such terms in the HealthStream, Inc. 2016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Company hereby grants to the Grantee an award (“</w:t>
      </w:r>
      <w:r>
        <w:rPr>
          <w:rFonts w:ascii="Arial" w:cs="Arial" w:eastAsia="Arial" w:hAnsi="Arial"/>
          <w:sz w:val="16"/>
          <w:szCs w:val="16"/>
          <w:u w:val="single" w:color="auto"/>
          <w:color w:val="auto"/>
        </w:rPr>
        <w:t>Award</w:t>
      </w:r>
      <w:r>
        <w:rPr>
          <w:rFonts w:ascii="Arial" w:cs="Arial" w:eastAsia="Arial" w:hAnsi="Arial"/>
          <w:sz w:val="16"/>
          <w:szCs w:val="16"/>
          <w:color w:val="auto"/>
        </w:rPr>
        <w:t>”) of [____] Restricted Share Units (“</w:t>
      </w:r>
      <w:r>
        <w:rPr>
          <w:rFonts w:ascii="Arial" w:cs="Arial" w:eastAsia="Arial" w:hAnsi="Arial"/>
          <w:sz w:val="16"/>
          <w:szCs w:val="16"/>
          <w:u w:val="single" w:color="auto"/>
          <w:color w:val="auto"/>
        </w:rPr>
        <w:t>RSUs</w:t>
      </w:r>
      <w:r>
        <w:rPr>
          <w:rFonts w:ascii="Arial" w:cs="Arial" w:eastAsia="Arial" w:hAnsi="Arial"/>
          <w:sz w:val="16"/>
          <w:szCs w:val="16"/>
          <w:color w:val="auto"/>
        </w:rPr>
        <w:t>”) on the terms and conditions set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forth in this Agreement and as otherwise provided in the Plan. Each RSU shall have a value equal to the Fair Market Value of one Share. A bookkeeping account will be maintained by the Company to keep track of the RSUs.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 The RSUs subject to this Award shall vest as follows, subject to the time-based vesting condition set forth in the last sentence of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Catch-Up Provision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(all such vesting dates as set forth below, the “</w:t>
      </w:r>
      <w:r>
        <w:rPr>
          <w:rFonts w:ascii="Arial" w:cs="Arial" w:eastAsia="Arial" w:hAnsi="Arial"/>
          <w:sz w:val="17"/>
          <w:szCs w:val="17"/>
          <w:u w:val="single" w:color="auto"/>
          <w:color w:val="auto"/>
        </w:rPr>
        <w:t>Vesting Dates</w:t>
      </w:r>
      <w:r>
        <w:rPr>
          <w:rFonts w:ascii="Arial" w:cs="Arial" w:eastAsia="Arial" w:hAnsi="Arial"/>
          <w:sz w:val="17"/>
          <w:szCs w:val="17"/>
          <w:color w:val="auto"/>
        </w:rPr>
        <w:t>”):</w:t>
      </w:r>
    </w:p>
    <w:p>
      <w:pPr>
        <w:spacing w:after="0" w:line="222" w:lineRule="exact"/>
        <w:rPr>
          <w:sz w:val="20"/>
          <w:szCs w:val="20"/>
          <w:color w:val="auto"/>
        </w:rPr>
      </w:pPr>
    </w:p>
    <w:p>
      <w:pPr>
        <w:ind w:firstLine="1304"/>
        <w:spacing w:after="0" w:line="342" w:lineRule="auto"/>
        <w:tabs>
          <w:tab w:leader="none" w:pos="17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Up to [_____] RSUs (15% of the total RSUs) shall vest on March 23, 2023, based on the extent of the satisfaction of the Performance Criteria (as defined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period beginning on January 1, 2022 and ending December 31, 2022, as referenced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1304"/>
        <w:spacing w:after="0" w:line="277" w:lineRule="auto"/>
        <w:tabs>
          <w:tab w:leader="none" w:pos="17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2024, based on the extent of the satisfaction of the Performance Criteria for the period beginning on January 1, 2023 and ending December 31, 2023,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firstLine="1304"/>
        <w:spacing w:after="0" w:line="277" w:lineRule="auto"/>
        <w:tabs>
          <w:tab w:leader="none" w:pos="17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2025, based on the extent of the satisfaction of the performance criteria for the period beginning on January 1, 2024 and ending December 31, 2024,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1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2026, based on the extent of the satisfaction of the performance criteria for the period beginning on January 1, 2025 and ending December 31, 2025,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0" w:firstLine="1304"/>
        <w:spacing w:after="0" w:line="277" w:lineRule="auto"/>
        <w:tabs>
          <w:tab w:leader="none" w:pos="17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Up to [ ] RSUs (25% of the total RSUs) shall vest on March 23, 2027, based on the extent of the satisfaction of the performance criteria for the period beginning on January 1, 2026 and ending December 31, 2026,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the foregoing or anything contained herein to the contrary (but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 this Award shall not become vested as to any additional RSUs following the Grantee’s termination of employment with the Company for any reason and Grantee shall forfeit any unvested RSUs as of the date of such termination of employment.</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1" w:lineRule="auto"/>
        <w:tabs>
          <w:tab w:leader="none" w:pos="10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to the contrary, except as may otherwise be determined by the Committee, in the event that there is a Change in Control (as defined in the Plan) that is consummated prior to March 23, 2027, then upon the occurrence of such Change in Control, this Award shall become vested immediately prior to a Change in Control as to 100% of the RSUs otherwise eligible for vesting in (i) the then current Performance Period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which the Vesting Date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has not yet occurred, (ii) the next Subsequent Performance Period for which the Vesting Date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has not yet occurred, and (iii) in the event that the Change in Control has been consummated following the end of a calendar year but prior to the next Vesting Date (i.e., on which vesting would occur based on the performance for such calendar year), then the RSUs will vest for such calendar year concurrently with the consummation of the Change in Control based on the extent of the satisfaction of the performance criteria for such calendar year as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0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except as may otherwise be determined by the Committee and except as with regard to vesting that occurs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no RSUs shall vest pursuant to this Agreement due to a Change in Control that is consummated prior to March 23, 2027. It is further understood and agreed that, in such circumstance, Grantee will not be entitled to any RSUs that have not vested preceding the occurrence of the Change in Control other than as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even if such RSUs are subject to the Catch-Up Provision.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ind w:firstLine="648"/>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xml:space="preserve">.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Any social security calculation or other adjustments discovered after the net Share payment described in clause (iii)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For purposes hereof, the “Withholding Tax Obligation” means the minimum amount necessary to satisfy Federal, state, local or foreign withholding tax requirements, if any, in connection with vesting of the Award; provided, however, that, unless otherwise determined by the Committee, the Grantee may elect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the year of vesting.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firstLine="656"/>
        <w:spacing w:after="0" w:line="277" w:lineRule="auto"/>
        <w:tabs>
          <w:tab w:leader="none" w:pos="97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0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0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94" w:lineRule="exact"/>
        <w:rPr>
          <w:rFonts w:ascii="Arial" w:cs="Arial" w:eastAsia="Arial" w:hAnsi="Arial"/>
          <w:sz w:val="18"/>
          <w:szCs w:val="18"/>
          <w:color w:val="auto"/>
        </w:rPr>
      </w:pPr>
    </w:p>
    <w:p>
      <w:pPr>
        <w:jc w:val="both"/>
        <w:ind w:firstLine="656"/>
        <w:spacing w:after="0" w:line="263" w:lineRule="auto"/>
        <w:tabs>
          <w:tab w:leader="none" w:pos="99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3" w:lineRule="exact"/>
        <w:rPr>
          <w:rFonts w:ascii="Arial" w:cs="Arial" w:eastAsia="Arial" w:hAnsi="Arial"/>
          <w:sz w:val="18"/>
          <w:szCs w:val="18"/>
          <w:color w:val="auto"/>
        </w:rPr>
      </w:pPr>
    </w:p>
    <w:p>
      <w:pPr>
        <w:jc w:val="both"/>
        <w:ind w:firstLine="656"/>
        <w:spacing w:after="0" w:line="285" w:lineRule="auto"/>
        <w:tabs>
          <w:tab w:leader="none" w:pos="103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1" w:lineRule="exact"/>
        <w:rPr>
          <w:rFonts w:ascii="Arial" w:cs="Arial" w:eastAsia="Arial" w:hAnsi="Arial"/>
          <w:sz w:val="16"/>
          <w:szCs w:val="16"/>
          <w:color w:val="auto"/>
        </w:rPr>
      </w:pPr>
    </w:p>
    <w:p>
      <w:pPr>
        <w:jc w:val="both"/>
        <w:ind w:firstLine="8"/>
        <w:spacing w:after="0" w:line="284" w:lineRule="auto"/>
        <w:tabs>
          <w:tab w:leader="none" w:pos="2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firstLine="656"/>
        <w:spacing w:after="0" w:line="308" w:lineRule="auto"/>
        <w:tabs>
          <w:tab w:leader="none" w:pos="97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jc w:val="both"/>
        <w:ind w:firstLine="656"/>
        <w:spacing w:after="0" w:line="257" w:lineRule="auto"/>
        <w:tabs>
          <w:tab w:leader="none" w:pos="96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7" w:lineRule="exact"/>
        <w:rPr>
          <w:rFonts w:ascii="Arial" w:cs="Arial" w:eastAsia="Arial" w:hAnsi="Arial"/>
          <w:sz w:val="18"/>
          <w:szCs w:val="18"/>
          <w:color w:val="auto"/>
        </w:rPr>
      </w:pPr>
    </w:p>
    <w:p>
      <w:pPr>
        <w:ind w:right="20" w:firstLine="656"/>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656" w:right="440" w:firstLine="656"/>
        <w:spacing w:after="0" w:line="308" w:lineRule="auto"/>
        <w:tabs>
          <w:tab w:leader="none" w:pos="39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Grantee shall not have voting or any other rights as a shareholder of the Company with respect to the RSUs. Grantee will obtain voting and other rights as a shareholder of the Company upon the settlement of the RSUs in Shares.</w:t>
      </w:r>
    </w:p>
    <w:p>
      <w:pPr>
        <w:spacing w:after="0" w:line="146" w:lineRule="exact"/>
        <w:rPr>
          <w:rFonts w:ascii="Arial" w:cs="Arial" w:eastAsia="Arial" w:hAnsi="Arial"/>
          <w:sz w:val="17"/>
          <w:szCs w:val="17"/>
          <w:color w:val="auto"/>
        </w:rPr>
      </w:pPr>
    </w:p>
    <w:p>
      <w:pPr>
        <w:ind w:left="-656" w:firstLine="656"/>
        <w:spacing w:after="0" w:line="308" w:lineRule="auto"/>
        <w:tabs>
          <w:tab w:leader="none" w:pos="39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404"/>
          </w:cols>
          <w:pgMar w:left="976" w:top="584" w:right="519" w:bottom="1440" w:gutter="0" w:footer="0" w:header="0"/>
        </w:sectPr>
      </w:pPr>
    </w:p>
    <w:p>
      <w:pPr>
        <w:spacing w:after="0" w:line="362"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To the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500 11</w:t>
      </w:r>
      <w:r>
        <w:rPr>
          <w:rFonts w:ascii="Arial" w:cs="Arial" w:eastAsia="Arial" w:hAnsi="Arial"/>
          <w:sz w:val="12"/>
          <w:szCs w:val="12"/>
          <w:color w:val="auto"/>
        </w:rPr>
        <w:t>th</w:t>
      </w:r>
      <w:r>
        <w:rPr>
          <w:rFonts w:ascii="Arial" w:cs="Arial" w:eastAsia="Arial" w:hAnsi="Arial"/>
          <w:sz w:val="16"/>
          <w:szCs w:val="16"/>
          <w:color w:val="auto"/>
        </w:rPr>
        <w:t xml:space="preserve"> Avenue North, Suite 1000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304" w:space="720"/>
            <w:col w:w="8380"/>
          </w:cols>
          <w:pgMar w:left="976" w:top="584" w:right="519" w:bottom="1440" w:gutter="0" w:footer="0" w:header="0"/>
          <w:type w:val="continuous"/>
        </w:sect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To the Grantee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124" w:space="400"/>
            <w:col w:w="8880"/>
          </w:cols>
          <w:pgMar w:left="976" w:top="584" w:right="51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WITNESS WHEREOF, the parties have caused this Agreement to be duly executed effective as of the day and year first above written.</w:t>
      </w:r>
    </w:p>
    <w:p>
      <w:pPr>
        <w:spacing w:after="0" w:line="200" w:lineRule="exact"/>
        <w:rPr>
          <w:sz w:val="20"/>
          <w:szCs w:val="20"/>
          <w:color w:val="auto"/>
        </w:rPr>
      </w:pPr>
    </w:p>
    <w:p>
      <w:pPr>
        <w:spacing w:after="0" w:line="260" w:lineRule="exact"/>
        <w:rPr>
          <w:sz w:val="20"/>
          <w:szCs w:val="20"/>
          <w:color w:val="auto"/>
        </w:rPr>
      </w:pPr>
    </w:p>
    <w:p>
      <w:pPr>
        <w:ind w:left="3244"/>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5"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29" w:lineRule="exact"/>
        <w:rPr>
          <w:sz w:val="20"/>
          <w:szCs w:val="20"/>
          <w:color w:val="auto"/>
        </w:rPr>
      </w:pPr>
    </w:p>
    <w:p>
      <w:pPr>
        <w:ind w:left="3164"/>
        <w:spacing w:after="0"/>
        <w:rPr>
          <w:sz w:val="20"/>
          <w:szCs w:val="20"/>
          <w:color w:val="auto"/>
        </w:rPr>
      </w:pPr>
      <w:r>
        <w:rPr>
          <w:rFonts w:ascii="Arial" w:cs="Arial" w:eastAsia="Arial" w:hAnsi="Arial"/>
          <w:sz w:val="18"/>
          <w:szCs w:val="18"/>
          <w:u w:val="single" w:color="auto"/>
          <w:color w:val="auto"/>
        </w:rPr>
        <w:t>___________________________________</w:t>
      </w:r>
    </w:p>
    <w:p>
      <w:pPr>
        <w:spacing w:after="0" w:line="23" w:lineRule="exact"/>
        <w:rPr>
          <w:sz w:val="20"/>
          <w:szCs w:val="20"/>
          <w:color w:val="auto"/>
        </w:rPr>
      </w:pPr>
    </w:p>
    <w:p>
      <w:pPr>
        <w:ind w:left="3624" w:hanging="456"/>
        <w:spacing w:after="0"/>
        <w:tabs>
          <w:tab w:leader="none" w:pos="3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456"/>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75565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4"/>
          </w:cols>
          <w:pgMar w:left="976" w:top="584" w:right="51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purposes of this Award, performance will be measured over the following five performance periods (the “</w:t>
      </w:r>
      <w:r>
        <w:rPr>
          <w:rFonts w:ascii="Arial" w:cs="Arial" w:eastAsia="Arial" w:hAnsi="Arial"/>
          <w:sz w:val="18"/>
          <w:szCs w:val="18"/>
          <w:u w:val="single" w:color="auto"/>
          <w:color w:val="auto"/>
        </w:rPr>
        <w:t>Performance Periods</w:t>
      </w:r>
      <w:r>
        <w:rPr>
          <w:rFonts w:ascii="Arial" w:cs="Arial" w:eastAsia="Arial" w:hAnsi="Arial"/>
          <w:sz w:val="18"/>
          <w:szCs w:val="18"/>
          <w:color w:val="auto"/>
        </w:rPr>
        <w:t>”): (i) the period beginning on January 1, 2022 and ending on December 31, 2022 (the “</w:t>
      </w:r>
      <w:r>
        <w:rPr>
          <w:rFonts w:ascii="Arial" w:cs="Arial" w:eastAsia="Arial" w:hAnsi="Arial"/>
          <w:sz w:val="18"/>
          <w:szCs w:val="18"/>
          <w:u w:val="single" w:color="auto"/>
          <w:color w:val="auto"/>
        </w:rPr>
        <w:t>Initial Performance Period</w:t>
      </w:r>
      <w:r>
        <w:rPr>
          <w:rFonts w:ascii="Arial" w:cs="Arial" w:eastAsia="Arial" w:hAnsi="Arial"/>
          <w:sz w:val="18"/>
          <w:szCs w:val="18"/>
          <w:color w:val="auto"/>
        </w:rPr>
        <w:t>”; all Performance Periods other than the Initial Performance Period, “</w:t>
      </w:r>
      <w:r>
        <w:rPr>
          <w:rFonts w:ascii="Arial" w:cs="Arial" w:eastAsia="Arial" w:hAnsi="Arial"/>
          <w:sz w:val="18"/>
          <w:szCs w:val="18"/>
          <w:u w:val="single" w:color="auto"/>
          <w:color w:val="auto"/>
        </w:rPr>
        <w:t>Subsequent Performance Periods</w:t>
      </w:r>
      <w:r>
        <w:rPr>
          <w:rFonts w:ascii="Arial" w:cs="Arial" w:eastAsia="Arial" w:hAnsi="Arial"/>
          <w:sz w:val="18"/>
          <w:szCs w:val="18"/>
          <w:color w:val="auto"/>
        </w:rPr>
        <w:t>”), (ii) the period beginning on January 1, 2023, and ending on December 31, 2023, (iii) the period beginning on January 1, 2024, and ending on December 31, 2024, (iv) the period beginning on January 1, 2025 and ending on December 31, 2025, and (v) the period beginning on January 1, 2026 and ending on December 31, 2026. For purposes of this Award, the performance criteria referenced herein for any Performance Period is referred to as the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of the Performance Periods, the Committee shall determine (the “</w:t>
      </w:r>
      <w:r>
        <w:rPr>
          <w:rFonts w:ascii="Arial" w:cs="Arial" w:eastAsia="Arial" w:hAnsi="Arial"/>
          <w:sz w:val="18"/>
          <w:szCs w:val="18"/>
          <w:u w:val="single" w:color="auto"/>
          <w:color w:val="auto"/>
        </w:rPr>
        <w:t>Determination</w:t>
      </w:r>
      <w:r>
        <w:rPr>
          <w:rFonts w:ascii="Arial" w:cs="Arial" w:eastAsia="Arial" w:hAnsi="Arial"/>
          <w:sz w:val="18"/>
          <w:szCs w:val="18"/>
          <w:color w:val="auto"/>
        </w:rPr>
        <w:t>”) the Performance Criteria on an annual basis, and it is anticipated that the Performance Criteria will be based on one or more annual financial performance targets of the Company and/or annual financial performance targets of the business unit over which the Grantee has primary responsibility, which annual financial performance targets may include, among other things, operating income, Adjusted EBITDA and revenue thresholds of the Company and/or the applicable business unit (the “</w:t>
      </w:r>
      <w:r>
        <w:rPr>
          <w:rFonts w:ascii="Arial" w:cs="Arial" w:eastAsia="Arial" w:hAnsi="Arial"/>
          <w:sz w:val="18"/>
          <w:szCs w:val="18"/>
          <w:u w:val="single" w:color="auto"/>
          <w:color w:val="auto"/>
        </w:rPr>
        <w:t>Financial Metric</w:t>
      </w:r>
      <w:r>
        <w:rPr>
          <w:rFonts w:ascii="Arial" w:cs="Arial" w:eastAsia="Arial" w:hAnsi="Arial"/>
          <w:sz w:val="18"/>
          <w:szCs w:val="18"/>
          <w:color w:val="auto"/>
        </w:rPr>
        <w:t>”) as determined by the Committee in connection with the Determination. Determination of the Performance Criteria for the Initial Performance Period shall be determined by the Committee at or near the time this Agreement is approved by the Committee. The Determination of the Performance Criteria for each of the Subsequent Performance Periods shall be determined by the Committee within 90 calendar days following the beginning of each Subsequent Performance Period.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performance achieved in the applicable Performance Period meets or exceeds the established target goal level as established by the Committee, 100% of the RSUs eligible to vest in respect of such Performance Period pursuant to Section 2.1 shall vest and settle pursuant to the terms of this Agreement. If the performance achieved in the applicable Performance Period is less than the established target goal level as established by the Committee, none of the RSUs eligible to vest in respect of such Performance Period pursuant to Section 2.1 shall vest and settle pursuant to the terms of this Agreement. In addition, except as otherwise determined by the Committee, the impact of any acquisitions or divestitures that are pursued or completed during any Performance Period shall be excluded from the calculation of the Financial Metric for such Performance Period pursuant to the terms of this Agreement, including, without limitation, any expenses associated with acquisitions or divestitures pursued or completed during Performance Period and operating income (loss), Adjusted EBITDA and revenue, as applicable, resulting from acquisitions and divestitures completed during such Performance Period.</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 connection with making the Determination for each corresponding Subsequent Performance Period, the Committee will establish criteria by which RSUs (if any) that have not vested with respect to the prior year’s Performance Period may vest in part or in full on the Vesting Date for the Subsequent Performance Period to the extent that the Performance Criteria for such Subsequent Performance Period is exceeded by an amount as determined at such time by the Committee in connection with the Determination (the “</w:t>
      </w:r>
      <w:r>
        <w:rPr>
          <w:rFonts w:ascii="Arial" w:cs="Arial" w:eastAsia="Arial" w:hAnsi="Arial"/>
          <w:sz w:val="18"/>
          <w:szCs w:val="18"/>
          <w:u w:val="single" w:color="auto"/>
          <w:color w:val="auto"/>
        </w:rPr>
        <w:t>Catch-Up Provision</w:t>
      </w:r>
      <w:r>
        <w:rPr>
          <w:rFonts w:ascii="Arial" w:cs="Arial" w:eastAsia="Arial" w:hAnsi="Arial"/>
          <w:sz w:val="18"/>
          <w:szCs w:val="18"/>
          <w:color w:val="auto"/>
        </w:rPr>
        <w:t>”); provided, however, that in the event that RSUs do not vest in any calendar year and thus are available to vest in the succeeding calendar year (the “</w:t>
      </w:r>
      <w:r>
        <w:rPr>
          <w:rFonts w:ascii="Arial" w:cs="Arial" w:eastAsia="Arial" w:hAnsi="Arial"/>
          <w:sz w:val="18"/>
          <w:szCs w:val="18"/>
          <w:u w:val="single" w:color="auto"/>
          <w:color w:val="auto"/>
        </w:rPr>
        <w:t>Succeeding Year</w:t>
      </w:r>
      <w:r>
        <w:rPr>
          <w:rFonts w:ascii="Arial" w:cs="Arial" w:eastAsia="Arial" w:hAnsi="Arial"/>
          <w:sz w:val="18"/>
          <w:szCs w:val="18"/>
          <w:color w:val="auto"/>
        </w:rPr>
        <w:t>”) pursuant to the Catch-Up Provision, and subsequently do not vest in such Succeeding Year, then such RSUs will not be eligible to vest in any subsequent calendar year that follows such Succeeding Year.</w:t>
      </w:r>
    </w:p>
    <w:p>
      <w:pPr>
        <w:sectPr>
          <w:pgSz w:w="11900" w:h="16838" w:orient="portrait"/>
          <w:cols w:equalWidth="0" w:num="1">
            <w:col w:w="11240"/>
          </w:cols>
          <w:pgMar w:left="320" w:top="58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This RESTRICTED SHARE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March, 2022 (the “</w:t>
      </w:r>
      <w:r>
        <w:rPr>
          <w:rFonts w:ascii="Arial" w:cs="Arial" w:eastAsia="Arial" w:hAnsi="Arial"/>
          <w:sz w:val="18"/>
          <w:szCs w:val="18"/>
          <w:u w:val="single" w:color="auto"/>
          <w:color w:val="auto"/>
        </w:rPr>
        <w:t>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between HealthStream, Inc., a Tennessee corporation (together with its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and [ ] (the “</w:t>
      </w:r>
      <w:r>
        <w:rPr>
          <w:rFonts w:ascii="Arial" w:cs="Arial" w:eastAsia="Arial" w:hAnsi="Arial"/>
          <w:sz w:val="18"/>
          <w:szCs w:val="18"/>
          <w:u w:val="single" w:color="auto"/>
          <w:color w:val="auto"/>
        </w:rPr>
        <w:t>Grantee</w:t>
      </w:r>
      <w:r>
        <w:rPr>
          <w:rFonts w:ascii="Arial" w:cs="Arial" w:eastAsia="Arial" w:hAnsi="Arial"/>
          <w:sz w:val="18"/>
          <w:szCs w:val="18"/>
          <w:color w:val="auto"/>
        </w:rPr>
        <w:t>”). Capitalized terms not otherwise defined herein shall have the meaning ascribed to such terms in the HealthStream, Inc. 2022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has determined that it would be to the advantage and best interest of the Company and its shareholders to grant an award of the RSUs (as defined below) as a “Restricted Share Unit Award” as defined by and pursuant to the terms of the Plan, and pursuant to the terms set forth herein, subject to and contingent upon the approval of the Plan by the shareholders of the Company at the annual meeting of the shareholders to be held on May 26, 2022 (such meeting, including any adjournments or postponements thereof, the “</w:t>
      </w:r>
      <w:r>
        <w:rPr>
          <w:rFonts w:ascii="Arial" w:cs="Arial" w:eastAsia="Arial" w:hAnsi="Arial"/>
          <w:sz w:val="18"/>
          <w:szCs w:val="18"/>
          <w:u w:val="single" w:color="auto"/>
          <w:color w:val="auto"/>
        </w:rPr>
        <w:t>Annual Shareholders Meeting</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Company hereby grants to the Grantee an award (“</w:t>
      </w:r>
      <w:r>
        <w:rPr>
          <w:rFonts w:ascii="Arial" w:cs="Arial" w:eastAsia="Arial" w:hAnsi="Arial"/>
          <w:sz w:val="16"/>
          <w:szCs w:val="16"/>
          <w:u w:val="single" w:color="auto"/>
          <w:color w:val="auto"/>
        </w:rPr>
        <w:t>Award</w:t>
      </w:r>
      <w:r>
        <w:rPr>
          <w:rFonts w:ascii="Arial" w:cs="Arial" w:eastAsia="Arial" w:hAnsi="Arial"/>
          <w:sz w:val="16"/>
          <w:szCs w:val="16"/>
          <w:color w:val="auto"/>
        </w:rPr>
        <w:t>”) of [____] Restricted Share Units (“</w:t>
      </w:r>
      <w:r>
        <w:rPr>
          <w:rFonts w:ascii="Arial" w:cs="Arial" w:eastAsia="Arial" w:hAnsi="Arial"/>
          <w:sz w:val="16"/>
          <w:szCs w:val="16"/>
          <w:u w:val="single" w:color="auto"/>
          <w:color w:val="auto"/>
        </w:rPr>
        <w:t>RSUs</w:t>
      </w:r>
      <w:r>
        <w:rPr>
          <w:rFonts w:ascii="Arial" w:cs="Arial" w:eastAsia="Arial" w:hAnsi="Arial"/>
          <w:sz w:val="16"/>
          <w:szCs w:val="16"/>
          <w:color w:val="auto"/>
        </w:rPr>
        <w:t>”) on the terms and conditions set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forth in this Agreement and as otherwise provided in the Plan. The Award of RSUs pursuant to this Agreement is subject to and contingent upon shareholder approval of the Plan at the Annual Shareholders Meeting, and in the event that the shareholders of the Company do not approve the Plan at the Annual Shareholders Meeting, the Award of RSUs will not be made and will be cancelled. Each RSU shall have a value equal to the Fair Market Value of one Share. A bookkeeping account will be maintained by the Company to keep track of the RSUs.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8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 The RSUs subject to this Award shall vest as follows, subject to the time-based vesting condition set forth in the last sentence of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Catch-Up Provision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(all such vesting dates as set forth below, the “</w:t>
      </w:r>
      <w:r>
        <w:rPr>
          <w:rFonts w:ascii="Arial" w:cs="Arial" w:eastAsia="Arial" w:hAnsi="Arial"/>
          <w:sz w:val="17"/>
          <w:szCs w:val="17"/>
          <w:u w:val="single" w:color="auto"/>
          <w:color w:val="auto"/>
        </w:rPr>
        <w:t>Vesting Dates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firstLine="1304"/>
        <w:spacing w:after="0" w:line="342" w:lineRule="auto"/>
        <w:tabs>
          <w:tab w:leader="none" w:pos="17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Up to [_____] RSUs (15% of the total RSUs) shall vest on March 23, 2023, based on the extent of the satisfaction of the Performance Criteria (as defined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period beginning on January 1, 2022 and ending December 31, 2022, as referenced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1304"/>
        <w:spacing w:after="0" w:line="277" w:lineRule="auto"/>
        <w:tabs>
          <w:tab w:leader="none" w:pos="17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2024, based on the extent of the satisfaction of the Performance Criteria for the period beginning on January 1, 2023 and ending December 31, 2023,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1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2025, based on the extent of the satisfaction of the performance criteria for the period beginning on January 1, 2024 and ending December 31, 2024,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17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 to [ ] RSUs (20% of the total RSUs) shall vest on March 23, 2026, based on the extent of the satisfaction of the performance criteria for the period beginning on January 1, 2025 and ending December 31, 2025,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0" w:firstLine="1304"/>
        <w:spacing w:after="0" w:line="277" w:lineRule="auto"/>
        <w:tabs>
          <w:tab w:leader="none" w:pos="17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 to [ ] RSUs (25% of the total RSUs) shall vest on March 23, 2027, based on the extent of the satisfaction of the performance criteria for the period beginning on January 1, 2026 and ending December 31, 2026, as referenced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the foregoing or anything contained herein to the contrary (but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 this Award shall not become vested as to any additional RSUs following the Grantee’s termination of employment with the Company for any reason and Grantee shall forfeit any unvested RSUs as of the date of such termination of employment.</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1" w:lineRule="auto"/>
        <w:tabs>
          <w:tab w:leader="none" w:pos="10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to the contrary, except as may otherwise be determined by the Committee, in the event that there is a Change in Control (as defined in the Plan) that is consummated prior to March 23, 2027, then upon the occurrence of such Change in Control, this Award shall become vested immediately prior to a Change in Control as to 100% of the RSUs otherwise eligible for vesting in (i) the then current Performance Period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which the Vesting Date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has not yet occurred, (ii) the next Subsequent Performance Period for which the Vesting Date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has not yet occurred, and (iii) in the event that the Change in Control has been consummated following the end of a calendar year but prior to the next Vesting Date (i.e., on which vesting would occur based on the performance for such calendar year), then the RSUs will vest for such calendar year concurrently with the consummation of the Change in Control based on the extent of the satisfaction of the performance criteria for such calendar year as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firstLine="656"/>
        <w:spacing w:after="0" w:line="257" w:lineRule="auto"/>
        <w:tabs>
          <w:tab w:leader="none" w:pos="10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except as may otherwise be determined by the Committee and except as with regard to vesting that occurs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no RSUs shall vest pursuant to this Agreement due to a Change in Control that is consummated prior to March 23, 2027. It is further understood and agreed that, in such circumstance, Grantee will not be entitled to any RSUs that have not vested preceding the occurrence of the Change in Control other than as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above even if such RSUs are subject to the Catch-Up Provision.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xml:space="preserve">.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Any social security calculation or other adjustments discovered after the net Share payment described in clause (iii)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For purposes hereof, the “Withholding Tax Obligation” means the minimum amount necessary to satisfy Federal, state, local or foreign withholding tax requirements, if any, in connection with vesting of the Award; provided, however, that, unless otherwise determined by the Committee, the Grantee may elect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the year of vesting.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firstLine="656"/>
        <w:spacing w:after="0" w:line="277" w:lineRule="auto"/>
        <w:tabs>
          <w:tab w:leader="none" w:pos="97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0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0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94" w:lineRule="exact"/>
        <w:rPr>
          <w:rFonts w:ascii="Arial" w:cs="Arial" w:eastAsia="Arial" w:hAnsi="Arial"/>
          <w:sz w:val="18"/>
          <w:szCs w:val="18"/>
          <w:color w:val="auto"/>
        </w:rPr>
      </w:pPr>
    </w:p>
    <w:p>
      <w:pPr>
        <w:jc w:val="both"/>
        <w:ind w:firstLine="656"/>
        <w:spacing w:after="0" w:line="263" w:lineRule="auto"/>
        <w:tabs>
          <w:tab w:leader="none" w:pos="99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3" w:lineRule="exact"/>
        <w:rPr>
          <w:rFonts w:ascii="Arial" w:cs="Arial" w:eastAsia="Arial" w:hAnsi="Arial"/>
          <w:sz w:val="18"/>
          <w:szCs w:val="18"/>
          <w:color w:val="auto"/>
        </w:rPr>
      </w:pPr>
    </w:p>
    <w:p>
      <w:pPr>
        <w:jc w:val="both"/>
        <w:ind w:firstLine="656"/>
        <w:spacing w:after="0" w:line="285" w:lineRule="auto"/>
        <w:tabs>
          <w:tab w:leader="none" w:pos="103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1" w:lineRule="exact"/>
        <w:rPr>
          <w:rFonts w:ascii="Arial" w:cs="Arial" w:eastAsia="Arial" w:hAnsi="Arial"/>
          <w:sz w:val="16"/>
          <w:szCs w:val="16"/>
          <w:color w:val="auto"/>
        </w:rPr>
      </w:pPr>
    </w:p>
    <w:p>
      <w:pPr>
        <w:jc w:val="both"/>
        <w:ind w:firstLine="8"/>
        <w:spacing w:after="0" w:line="284" w:lineRule="auto"/>
        <w:tabs>
          <w:tab w:leader="none" w:pos="2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firstLine="656"/>
        <w:spacing w:after="0" w:line="308" w:lineRule="auto"/>
        <w:tabs>
          <w:tab w:leader="none" w:pos="97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jc w:val="both"/>
        <w:ind w:firstLine="656"/>
        <w:spacing w:after="0" w:line="257" w:lineRule="auto"/>
        <w:tabs>
          <w:tab w:leader="none" w:pos="96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7" w:lineRule="exact"/>
        <w:rPr>
          <w:rFonts w:ascii="Arial" w:cs="Arial" w:eastAsia="Arial" w:hAnsi="Arial"/>
          <w:sz w:val="18"/>
          <w:szCs w:val="18"/>
          <w:color w:val="auto"/>
        </w:rPr>
      </w:pPr>
    </w:p>
    <w:p>
      <w:pPr>
        <w:ind w:right="20" w:firstLine="656"/>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ind w:left="-656" w:firstLine="656"/>
        <w:spacing w:after="0" w:line="263" w:lineRule="auto"/>
        <w:tabs>
          <w:tab w:leader="none" w:pos="43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3" w:lineRule="exact"/>
        <w:rPr>
          <w:rFonts w:ascii="Arial" w:cs="Arial" w:eastAsia="Arial" w:hAnsi="Arial"/>
          <w:sz w:val="18"/>
          <w:szCs w:val="18"/>
          <w:color w:val="auto"/>
        </w:rPr>
      </w:pPr>
    </w:p>
    <w:p>
      <w:pPr>
        <w:jc w:val="both"/>
        <w:ind w:left="-656" w:firstLine="656"/>
        <w:spacing w:after="0" w:line="286" w:lineRule="auto"/>
        <w:tabs>
          <w:tab w:leader="none" w:pos="47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Grantee shall not have voting or any other rights as a shareholder of the Company with respect to the RSUs. Grantee will obtain voting and other rights as a shareholder of the Company upon the settlement of the RSUs in Shares; provided, however, that, for purposes of clarity, in no event will any settlement of the RSUs occur prior to the approval of the Plan at the Annual Shareholders Meeting.</w:t>
      </w:r>
    </w:p>
    <w:p>
      <w:pPr>
        <w:spacing w:after="0" w:line="165" w:lineRule="exact"/>
        <w:rPr>
          <w:rFonts w:ascii="Arial" w:cs="Arial" w:eastAsia="Arial" w:hAnsi="Arial"/>
          <w:sz w:val="17"/>
          <w:szCs w:val="17"/>
          <w:color w:val="auto"/>
        </w:rPr>
      </w:pPr>
    </w:p>
    <w:p>
      <w:pPr>
        <w:ind w:left="-656" w:firstLine="656"/>
        <w:spacing w:after="0" w:line="277"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584"/>
          </w:cols>
          <w:pgMar w:left="976" w:top="584" w:right="339" w:bottom="1440" w:gutter="0" w:footer="0" w:header="0"/>
        </w:sectPr>
      </w:pPr>
    </w:p>
    <w:p>
      <w:pPr>
        <w:spacing w:after="0" w:line="38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To the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500 11</w:t>
      </w:r>
      <w:r>
        <w:rPr>
          <w:rFonts w:ascii="Arial" w:cs="Arial" w:eastAsia="Arial" w:hAnsi="Arial"/>
          <w:sz w:val="12"/>
          <w:szCs w:val="12"/>
          <w:color w:val="auto"/>
        </w:rPr>
        <w:t>th</w:t>
      </w:r>
      <w:r>
        <w:rPr>
          <w:rFonts w:ascii="Arial" w:cs="Arial" w:eastAsia="Arial" w:hAnsi="Arial"/>
          <w:sz w:val="16"/>
          <w:szCs w:val="16"/>
          <w:color w:val="auto"/>
        </w:rPr>
        <w:t xml:space="preserve"> Avenue North, Suite 1000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304" w:space="720"/>
            <w:col w:w="8560"/>
          </w:cols>
          <w:pgMar w:left="976" w:top="584" w:right="339" w:bottom="1440" w:gutter="0" w:footer="0" w:header="0"/>
          <w:type w:val="continuous"/>
        </w:sect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To the Grantee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304" w:space="720"/>
            <w:col w:w="8560"/>
          </w:cols>
          <w:pgMar w:left="976" w:top="584"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616"/>
        <w:spacing w:after="0"/>
        <w:rPr>
          <w:sz w:val="20"/>
          <w:szCs w:val="20"/>
          <w:color w:val="auto"/>
        </w:rPr>
      </w:pPr>
      <w:r>
        <w:rPr>
          <w:rFonts w:ascii="Arial" w:cs="Arial" w:eastAsia="Arial" w:hAnsi="Arial"/>
          <w:sz w:val="16"/>
          <w:szCs w:val="16"/>
          <w:color w:val="auto"/>
        </w:rPr>
        <w:t>IN WITNESS WHEREOF, the parties have caused this Agreement to be duly executed effective as of the day and year first above written.</w:t>
      </w:r>
    </w:p>
    <w:p>
      <w:pPr>
        <w:spacing w:after="0" w:line="200" w:lineRule="exact"/>
        <w:rPr>
          <w:sz w:val="20"/>
          <w:szCs w:val="20"/>
          <w:color w:val="auto"/>
        </w:rPr>
      </w:pPr>
    </w:p>
    <w:p>
      <w:pPr>
        <w:spacing w:after="0" w:line="260" w:lineRule="exact"/>
        <w:rPr>
          <w:sz w:val="20"/>
          <w:szCs w:val="20"/>
          <w:color w:val="auto"/>
        </w:rPr>
      </w:pPr>
    </w:p>
    <w:p>
      <w:pPr>
        <w:ind w:left="3244"/>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5"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244"/>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29" w:lineRule="exact"/>
        <w:rPr>
          <w:sz w:val="20"/>
          <w:szCs w:val="20"/>
          <w:color w:val="auto"/>
        </w:rPr>
      </w:pPr>
    </w:p>
    <w:p>
      <w:pPr>
        <w:ind w:left="3244"/>
        <w:spacing w:after="0"/>
        <w:rPr>
          <w:sz w:val="20"/>
          <w:szCs w:val="20"/>
          <w:color w:val="auto"/>
        </w:rPr>
      </w:pPr>
      <w:r>
        <w:rPr>
          <w:rFonts w:ascii="Arial" w:cs="Arial" w:eastAsia="Arial" w:hAnsi="Arial"/>
          <w:sz w:val="18"/>
          <w:szCs w:val="18"/>
          <w:u w:val="single" w:color="auto"/>
          <w:color w:val="auto"/>
        </w:rPr>
        <w:t>___________________________________</w:t>
      </w:r>
    </w:p>
    <w:p>
      <w:pPr>
        <w:spacing w:after="0" w:line="23" w:lineRule="exact"/>
        <w:rPr>
          <w:sz w:val="20"/>
          <w:szCs w:val="20"/>
          <w:color w:val="auto"/>
        </w:rPr>
      </w:pPr>
    </w:p>
    <w:p>
      <w:pPr>
        <w:ind w:left="3704" w:hanging="464"/>
        <w:spacing w:after="0"/>
        <w:tabs>
          <w:tab w:leader="none" w:pos="37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636"/>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75565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Award, performance will be measured over the following five performance periods (the “</w:t>
      </w:r>
      <w:r>
        <w:rPr>
          <w:rFonts w:ascii="Arial" w:cs="Arial" w:eastAsia="Arial" w:hAnsi="Arial"/>
          <w:sz w:val="18"/>
          <w:szCs w:val="18"/>
          <w:u w:val="single" w:color="auto"/>
          <w:color w:val="auto"/>
        </w:rPr>
        <w:t>Performance Periods</w:t>
      </w:r>
      <w:r>
        <w:rPr>
          <w:rFonts w:ascii="Arial" w:cs="Arial" w:eastAsia="Arial" w:hAnsi="Arial"/>
          <w:sz w:val="18"/>
          <w:szCs w:val="18"/>
          <w:color w:val="auto"/>
        </w:rPr>
        <w:t>”): (i) the period beginning on January 1, 2022 and ending on December 31, 2022 (the “</w:t>
      </w:r>
      <w:r>
        <w:rPr>
          <w:rFonts w:ascii="Arial" w:cs="Arial" w:eastAsia="Arial" w:hAnsi="Arial"/>
          <w:sz w:val="18"/>
          <w:szCs w:val="18"/>
          <w:u w:val="single" w:color="auto"/>
          <w:color w:val="auto"/>
        </w:rPr>
        <w:t>Initial Performance Period</w:t>
      </w:r>
      <w:r>
        <w:rPr>
          <w:rFonts w:ascii="Arial" w:cs="Arial" w:eastAsia="Arial" w:hAnsi="Arial"/>
          <w:sz w:val="18"/>
          <w:szCs w:val="18"/>
          <w:color w:val="auto"/>
        </w:rPr>
        <w:t>”; all Performance Periods other than the Initial Performance Period, “</w:t>
      </w:r>
      <w:r>
        <w:rPr>
          <w:rFonts w:ascii="Arial" w:cs="Arial" w:eastAsia="Arial" w:hAnsi="Arial"/>
          <w:sz w:val="18"/>
          <w:szCs w:val="18"/>
          <w:u w:val="single" w:color="auto"/>
          <w:color w:val="auto"/>
        </w:rPr>
        <w:t>Subsequent Performance Periods</w:t>
      </w:r>
      <w:r>
        <w:rPr>
          <w:rFonts w:ascii="Arial" w:cs="Arial" w:eastAsia="Arial" w:hAnsi="Arial"/>
          <w:sz w:val="18"/>
          <w:szCs w:val="18"/>
          <w:color w:val="auto"/>
        </w:rPr>
        <w:t>”), (ii) the period beginning on January 1, 2023, and ending on December 31, 2023, (iii) the period beginning on January 1, 2024, and ending on December 31, 2024, (iv) the period beginning on January 1, 2025 and ending on December 31, 2025, and (v) the period beginning on January 1, 2026 and ending on December 31, 2026. For purposes of this Award, the performance criteria referenced herein for any Performance Period is referred to as the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each of the Performance Periods, the Committee shall determine (the “</w:t>
      </w:r>
      <w:r>
        <w:rPr>
          <w:rFonts w:ascii="Arial" w:cs="Arial" w:eastAsia="Arial" w:hAnsi="Arial"/>
          <w:sz w:val="18"/>
          <w:szCs w:val="18"/>
          <w:u w:val="single" w:color="auto"/>
          <w:color w:val="auto"/>
        </w:rPr>
        <w:t>Determination</w:t>
      </w:r>
      <w:r>
        <w:rPr>
          <w:rFonts w:ascii="Arial" w:cs="Arial" w:eastAsia="Arial" w:hAnsi="Arial"/>
          <w:sz w:val="18"/>
          <w:szCs w:val="18"/>
          <w:color w:val="auto"/>
        </w:rPr>
        <w:t>”) the Performance Criteria on an annual basis, and it is anticipated that the Performance Criteria will be based on one or more annual financial performance targets of the Company and/or annual financial performance targets of the business unit over which the Grantee has primary responsibility, which annual financial performance targets may include, among other things, operating income, Adjusted EBITDA and revenue thresholds of the Company and/or the applicable business unit (the “</w:t>
      </w:r>
      <w:r>
        <w:rPr>
          <w:rFonts w:ascii="Arial" w:cs="Arial" w:eastAsia="Arial" w:hAnsi="Arial"/>
          <w:sz w:val="18"/>
          <w:szCs w:val="18"/>
          <w:u w:val="single" w:color="auto"/>
          <w:color w:val="auto"/>
        </w:rPr>
        <w:t>Financial Metric</w:t>
      </w:r>
      <w:r>
        <w:rPr>
          <w:rFonts w:ascii="Arial" w:cs="Arial" w:eastAsia="Arial" w:hAnsi="Arial"/>
          <w:sz w:val="18"/>
          <w:szCs w:val="18"/>
          <w:color w:val="auto"/>
        </w:rPr>
        <w:t>”) as determined by the Committee in connection with the Determination. Determination of the Performance Criteria for the Initial Performance Period shall be determined by the Committee at or near the time this Agreement is approved by the Committee. The Determination of the Performance Criteria for each of the Subsequent Performance Periods shall be determined by the Committee within 90 calendar days following the beginning of each Subsequent Performance Period.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performance achieved in the applicable Performance Period meets or exceeds the established target goal level as established by the Committee, 100% of the RSUs eligible to vest in respect of such Performance Period pursuant to Section 2.1 shall vest and settle pursuant to the terms of this Agreement. If the performance achieved in the applicable Performance Period is less than the established target goal level as established by the Committee, none of the RSUs eligible to vest in respect of such Performance Period pursuant to Section 2.1 shall vest and settle pursuant to the terms of this Agreement. In addition, except as otherwise determined by the Committee, the impact of any acquisitions or divestitures that are pursued or completed during any Performance Period shall be excluded from the calculation of the Financial Metric for such Performance Period pursuant to the terms of this Agreement, including, without limitation, any expenses associated with acquisitions or divestitures pursued or completed during Performance Period and operating income (loss), Adjusted EBITDA and revenue, as applicable, resulting from acquisitions and divestitures completed during such Performance Period.</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 connection with making the Determination for each corresponding Subsequent Performance Period, the Committee will establish criteria by which RSUs (if any) that have not vested with respect to the prior year’s Performance Period may vest in part or in full on the Vesting Date for the Subsequent Performance Period to the extent that the Performance Criteria for such Subsequent Performance Period is exceeded by an amount as determined at such time by the Committee in connection with the Determination (the “</w:t>
      </w:r>
      <w:r>
        <w:rPr>
          <w:rFonts w:ascii="Arial" w:cs="Arial" w:eastAsia="Arial" w:hAnsi="Arial"/>
          <w:sz w:val="18"/>
          <w:szCs w:val="18"/>
          <w:u w:val="single" w:color="auto"/>
          <w:color w:val="auto"/>
        </w:rPr>
        <w:t>Catch-Up Provision</w:t>
      </w:r>
      <w:r>
        <w:rPr>
          <w:rFonts w:ascii="Arial" w:cs="Arial" w:eastAsia="Arial" w:hAnsi="Arial"/>
          <w:sz w:val="18"/>
          <w:szCs w:val="18"/>
          <w:color w:val="auto"/>
        </w:rPr>
        <w:t>”); provided, however, that in the event that RSUs do not vest in any calendar year and thus are available to vest in the succeeding calendar year (the “</w:t>
      </w:r>
      <w:r>
        <w:rPr>
          <w:rFonts w:ascii="Arial" w:cs="Arial" w:eastAsia="Arial" w:hAnsi="Arial"/>
          <w:sz w:val="18"/>
          <w:szCs w:val="18"/>
          <w:u w:val="single" w:color="auto"/>
          <w:color w:val="auto"/>
        </w:rPr>
        <w:t>Succeeding Year</w:t>
      </w:r>
      <w:r>
        <w:rPr>
          <w:rFonts w:ascii="Arial" w:cs="Arial" w:eastAsia="Arial" w:hAnsi="Arial"/>
          <w:sz w:val="18"/>
          <w:szCs w:val="18"/>
          <w:color w:val="auto"/>
        </w:rPr>
        <w:t>”) pursuant to the Catch-Up Provision, and subsequently do not vest in such Succeeding Year, then such RSUs will not be eligible to vest in any subsequent calendar year that follows such Succeeding Year.</w:t>
      </w:r>
    </w:p>
    <w:p>
      <w:pPr>
        <w:sectPr>
          <w:pgSz w:w="11900" w:h="16838" w:orient="portrait"/>
          <w:cols w:equalWidth="0" w:num="1">
            <w:col w:w="11240"/>
          </w:cols>
          <w:pgMar w:left="320" w:top="58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RESTRICTED SHARE UNIT AGREEMENT (this “Agreement”) is made and entered into as of the 23rd day of March, 2022 (the “Grant Date”), between HealthStream, Inc., a Tennessee corporation (together with its Subsidiaries and Affiliates, the “Company”), and [insert name] (the “Grantee”). Capitalized terms not otherwise defined herein shall have the meaning ascribed to such terms in the HealthStream, Inc. 2022 Omnibus Incentive Plan (the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the Compensation Committee of the Board of Directors of the Company,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for retention purposes, and has advised the Company thereof and instructed the undersigned officers to award said Restricted Share Units, subject to and contingent upon the approval of the Plan by the shareholders of the Company at the annual meeting of the shareholders to be held on May 26, 2022 (such meeting, including any adjournments or postponements thereof, the “</w:t>
      </w:r>
      <w:r>
        <w:rPr>
          <w:rFonts w:ascii="Arial" w:cs="Arial" w:eastAsia="Arial" w:hAnsi="Arial"/>
          <w:sz w:val="17"/>
          <w:szCs w:val="17"/>
          <w:u w:val="single" w:color="auto"/>
          <w:color w:val="auto"/>
        </w:rPr>
        <w:t>Annual Shareholders Meeting</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RESTRICTED SHARE UNIT GRANT</w:t>
            </w:r>
          </w:p>
        </w:tc>
      </w:tr>
      <w:tr>
        <w:trPr>
          <w:trHeight w:val="668"/>
        </w:trPr>
        <w:tc>
          <w:tcPr>
            <w:tcW w:w="4120" w:type="dxa"/>
            <w:vAlign w:val="bottom"/>
          </w:tcPr>
          <w:p>
            <w:pPr>
              <w:spacing w:after="0"/>
              <w:rPr>
                <w:sz w:val="20"/>
                <w:szCs w:val="20"/>
                <w:color w:val="auto"/>
              </w:rPr>
            </w:pPr>
            <w:r>
              <w:rPr>
                <w:rFonts w:ascii="Arial" w:cs="Arial" w:eastAsia="Arial" w:hAnsi="Arial"/>
                <w:sz w:val="18"/>
                <w:szCs w:val="18"/>
                <w:color w:val="auto"/>
              </w:rPr>
              <w:t>Grantee:</w:t>
            </w:r>
          </w:p>
        </w:tc>
        <w:tc>
          <w:tcPr>
            <w:tcW w:w="3020" w:type="dxa"/>
            <w:vAlign w:val="bottom"/>
          </w:tcPr>
          <w:p>
            <w:pPr>
              <w:ind w:left="1600"/>
              <w:spacing w:after="0"/>
              <w:rPr>
                <w:sz w:val="20"/>
                <w:szCs w:val="20"/>
                <w:color w:val="auto"/>
              </w:rPr>
            </w:pPr>
            <w:r>
              <w:rPr>
                <w:rFonts w:ascii="Arial" w:cs="Arial" w:eastAsia="Arial" w:hAnsi="Arial"/>
                <w:sz w:val="18"/>
                <w:szCs w:val="18"/>
                <w:color w:val="auto"/>
              </w:rPr>
              <w:t>[insert name]</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Aggregate number of Restricted Share Units</w:t>
            </w:r>
          </w:p>
        </w:tc>
        <w:tc>
          <w:tcPr>
            <w:tcW w:w="3020" w:type="dxa"/>
            <w:vAlign w:val="bottom"/>
          </w:tcPr>
          <w:p>
            <w:pPr>
              <w:ind w:left="1560"/>
              <w:spacing w:after="0"/>
              <w:rPr>
                <w:sz w:val="20"/>
                <w:szCs w:val="20"/>
                <w:color w:val="auto"/>
              </w:rPr>
            </w:pPr>
            <w:r>
              <w:rPr>
                <w:rFonts w:ascii="Arial" w:cs="Arial" w:eastAsia="Arial" w:hAnsi="Arial"/>
                <w:sz w:val="18"/>
                <w:szCs w:val="18"/>
                <w:color w:val="auto"/>
                <w:w w:val="94"/>
              </w:rPr>
              <w:t>[insert share count]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Granted hereunder:</w:t>
            </w:r>
          </w:p>
        </w:tc>
        <w:tc>
          <w:tcPr>
            <w:tcW w:w="302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Grant Date:</w:t>
            </w:r>
          </w:p>
        </w:tc>
        <w:tc>
          <w:tcPr>
            <w:tcW w:w="3020" w:type="dxa"/>
            <w:vAlign w:val="bottom"/>
          </w:tcPr>
          <w:p>
            <w:pPr>
              <w:ind w:left="1540"/>
              <w:spacing w:after="0"/>
              <w:rPr>
                <w:sz w:val="20"/>
                <w:szCs w:val="20"/>
                <w:color w:val="auto"/>
              </w:rPr>
            </w:pPr>
            <w:r>
              <w:rPr>
                <w:rFonts w:ascii="Arial" w:cs="Arial" w:eastAsia="Arial" w:hAnsi="Arial"/>
                <w:sz w:val="18"/>
                <w:szCs w:val="18"/>
                <w:color w:val="auto"/>
              </w:rPr>
              <w:t>March 23, 2022</w:t>
            </w:r>
          </w:p>
        </w:tc>
      </w:tr>
    </w:tbl>
    <w:p>
      <w:pPr>
        <w:spacing w:after="0" w:line="200" w:lineRule="exact"/>
        <w:rPr>
          <w:sz w:val="20"/>
          <w:szCs w:val="20"/>
          <w:color w:val="auto"/>
        </w:rPr>
      </w:pPr>
    </w:p>
    <w:p>
      <w:pPr>
        <w:spacing w:after="0" w:line="21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22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1.1 The Company hereby grants to the Grantee the award (“Award”) of Restricted Share Units (“RSUs”) set forth above on the terms and conditions set forth in this Agreement and as otherwise provided in the Plan. The Award of RSUs pursuant to this Agreement is subject to and contingent upon shareholder approval of the Plan at the Annual Shareholders Meeting, and in the event that the shareholders of the Company do not approve the Plan at the Annual Shareholders Meeting, the Award of RSUs will not be made and will be cancelled. Each RSU shall have a value equal to the Fair Market Value of one Share. A bookkeeping account will be maintained by the Company to keep track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972"/>
        <w:spacing w:after="0" w:line="263"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84"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the RSUs subject to this Award shall vest as follows:</w:t>
      </w:r>
    </w:p>
    <w:p>
      <w:pPr>
        <w:spacing w:after="0" w:line="225" w:lineRule="exact"/>
        <w:rPr>
          <w:rFonts w:ascii="Arial" w:cs="Arial" w:eastAsia="Arial" w:hAnsi="Arial"/>
          <w:sz w:val="18"/>
          <w:szCs w:val="18"/>
          <w:color w:val="auto"/>
        </w:rPr>
      </w:pPr>
    </w:p>
    <w:p>
      <w:pPr>
        <w:ind w:left="2300" w:hanging="348"/>
        <w:spacing w:after="0"/>
        <w:tabs>
          <w:tab w:leader="none" w:pos="2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15% of the RSUs shall vest on the first anniversary of the Grant Date;</w:t>
      </w:r>
    </w:p>
    <w:p>
      <w:pPr>
        <w:spacing w:after="0" w:line="225" w:lineRule="exact"/>
        <w:rPr>
          <w:rFonts w:ascii="Arial" w:cs="Arial" w:eastAsia="Arial" w:hAnsi="Arial"/>
          <w:sz w:val="18"/>
          <w:szCs w:val="18"/>
          <w:color w:val="auto"/>
        </w:rPr>
      </w:pPr>
    </w:p>
    <w:p>
      <w:pPr>
        <w:ind w:left="2340" w:hanging="388"/>
        <w:spacing w:after="0"/>
        <w:tabs>
          <w:tab w:leader="none" w:pos="2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additional 20% of the RSUs shall vest on the second anniversary of the Grant Date;</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additional 30% of the RSUs shall vest on the third anniversary of the Grant Date; and</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remaining 35% of the RSUs shall vest on the fourth anniversary of the Grant Date.</w:t>
      </w:r>
    </w:p>
    <w:p>
      <w:pPr>
        <w:spacing w:after="0" w:line="225"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the foregoing, upon the occurrence of a Change in Control, this Award shall become vested immediately prior to a Change in Control as to 100% of the RSUs (but only to the extent such Award has not otherwise terminated or become vested).</w:t>
      </w:r>
    </w:p>
    <w:p>
      <w:pPr>
        <w:spacing w:after="0" w:line="124"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corted or transferred Shares. The Grantee will not be entitled to any dividend equivalent or voting rights with regard to the RSUs.</w:t>
      </w:r>
    </w:p>
    <w:p>
      <w:pPr>
        <w:spacing w:after="0" w:line="181"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by the Committee, this Award shall not become vested as to any RSUs that have not vested as of the time of the Grantee’s termination of employment with the Company for any reason, and Grantee shall forfeit any unvested RSUs as of the date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ind w:firstLine="972"/>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xml:space="preserve">.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Any social security calculation or other adjustments discovered after the net Share payment described in clause (iii)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For purposes hereof, the “Withholding Tax Obligation” means the minimum amount necessary to satisfy Federal, state, local or foreign withholding tax requirements, if any, in connection with vesting of the Award; provided, however, that, in the discretion of the Company, the Company may allow the Grantee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year of vesting.</w:t>
      </w:r>
    </w:p>
    <w:p>
      <w:pPr>
        <w:spacing w:after="0" w:line="171" w:lineRule="exact"/>
        <w:rPr>
          <w:sz w:val="20"/>
          <w:szCs w:val="20"/>
          <w:color w:val="auto"/>
        </w:rPr>
      </w:pPr>
    </w:p>
    <w:p>
      <w:pPr>
        <w:ind w:firstLine="656"/>
        <w:spacing w:after="0" w:line="277" w:lineRule="auto"/>
        <w:tabs>
          <w:tab w:leader="none" w:pos="97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0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0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ind w:left="-8" w:firstLine="656"/>
        <w:spacing w:after="0" w:line="263" w:lineRule="auto"/>
        <w:tabs>
          <w:tab w:leader="none" w:pos="98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3" w:lineRule="exact"/>
        <w:rPr>
          <w:rFonts w:ascii="Arial" w:cs="Arial" w:eastAsia="Arial" w:hAnsi="Arial"/>
          <w:sz w:val="18"/>
          <w:szCs w:val="18"/>
          <w:color w:val="auto"/>
        </w:rPr>
      </w:pPr>
    </w:p>
    <w:p>
      <w:pPr>
        <w:jc w:val="both"/>
        <w:ind w:left="-8" w:firstLine="656"/>
        <w:spacing w:after="0" w:line="285" w:lineRule="auto"/>
        <w:tabs>
          <w:tab w:leader="none" w:pos="102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1" w:lineRule="exact"/>
        <w:rPr>
          <w:rFonts w:ascii="Arial" w:cs="Arial" w:eastAsia="Arial" w:hAnsi="Arial"/>
          <w:sz w:val="16"/>
          <w:szCs w:val="16"/>
          <w:color w:val="auto"/>
        </w:rPr>
      </w:pPr>
    </w:p>
    <w:p>
      <w:pPr>
        <w:jc w:val="both"/>
        <w:ind w:left="-8" w:firstLine="8"/>
        <w:spacing w:after="0" w:line="284" w:lineRule="auto"/>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75" w:lineRule="exact"/>
        <w:rPr>
          <w:rFonts w:ascii="Arial" w:cs="Arial" w:eastAsia="Arial" w:hAnsi="Arial"/>
          <w:sz w:val="16"/>
          <w:szCs w:val="16"/>
          <w:color w:val="auto"/>
        </w:rPr>
      </w:pPr>
    </w:p>
    <w:p>
      <w:pPr>
        <w:ind w:left="-8" w:firstLine="656"/>
        <w:spacing w:after="0" w:line="308" w:lineRule="auto"/>
        <w:tabs>
          <w:tab w:leader="none" w:pos="968"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jc w:val="both"/>
        <w:ind w:left="-8" w:firstLine="656"/>
        <w:spacing w:after="0" w:line="257" w:lineRule="auto"/>
        <w:tabs>
          <w:tab w:leader="none" w:pos="955"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44" w:name="page45"/>
    <w:bookmarkEnd w:id="44"/>
    <w:p>
      <w:pPr>
        <w:ind w:right="20" w:firstLine="656"/>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3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Grantee shall not have voting or any other rights as a shareholder of the Company with respect to the RSUs. Grantee will obtain voting and other rights as a shareholder of the Company upon the settlement of the RSUs in Shares; provided, however, that, for purposes of clarity, in no event will any settlement of the RSUs occur prior to the approval of the Plan at the Annual Shareholders Meeting.</w:t>
      </w:r>
    </w:p>
    <w:p>
      <w:pPr>
        <w:spacing w:after="0" w:line="165" w:lineRule="exact"/>
        <w:rPr>
          <w:rFonts w:ascii="Arial" w:cs="Arial" w:eastAsia="Arial" w:hAnsi="Arial"/>
          <w:sz w:val="17"/>
          <w:szCs w:val="17"/>
          <w:color w:val="auto"/>
        </w:rPr>
      </w:pPr>
    </w:p>
    <w:p>
      <w:pPr>
        <w:ind w:right="20" w:firstLine="656"/>
        <w:spacing w:after="0" w:line="277" w:lineRule="auto"/>
        <w:tabs>
          <w:tab w:leader="none" w:pos="105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Award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1240"/>
          </w:cols>
          <w:pgMar w:left="320" w:top="584" w:right="339" w:bottom="1440" w:gutter="0" w:footer="0" w:header="0"/>
        </w:sect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To the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500 11</w:t>
      </w:r>
      <w:r>
        <w:rPr>
          <w:rFonts w:ascii="Arial" w:cs="Arial" w:eastAsia="Arial" w:hAnsi="Arial"/>
          <w:sz w:val="12"/>
          <w:szCs w:val="12"/>
          <w:color w:val="auto"/>
        </w:rPr>
        <w:t>th</w:t>
      </w:r>
      <w:r>
        <w:rPr>
          <w:rFonts w:ascii="Arial" w:cs="Arial" w:eastAsia="Arial" w:hAnsi="Arial"/>
          <w:sz w:val="16"/>
          <w:szCs w:val="16"/>
          <w:color w:val="auto"/>
        </w:rPr>
        <w:t xml:space="preserve"> Avenue North, Suite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1480" w:space="720"/>
            <w:col w:w="9040"/>
          </w:cols>
          <w:pgMar w:left="320" w:top="584" w:right="339" w:bottom="1440" w:gutter="0" w:footer="0" w:header="0"/>
          <w:type w:val="continuous"/>
        </w:sectPr>
      </w:pPr>
    </w:p>
    <w:p>
      <w:pPr>
        <w:spacing w:after="0" w:line="1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To the Grantee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480" w:space="720"/>
            <w:col w:w="9040"/>
          </w:cols>
          <w:pgMar w:left="320" w:top="584"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Restricted Share Unit Agreement to be duly executed effective as of the day and year first above written.</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w:t>
      </w:r>
    </w:p>
    <w:p>
      <w:pPr>
        <w:sectPr>
          <w:pgSz w:w="11900" w:h="16838" w:orient="portrait"/>
          <w:cols w:equalWidth="0" w:num="1">
            <w:col w:w="11240"/>
          </w:cols>
          <w:pgMar w:left="320" w:top="584"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April 28, 2022</w:t>
            </w:r>
          </w:p>
        </w:tc>
        <w:tc>
          <w:tcPr>
            <w:tcW w:w="7060" w:type="dxa"/>
            <w:vAlign w:val="bottom"/>
            <w:tcBorders>
              <w:bottom w:val="single" w:sz="8" w:color="auto"/>
            </w:tcBorders>
          </w:tcPr>
          <w:p>
            <w:pPr>
              <w:ind w:left="26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4180" w:type="dxa"/>
            <w:vAlign w:val="bottom"/>
          </w:tcPr>
          <w:p>
            <w:pPr>
              <w:spacing w:after="0"/>
              <w:rPr>
                <w:sz w:val="16"/>
                <w:szCs w:val="16"/>
                <w:color w:val="auto"/>
              </w:rPr>
            </w:pPr>
          </w:p>
        </w:tc>
        <w:tc>
          <w:tcPr>
            <w:tcW w:w="7060" w:type="dxa"/>
            <w:vAlign w:val="bottom"/>
          </w:tcPr>
          <w:p>
            <w:pPr>
              <w:ind w:left="268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4180" w:type="dxa"/>
            <w:vAlign w:val="bottom"/>
          </w:tcPr>
          <w:p>
            <w:pPr>
              <w:spacing w:after="0"/>
              <w:rPr>
                <w:sz w:val="20"/>
                <w:szCs w:val="20"/>
                <w:color w:val="auto"/>
              </w:rPr>
            </w:pPr>
          </w:p>
        </w:tc>
        <w:tc>
          <w:tcPr>
            <w:tcW w:w="7060" w:type="dxa"/>
            <w:vAlign w:val="bottom"/>
          </w:tcPr>
          <w:p>
            <w:pPr>
              <w:ind w:left="26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April 28, 2022</w:t>
            </w:r>
          </w:p>
        </w:tc>
        <w:tc>
          <w:tcPr>
            <w:tcW w:w="708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4160" w:type="dxa"/>
            <w:vAlign w:val="bottom"/>
          </w:tcPr>
          <w:p>
            <w:pPr>
              <w:spacing w:after="0"/>
              <w:rPr>
                <w:sz w:val="16"/>
                <w:szCs w:val="16"/>
                <w:color w:val="auto"/>
              </w:rPr>
            </w:pPr>
          </w:p>
        </w:tc>
        <w:tc>
          <w:tcPr>
            <w:tcW w:w="7080" w:type="dxa"/>
            <w:vAlign w:val="bottom"/>
          </w:tcPr>
          <w:p>
            <w:pPr>
              <w:ind w:left="2660"/>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4160" w:type="dxa"/>
            <w:vAlign w:val="bottom"/>
          </w:tcPr>
          <w:p>
            <w:pPr>
              <w:spacing w:after="0"/>
              <w:rPr>
                <w:sz w:val="20"/>
                <w:szCs w:val="20"/>
                <w:color w:val="auto"/>
              </w:rPr>
            </w:pPr>
          </w:p>
        </w:tc>
        <w:tc>
          <w:tcPr>
            <w:tcW w:w="7080" w:type="dxa"/>
            <w:vAlign w:val="bottom"/>
          </w:tcPr>
          <w:p>
            <w:pPr>
              <w:ind w:left="26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2022,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2022,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04"/>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lvl w:ilvl="1">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3"/>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Roman"/>
      <w:start w:val="1"/>
    </w:lvl>
    <w:lvl w:ilvl="1">
      <w:lvlJc w:val="left"/>
      <w:lvlText w:val="%2."/>
      <w:numFmt w:val="decimal"/>
      <w:start w:val="3"/>
    </w:lvl>
  </w:abstractNum>
  <w:abstractNum w:abstractNumId="22">
    <w:nsid w:val="419AC241"/>
    <w:multiLevelType w:val="hybridMultilevel"/>
    <w:lvl w:ilvl="0">
      <w:lvlJc w:val="left"/>
      <w:lvlText w:val="(%1)"/>
      <w:numFmt w:val="lowerRoman"/>
      <w:start w:val="1"/>
    </w:lvl>
    <w:lvl w:ilvl="1">
      <w:lvlJc w:val="left"/>
      <w:lvlText w:val="%2"/>
      <w:numFmt w:val="decimal"/>
      <w:start w:val="1"/>
    </w:lvl>
  </w:abstractNum>
  <w:abstractNum w:abstractNumId="23">
    <w:nsid w:val="5577F8E1"/>
    <w:multiLevelType w:val="hybridMultilevel"/>
    <w:lvl w:ilvl="0">
      <w:lvlJc w:val="left"/>
      <w:lvlText w:val="%1."/>
      <w:numFmt w:val="decimal"/>
      <w:start w:val="8"/>
    </w:lvl>
  </w:abstractNum>
  <w:abstractNum w:abstractNumId="24">
    <w:nsid w:val="440BADFC"/>
    <w:multiLevelType w:val="hybridMultilevel"/>
    <w:lvl w:ilvl="0">
      <w:lvlJc w:val="left"/>
      <w:lvlText w:val="%1."/>
      <w:numFmt w:val="decimal"/>
      <w:start w:val="1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Roman"/>
      <w:start w:val="1"/>
    </w:lvl>
    <w:lvl w:ilvl="1">
      <w:lvlJc w:val="left"/>
      <w:lvlText w:val="%2."/>
      <w:numFmt w:val="decimal"/>
      <w:start w:val="3"/>
    </w:lvl>
  </w:abstractNum>
  <w:abstractNum w:abstractNumId="32">
    <w:nsid w:val="51EAD36B"/>
    <w:multiLevelType w:val="hybridMultilevel"/>
    <w:lvl w:ilvl="0">
      <w:lvlJc w:val="left"/>
      <w:lvlText w:val="(%1)"/>
      <w:numFmt w:val="lowerRoman"/>
      <w:start w:val="1"/>
    </w:lvl>
    <w:lvl w:ilvl="1">
      <w:lvlJc w:val="left"/>
      <w:lvlText w:val="%2"/>
      <w:numFmt w:val="decimal"/>
      <w:start w:val="1"/>
    </w:lvl>
  </w:abstractNum>
  <w:abstractNum w:abstractNumId="33">
    <w:nsid w:val="2D517796"/>
    <w:multiLevelType w:val="hybridMultilevel"/>
    <w:lvl w:ilvl="0">
      <w:lvlJc w:val="left"/>
      <w:lvlText w:val="%1."/>
      <w:numFmt w:val="decimal"/>
      <w:start w:val="8"/>
    </w:lvl>
  </w:abstractNum>
  <w:abstractNum w:abstractNumId="34">
    <w:nsid w:val="580BD78F"/>
    <w:multiLevelType w:val="hybridMultilevel"/>
    <w:lvl w:ilvl="0">
      <w:lvlJc w:val="left"/>
      <w:lvlText w:val="%1."/>
      <w:numFmt w:val="decimal"/>
      <w:start w:val="12"/>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2"/>
    </w:lvl>
    <w:lvl w:ilvl="1">
      <w:lvlJc w:val="left"/>
      <w:lvlText w:val="(%2)"/>
      <w:numFmt w:val="lowerRoman"/>
      <w:start w:val="1"/>
    </w:lvl>
  </w:abstractNum>
  <w:abstractNum w:abstractNumId="38">
    <w:nsid w:val="6A2342EC"/>
    <w:multiLevelType w:val="hybridMultilevel"/>
    <w:lvl w:ilvl="0">
      <w:lvlJc w:val="left"/>
      <w:lvlText w:val="%1."/>
      <w:numFmt w:val="decimal"/>
      <w:start w:val="3"/>
    </w:lvl>
  </w:abstractNum>
  <w:abstractNum w:abstractNumId="39">
    <w:nsid w:val="2A487CB0"/>
    <w:multiLevelType w:val="hybridMultilevel"/>
    <w:lvl w:ilvl="0">
      <w:lvlJc w:val="left"/>
      <w:lvlText w:val="%1"/>
      <w:numFmt w:val="lowerRoman"/>
      <w:start w:val="1"/>
    </w:lvl>
    <w:lvl w:ilvl="1">
      <w:lvlJc w:val="left"/>
      <w:lvlText w:val="%2."/>
      <w:numFmt w:val="decimal"/>
      <w:start w:val="6"/>
    </w:lvl>
  </w:abstractNum>
  <w:abstractNum w:abstractNumId="40">
    <w:nsid w:val="1D4ED43B"/>
    <w:multiLevelType w:val="hybridMultilevel"/>
    <w:lvl w:ilvl="0">
      <w:lvlJc w:val="left"/>
      <w:lvlText w:val="(%1)"/>
      <w:numFmt w:val="lowerRoman"/>
      <w:start w:val="1"/>
    </w:lvl>
    <w:lvl w:ilvl="1">
      <w:lvlJc w:val="left"/>
      <w:lvlText w:val="%2."/>
      <w:numFmt w:val="decimal"/>
      <w:start w:val="8"/>
    </w:lvl>
  </w:abstractNum>
  <w:abstractNum w:abstractNumId="41">
    <w:nsid w:val="725A06FB"/>
    <w:multiLevelType w:val="hybridMultilevel"/>
    <w:lvl w:ilvl="0">
      <w:lvlJc w:val="left"/>
      <w:lvlText w:val="%1."/>
      <w:numFmt w:val="decimal"/>
      <w:start w:val="10"/>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2022-04-28T16:32:04Z</dcterms:created>
  <dcterms:modified xsi:type="dcterms:W3CDTF">2022-04-28T16:32:04Z</dcterms:modified>
</cp:coreProperties>
</file>