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000-27701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HealthStream,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6100" w:type="dxa"/>
            <w:vAlign w:val="bottom"/>
          </w:tcPr>
          <w:p>
            <w:pPr>
              <w:jc w:val="center"/>
              <w:ind w:right="3479"/>
              <w:spacing w:after="0"/>
              <w:rPr>
                <w:sz w:val="20"/>
                <w:szCs w:val="20"/>
                <w:color w:val="auto"/>
              </w:rPr>
            </w:pPr>
            <w:r>
              <w:rPr>
                <w:rFonts w:ascii="Arial" w:cs="Arial" w:eastAsia="Arial" w:hAnsi="Arial"/>
                <w:sz w:val="18"/>
                <w:szCs w:val="18"/>
                <w:b w:val="1"/>
                <w:bCs w:val="1"/>
                <w:color w:val="auto"/>
                <w:w w:val="83"/>
              </w:rPr>
              <w:t>Tennessee</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62-1443555</w:t>
            </w:r>
          </w:p>
        </w:tc>
      </w:tr>
      <w:tr>
        <w:trPr>
          <w:trHeight w:val="149"/>
        </w:trPr>
        <w:tc>
          <w:tcPr>
            <w:tcW w:w="6100" w:type="dxa"/>
            <w:vAlign w:val="bottom"/>
          </w:tcPr>
          <w:p>
            <w:pPr>
              <w:jc w:val="center"/>
              <w:ind w:right="34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00" w:type="dxa"/>
            <w:vAlign w:val="bottom"/>
          </w:tcPr>
          <w:p>
            <w:pPr>
              <w:jc w:val="center"/>
              <w:ind w:right="3459"/>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6100" w:type="dxa"/>
            <w:vAlign w:val="bottom"/>
          </w:tcPr>
          <w:p>
            <w:pPr>
              <w:jc w:val="center"/>
              <w:ind w:right="3479"/>
              <w:spacing w:after="0"/>
              <w:rPr>
                <w:sz w:val="20"/>
                <w:szCs w:val="20"/>
                <w:color w:val="auto"/>
              </w:rPr>
            </w:pPr>
            <w:r>
              <w:rPr>
                <w:rFonts w:ascii="Arial" w:cs="Arial" w:eastAsia="Arial" w:hAnsi="Arial"/>
                <w:sz w:val="18"/>
                <w:szCs w:val="18"/>
                <w:b w:val="1"/>
                <w:bCs w:val="1"/>
                <w:color w:val="auto"/>
                <w:w w:val="88"/>
              </w:rPr>
              <w:t>209 10th Avenue South, Suite 450</w:t>
            </w:r>
          </w:p>
        </w:tc>
        <w:tc>
          <w:tcPr>
            <w:tcW w:w="1500" w:type="dxa"/>
            <w:vAlign w:val="bottom"/>
          </w:tcPr>
          <w:p>
            <w:pPr>
              <w:spacing w:after="0"/>
              <w:rPr>
                <w:sz w:val="24"/>
                <w:szCs w:val="24"/>
                <w:color w:val="auto"/>
              </w:rPr>
            </w:pPr>
          </w:p>
        </w:tc>
      </w:tr>
      <w:tr>
        <w:trPr>
          <w:trHeight w:val="225"/>
        </w:trPr>
        <w:tc>
          <w:tcPr>
            <w:tcW w:w="6100" w:type="dxa"/>
            <w:vAlign w:val="bottom"/>
          </w:tcPr>
          <w:p>
            <w:pPr>
              <w:jc w:val="center"/>
              <w:ind w:right="3479"/>
              <w:spacing w:after="0"/>
              <w:rPr>
                <w:sz w:val="20"/>
                <w:szCs w:val="20"/>
                <w:color w:val="auto"/>
              </w:rPr>
            </w:pPr>
            <w:r>
              <w:rPr>
                <w:rFonts w:ascii="Arial" w:cs="Arial" w:eastAsia="Arial" w:hAnsi="Arial"/>
                <w:sz w:val="18"/>
                <w:szCs w:val="18"/>
                <w:b w:val="1"/>
                <w:bCs w:val="1"/>
                <w:color w:val="auto"/>
                <w:w w:val="86"/>
              </w:rPr>
              <w:t>Nashville, Tennessee</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37203</w:t>
            </w:r>
          </w:p>
        </w:tc>
      </w:tr>
      <w:tr>
        <w:trPr>
          <w:trHeight w:val="186"/>
        </w:trPr>
        <w:tc>
          <w:tcPr>
            <w:tcW w:w="6100" w:type="dxa"/>
            <w:vAlign w:val="bottom"/>
          </w:tcPr>
          <w:p>
            <w:pPr>
              <w:jc w:val="center"/>
              <w:ind w:right="34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100" w:type="dxa"/>
            <w:vAlign w:val="bottom"/>
          </w:tcPr>
          <w:p>
            <w:pPr>
              <w:jc w:val="right"/>
              <w:ind w:right="1359"/>
              <w:spacing w:after="0"/>
              <w:rPr>
                <w:sz w:val="20"/>
                <w:szCs w:val="20"/>
                <w:color w:val="auto"/>
              </w:rPr>
            </w:pPr>
            <w:r>
              <w:rPr>
                <w:rFonts w:ascii="Arial" w:cs="Arial" w:eastAsia="Arial" w:hAnsi="Arial"/>
                <w:sz w:val="18"/>
                <w:szCs w:val="18"/>
                <w:b w:val="1"/>
                <w:bCs w:val="1"/>
                <w:color w:val="auto"/>
              </w:rPr>
              <w:t>(615) 301-3100</w:t>
            </w:r>
          </w:p>
        </w:tc>
        <w:tc>
          <w:tcPr>
            <w:tcW w:w="1500" w:type="dxa"/>
            <w:vAlign w:val="bottom"/>
          </w:tcPr>
          <w:p>
            <w:pPr>
              <w:spacing w:after="0"/>
              <w:rPr>
                <w:sz w:val="24"/>
                <w:szCs w:val="24"/>
                <w:color w:val="auto"/>
              </w:rPr>
            </w:pPr>
          </w:p>
        </w:tc>
      </w:tr>
      <w:tr>
        <w:trPr>
          <w:trHeight w:val="186"/>
        </w:trPr>
        <w:tc>
          <w:tcPr>
            <w:tcW w:w="6100" w:type="dxa"/>
            <w:vAlign w:val="bottom"/>
          </w:tcPr>
          <w:p>
            <w:pPr>
              <w:jc w:val="center"/>
              <w:ind w:left="199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26, 2017, there were 31,896,317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Form 10-Q</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HEALTHSTREAM, INC.</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r>
      <w:tr>
        <w:trPr>
          <w:trHeight w:val="171"/>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Part I.</w:t>
            </w:r>
          </w:p>
        </w:tc>
        <w:tc>
          <w:tcPr>
            <w:tcW w:w="99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500" w:type="dxa"/>
            <w:vAlign w:val="bottom"/>
          </w:tcPr>
          <w:p>
            <w:pPr>
              <w:spacing w:after="0"/>
              <w:rPr>
                <w:sz w:val="22"/>
                <w:szCs w:val="22"/>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60" w:type="dxa"/>
            <w:vAlign w:val="bottom"/>
            <w:tcBorders>
              <w:top w:val="single" w:sz="8" w:color="0000EE"/>
            </w:tcBorders>
          </w:tcPr>
          <w:p>
            <w:pPr>
              <w:spacing w:after="0"/>
              <w:rPr>
                <w:sz w:val="24"/>
                <w:szCs w:val="24"/>
                <w:color w:val="auto"/>
              </w:rPr>
            </w:pPr>
          </w:p>
        </w:tc>
        <w:tc>
          <w:tcPr>
            <w:tcW w:w="8400" w:type="dxa"/>
            <w:vAlign w:val="bottom"/>
            <w:gridSpan w:val="10"/>
          </w:tcPr>
          <w:p>
            <w:pPr>
              <w:spacing w:after="0"/>
              <w:rPr>
                <w:sz w:val="24"/>
                <w:szCs w:val="24"/>
                <w:color w:val="auto"/>
              </w:rPr>
            </w:pPr>
          </w:p>
        </w:tc>
        <w:tc>
          <w:tcPr>
            <w:tcW w:w="500" w:type="dxa"/>
            <w:vAlign w:val="bottom"/>
          </w:tcPr>
          <w:p>
            <w:pPr>
              <w:spacing w:after="0"/>
              <w:rPr>
                <w:sz w:val="24"/>
                <w:szCs w:val="24"/>
                <w:color w:val="auto"/>
              </w:rPr>
            </w:pPr>
          </w:p>
        </w:tc>
      </w:tr>
      <w:tr>
        <w:trPr>
          <w:trHeight w:val="304"/>
        </w:trPr>
        <w:tc>
          <w:tcPr>
            <w:tcW w:w="880" w:type="dxa"/>
            <w:vAlign w:val="bottom"/>
          </w:tcPr>
          <w:p>
            <w:pPr>
              <w:spacing w:after="0"/>
              <w:rPr>
                <w:sz w:val="24"/>
                <w:szCs w:val="24"/>
                <w:color w:val="auto"/>
              </w:rPr>
            </w:pPr>
          </w:p>
        </w:tc>
        <w:tc>
          <w:tcPr>
            <w:tcW w:w="99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September 30, 2017 (Unaudited) and December 31, 2016</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998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(Unaudited) - Three and Nine Months ended September 30, 2017 and 2016</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8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93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(Unaudited) - Three and Nine Months ended September 30, 2017</w:t>
              </w:r>
            </w:hyperlink>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and 2016</w:t>
              </w:r>
            </w:hyperlink>
          </w:p>
        </w:tc>
        <w:tc>
          <w:tcPr>
            <w:tcW w:w="912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304"/>
        </w:trPr>
        <w:tc>
          <w:tcPr>
            <w:tcW w:w="880" w:type="dxa"/>
            <w:vAlign w:val="bottom"/>
          </w:tcPr>
          <w:p>
            <w:pPr>
              <w:spacing w:after="0"/>
              <w:rPr>
                <w:sz w:val="24"/>
                <w:szCs w:val="24"/>
                <w:color w:val="auto"/>
              </w:rPr>
            </w:pPr>
          </w:p>
        </w:tc>
        <w:tc>
          <w:tcPr>
            <w:tcW w:w="998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Shareholders’ Equity (Unaudited) - Nine Months ended September 30, 2017</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8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998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 - Nine Months ended September 30, 2017 and 2016</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88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3480" w:type="dxa"/>
            <w:vAlign w:val="bottom"/>
            <w:tcBorders>
              <w:top w:val="single" w:sz="8" w:color="0000EE"/>
            </w:tcBorders>
            <w:gridSpan w:val="4"/>
          </w:tcPr>
          <w:p>
            <w:pPr>
              <w:spacing w:after="0"/>
              <w:rPr>
                <w:sz w:val="24"/>
                <w:szCs w:val="24"/>
                <w:color w:val="auto"/>
              </w:rPr>
            </w:pPr>
          </w:p>
        </w:tc>
        <w:tc>
          <w:tcPr>
            <w:tcW w:w="158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980" w:type="dxa"/>
            <w:vAlign w:val="bottom"/>
            <w:gridSpan w:val="17"/>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352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Controls and Procedures</w:t>
              </w:r>
            </w:hyperlink>
          </w:p>
        </w:tc>
        <w:tc>
          <w:tcPr>
            <w:tcW w:w="8200" w:type="dxa"/>
            <w:vAlign w:val="bottom"/>
            <w:gridSpan w:val="9"/>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Part II.</w:t>
            </w:r>
          </w:p>
        </w:tc>
        <w:tc>
          <w:tcPr>
            <w:tcW w:w="9980" w:type="dxa"/>
            <w:vAlign w:val="bottom"/>
            <w:gridSpan w:val="1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500" w:type="dxa"/>
            <w:vAlign w:val="bottom"/>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8660" w:type="dxa"/>
            <w:vAlign w:val="bottom"/>
            <w:gridSpan w:val="1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8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80" w:type="dxa"/>
            <w:vAlign w:val="bottom"/>
            <w:gridSpan w:val="1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7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Signature</w:t>
              </w:r>
            </w:hyperlink>
          </w:p>
        </w:tc>
        <w:tc>
          <w:tcPr>
            <w:tcW w:w="9280" w:type="dxa"/>
            <w:vAlign w:val="bottom"/>
            <w:gridSpan w:val="1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98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60,460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49,634</w:t>
            </w: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62,943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53,540</w:t>
            </w:r>
          </w:p>
        </w:tc>
        <w:tc>
          <w:tcPr>
            <w:tcW w:w="0" w:type="dxa"/>
            <w:vAlign w:val="bottom"/>
          </w:tcPr>
          <w:p>
            <w:pPr>
              <w:spacing w:after="0"/>
              <w:rPr>
                <w:sz w:val="1"/>
                <w:szCs w:val="1"/>
                <w:color w:val="auto"/>
              </w:rPr>
            </w:pPr>
          </w:p>
        </w:tc>
      </w:tr>
      <w:tr>
        <w:trPr>
          <w:trHeight w:val="202"/>
        </w:trPr>
        <w:tc>
          <w:tcPr>
            <w:tcW w:w="88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Accounts receivable, net of allowance for doubtful accounts of $1,623 and $863 at September 30, 2017 and</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2016, respectively</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38,379</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44,805</w:t>
            </w: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Arial" w:cs="Arial" w:eastAsia="Arial" w:hAnsi="Arial"/>
                <w:sz w:val="18"/>
                <w:szCs w:val="18"/>
                <w:color w:val="auto"/>
              </w:rPr>
              <w:t>Accounts receivable – unbilled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1,746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royalties, net of amortization</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17,221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18,183</w:t>
            </w: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Arial" w:cs="Arial" w:eastAsia="Arial" w:hAnsi="Arial"/>
                <w:sz w:val="18"/>
                <w:szCs w:val="18"/>
                <w:color w:val="auto"/>
              </w:rPr>
              <w:t>Other prepaid expenses and other current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8,526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8,694</w:t>
            </w:r>
          </w:p>
        </w:tc>
        <w:tc>
          <w:tcPr>
            <w:tcW w:w="0" w:type="dxa"/>
            <w:vAlign w:val="bottom"/>
          </w:tcPr>
          <w:p>
            <w:pPr>
              <w:spacing w:after="0"/>
              <w:rPr>
                <w:sz w:val="1"/>
                <w:szCs w:val="1"/>
                <w:color w:val="auto"/>
              </w:rPr>
            </w:pPr>
          </w:p>
        </w:tc>
      </w:tr>
      <w:tr>
        <w:trPr>
          <w:trHeight w:val="27"/>
        </w:trPr>
        <w:tc>
          <w:tcPr>
            <w:tcW w:w="8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189,275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177,437</w:t>
            </w:r>
          </w:p>
        </w:tc>
        <w:tc>
          <w:tcPr>
            <w:tcW w:w="0" w:type="dxa"/>
            <w:vAlign w:val="bottom"/>
          </w:tcPr>
          <w:p>
            <w:pPr>
              <w:spacing w:after="0"/>
              <w:rPr>
                <w:sz w:val="1"/>
                <w:szCs w:val="1"/>
                <w:color w:val="auto"/>
              </w:rPr>
            </w:pPr>
          </w:p>
        </w:tc>
      </w:tr>
      <w:tr>
        <w:trPr>
          <w:trHeight w:val="310"/>
        </w:trPr>
        <w:tc>
          <w:tcPr>
            <w:tcW w:w="884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$24,470 and $20,527 at September 30, 2017 and</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40" w:type="dxa"/>
            <w:vAlign w:val="bottom"/>
          </w:tcPr>
          <w:p>
            <w:pPr>
              <w:ind w:left="180"/>
              <w:spacing w:after="0"/>
              <w:rPr>
                <w:sz w:val="20"/>
                <w:szCs w:val="20"/>
                <w:color w:val="auto"/>
              </w:rPr>
            </w:pPr>
            <w:r>
              <w:rPr>
                <w:rFonts w:ascii="Arial" w:cs="Arial" w:eastAsia="Arial" w:hAnsi="Arial"/>
                <w:sz w:val="18"/>
                <w:szCs w:val="18"/>
                <w:color w:val="auto"/>
              </w:rPr>
              <w:t>December 31, 2016, respectively</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9,923</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10,245</w:t>
            </w:r>
          </w:p>
        </w:tc>
        <w:tc>
          <w:tcPr>
            <w:tcW w:w="0" w:type="dxa"/>
            <w:vAlign w:val="bottom"/>
          </w:tcPr>
          <w:p>
            <w:pPr>
              <w:spacing w:after="0"/>
              <w:rPr>
                <w:sz w:val="1"/>
                <w:szCs w:val="1"/>
                <w:color w:val="auto"/>
              </w:rPr>
            </w:pPr>
          </w:p>
        </w:tc>
      </w:tr>
      <w:tr>
        <w:trPr>
          <w:trHeight w:val="202"/>
        </w:trPr>
        <w:tc>
          <w:tcPr>
            <w:tcW w:w="8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Capitalized software development, net of accumulated amortization of $39,099 and $31,787 at September 30, 2017 and</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2016, respectively</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18,685</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16,310</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110,298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109,765</w:t>
            </w:r>
          </w:p>
        </w:tc>
        <w:tc>
          <w:tcPr>
            <w:tcW w:w="0" w:type="dxa"/>
            <w:vAlign w:val="bottom"/>
          </w:tcPr>
          <w:p>
            <w:pPr>
              <w:spacing w:after="0"/>
              <w:rPr>
                <w:sz w:val="1"/>
                <w:szCs w:val="1"/>
                <w:color w:val="auto"/>
              </w:rPr>
            </w:pPr>
          </w:p>
        </w:tc>
      </w:tr>
      <w:tr>
        <w:trPr>
          <w:trHeight w:val="202"/>
        </w:trPr>
        <w:tc>
          <w:tcPr>
            <w:tcW w:w="8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Customer-related intangibles, net of accumulated amortization of $16,405 and $11,539 at September 30, 2017 and</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2016, respectively</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61,580</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66,446</w:t>
            </w:r>
          </w:p>
        </w:tc>
        <w:tc>
          <w:tcPr>
            <w:tcW w:w="0" w:type="dxa"/>
            <w:vAlign w:val="bottom"/>
          </w:tcPr>
          <w:p>
            <w:pPr>
              <w:spacing w:after="0"/>
              <w:rPr>
                <w:sz w:val="1"/>
                <w:szCs w:val="1"/>
                <w:color w:val="auto"/>
              </w:rPr>
            </w:pPr>
          </w:p>
        </w:tc>
      </w:tr>
      <w:tr>
        <w:trPr>
          <w:trHeight w:val="202"/>
        </w:trPr>
        <w:tc>
          <w:tcPr>
            <w:tcW w:w="8840" w:type="dxa"/>
            <w:vAlign w:val="bottom"/>
          </w:tcPr>
          <w:p>
            <w:pPr>
              <w:spacing w:after="0" w:line="201" w:lineRule="exact"/>
              <w:rPr>
                <w:sz w:val="20"/>
                <w:szCs w:val="20"/>
                <w:color w:val="auto"/>
              </w:rPr>
            </w:pPr>
            <w:r>
              <w:rPr>
                <w:rFonts w:ascii="Arial" w:cs="Arial" w:eastAsia="Arial" w:hAnsi="Arial"/>
                <w:sz w:val="18"/>
                <w:szCs w:val="18"/>
                <w:color w:val="auto"/>
              </w:rPr>
              <w:t>Other intangible assets, net of accumulated amortization of $7,215 and $4,906 at September 30, 2017 and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40" w:type="dxa"/>
            <w:vAlign w:val="bottom"/>
          </w:tcPr>
          <w:p>
            <w:pPr>
              <w:ind w:left="180"/>
              <w:spacing w:after="0"/>
              <w:rPr>
                <w:sz w:val="20"/>
                <w:szCs w:val="20"/>
                <w:color w:val="auto"/>
              </w:rPr>
            </w:pPr>
            <w:r>
              <w:rPr>
                <w:rFonts w:ascii="Arial" w:cs="Arial" w:eastAsia="Arial" w:hAnsi="Arial"/>
                <w:sz w:val="18"/>
                <w:szCs w:val="18"/>
                <w:color w:val="auto"/>
              </w:rPr>
              <w:t>December 31, 2016, respectively</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9,609</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11,918</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Non-marketable equity investments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3,771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699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8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assets</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403,840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396,000</w:t>
            </w:r>
          </w:p>
        </w:tc>
        <w:tc>
          <w:tcPr>
            <w:tcW w:w="0" w:type="dxa"/>
            <w:vAlign w:val="bottom"/>
          </w:tcPr>
          <w:p>
            <w:pPr>
              <w:spacing w:after="0"/>
              <w:rPr>
                <w:sz w:val="1"/>
                <w:szCs w:val="1"/>
                <w:color w:val="auto"/>
              </w:rPr>
            </w:pPr>
          </w:p>
        </w:tc>
      </w:tr>
      <w:tr>
        <w:trPr>
          <w:trHeight w:val="20"/>
        </w:trPr>
        <w:tc>
          <w:tcPr>
            <w:tcW w:w="8840" w:type="dxa"/>
            <w:vAlign w:val="bottom"/>
            <w:vMerge w:val="restart"/>
          </w:tcPr>
          <w:p>
            <w:pPr>
              <w:ind w:left="238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15,235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13,267</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royalties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12,997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13,161</w:t>
            </w: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66,509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68,542</w:t>
            </w:r>
          </w:p>
        </w:tc>
        <w:tc>
          <w:tcPr>
            <w:tcW w:w="0" w:type="dxa"/>
            <w:vAlign w:val="bottom"/>
          </w:tcPr>
          <w:p>
            <w:pPr>
              <w:spacing w:after="0"/>
              <w:rPr>
                <w:sz w:val="1"/>
                <w:szCs w:val="1"/>
                <w:color w:val="auto"/>
              </w:rPr>
            </w:pPr>
          </w:p>
        </w:tc>
      </w:tr>
      <w:tr>
        <w:trPr>
          <w:trHeight w:val="27"/>
        </w:trPr>
        <w:tc>
          <w:tcPr>
            <w:tcW w:w="8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94,741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94,970</w:t>
            </w:r>
          </w:p>
        </w:tc>
        <w:tc>
          <w:tcPr>
            <w:tcW w:w="0" w:type="dxa"/>
            <w:vAlign w:val="bottom"/>
          </w:tcPr>
          <w:p>
            <w:pPr>
              <w:spacing w:after="0"/>
              <w:rPr>
                <w:sz w:val="1"/>
                <w:szCs w:val="1"/>
                <w:color w:val="auto"/>
              </w:rPr>
            </w:pPr>
          </w:p>
        </w:tc>
      </w:tr>
      <w:tr>
        <w:trPr>
          <w:trHeight w:val="324"/>
        </w:trPr>
        <w:tc>
          <w:tcPr>
            <w:tcW w:w="88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4,871</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5,968</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noncurrent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7,074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7,859</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Other long term liabilities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1,497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8840" w:type="dxa"/>
            <w:vAlign w:val="bottom"/>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8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Common stock, no par value, 75,000 shares authorized; 31,896 and 31,748 shares issued and outstanding at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September 30, 2017 and December 31, 2016, respectively</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282,083</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280,813</w:t>
            </w: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13,594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5,346</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8840" w:type="dxa"/>
            <w:vAlign w:val="bottom"/>
          </w:tcPr>
          <w:p>
            <w:pPr>
              <w:ind w:left="1080"/>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6"/>
              </w:rPr>
              <w:t>295,657</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286,108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liabilities and shareholders’ equity</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403,840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396,000</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63,553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58,367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184,904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revenues (excluding depreciation and amortization)</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26,731</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24,889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79,382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Product development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6,990</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7,261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20,630</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10,285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31,111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9,163</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8,891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25,622</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25,396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6,570</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19,488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15,976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00" w:type="dxa"/>
            <w:vAlign w:val="bottom"/>
          </w:tcPr>
          <w:p>
            <w:pPr>
              <w:ind w:left="700"/>
              <w:spacing w:after="0"/>
              <w:rPr>
                <w:sz w:val="20"/>
                <w:szCs w:val="20"/>
                <w:color w:val="auto"/>
              </w:rPr>
            </w:pPr>
            <w:r>
              <w:rPr>
                <w:rFonts w:ascii="Arial" w:cs="Arial" w:eastAsia="Arial" w:hAnsi="Arial"/>
                <w:sz w:val="18"/>
                <w:szCs w:val="18"/>
                <w:color w:val="auto"/>
              </w:rPr>
              <w:t>Total operating costs and expenses</w:t>
            </w:r>
          </w:p>
        </w:tc>
        <w:tc>
          <w:tcPr>
            <w:tcW w:w="1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59,571</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57,081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176,233</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161,149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3,982</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8,671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6,088</w:t>
            </w:r>
          </w:p>
        </w:tc>
        <w:tc>
          <w:tcPr>
            <w:tcW w:w="0" w:type="dxa"/>
            <w:vAlign w:val="bottom"/>
          </w:tcPr>
          <w:p>
            <w:pPr>
              <w:spacing w:after="0"/>
              <w:rPr>
                <w:sz w:val="1"/>
                <w:szCs w:val="1"/>
                <w:color w:val="auto"/>
              </w:rPr>
            </w:pPr>
          </w:p>
        </w:tc>
      </w:tr>
      <w:tr>
        <w:trPr>
          <w:trHeight w:val="324"/>
        </w:trPr>
        <w:tc>
          <w:tcPr>
            <w:tcW w:w="63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337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4,155</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9,139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1,651</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4,066</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Basic</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31,893</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31,739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31,848</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31,714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32,217</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32,107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32,183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7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6"/>
              </w:rPr>
              <w:t>Three Months Ended</w:t>
            </w:r>
          </w:p>
        </w:tc>
        <w:tc>
          <w:tcPr>
            <w:tcW w:w="14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7"/>
              </w:rPr>
              <w:t>Nine Months Ended</w:t>
            </w:r>
          </w:p>
        </w:tc>
      </w:tr>
      <w:tr>
        <w:trPr>
          <w:trHeight w:val="17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7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4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2016</w:t>
            </w:r>
          </w:p>
        </w:tc>
        <w:tc>
          <w:tcPr>
            <w:tcW w:w="320" w:type="dxa"/>
            <w:vAlign w:val="bottom"/>
          </w:tcPr>
          <w:p>
            <w:pPr>
              <w:spacing w:after="0"/>
              <w:rPr>
                <w:sz w:val="12"/>
                <w:szCs w:val="12"/>
                <w:color w:val="auto"/>
              </w:rPr>
            </w:pPr>
          </w:p>
        </w:tc>
        <w:tc>
          <w:tcPr>
            <w:tcW w:w="520" w:type="dxa"/>
            <w:vAlign w:val="bottom"/>
            <w:tcBorders>
              <w:top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2017</w:t>
            </w:r>
          </w:p>
        </w:tc>
        <w:tc>
          <w:tcPr>
            <w:tcW w:w="8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$ 2,504</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$ 6,056</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$ 4,066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Other comprehensive income, net of taxes:</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marketable securities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color w:val="auto"/>
              </w:rPr>
              <w:t>Total other comprehensive income (loss)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$ 2,520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$ 6,087</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$ 4,109</w:t>
            </w: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82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7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1"/>
              </w:rPr>
              <w:t>Retained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82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Earnings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5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31,748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$280,813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Cumulative effect of accounting change</w:t>
            </w: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2,192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6,056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Comprehensive income</w:t>
            </w: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1,358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tcPr>
          <w:p>
            <w:pPr>
              <w:spacing w:after="0" w:line="201" w:lineRule="exact"/>
              <w:rPr>
                <w:sz w:val="20"/>
                <w:szCs w:val="20"/>
                <w:color w:val="auto"/>
              </w:rPr>
            </w:pPr>
            <w:r>
              <w:rPr>
                <w:rFonts w:ascii="Arial" w:cs="Arial" w:eastAsia="Arial" w:hAnsi="Arial"/>
                <w:sz w:val="18"/>
                <w:szCs w:val="18"/>
                <w:color w:val="auto"/>
                <w:w w:val="99"/>
              </w:rPr>
              <w:t>Common stock issued under stock plans, net of shares withheld for employee</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taxes</w:t>
            </w: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148</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2017</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31,896</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282,083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13,594</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400" w:type="dxa"/>
            <w:vAlign w:val="bottom"/>
            <w:gridSpan w:val="8"/>
          </w:tcPr>
          <w:p>
            <w:pPr>
              <w:jc w:val="right"/>
              <w:ind w:right="18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71"/>
        </w:trPr>
        <w:tc>
          <w:tcPr>
            <w:tcW w:w="20" w:type="dxa"/>
            <w:vAlign w:val="bottom"/>
          </w:tcPr>
          <w:p>
            <w:pPr>
              <w:spacing w:after="0"/>
              <w:rPr>
                <w:sz w:val="14"/>
                <w:szCs w:val="14"/>
                <w:color w:val="auto"/>
              </w:rPr>
            </w:pPr>
          </w:p>
        </w:tc>
        <w:tc>
          <w:tcPr>
            <w:tcW w:w="90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6,056</w:t>
            </w:r>
          </w:p>
        </w:tc>
        <w:tc>
          <w:tcPr>
            <w:tcW w:w="180" w:type="dxa"/>
            <w:vAlign w:val="bottom"/>
          </w:tcPr>
          <w:p>
            <w:pPr>
              <w:spacing w:after="0"/>
              <w:rPr>
                <w:sz w:val="18"/>
                <w:szCs w:val="18"/>
                <w:color w:val="auto"/>
              </w:rPr>
            </w:pP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4,066</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19,488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15,976</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 based compensation expense</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w:t>
            </w: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Excess tax benefit from equity awards</w:t>
            </w:r>
          </w:p>
        </w:tc>
        <w:tc>
          <w:tcPr>
            <w:tcW w:w="22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(661)</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Provision for doubtful accounts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(gain) on non-marketable equity investments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846</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1060"/>
              <w:spacing w:after="0"/>
              <w:rPr>
                <w:sz w:val="20"/>
                <w:szCs w:val="20"/>
                <w:color w:val="auto"/>
              </w:rPr>
            </w:pPr>
            <w:r>
              <w:rPr>
                <w:rFonts w:ascii="Arial" w:cs="Arial" w:eastAsia="Arial" w:hAnsi="Arial"/>
                <w:sz w:val="18"/>
                <w:szCs w:val="18"/>
                <w:color w:val="auto"/>
              </w:rPr>
              <w:t>Accounts and unbilled receivables</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5,301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(6,855)</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Prepaid royalties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(2,291)</w:t>
            </w:r>
          </w:p>
        </w:tc>
      </w:tr>
      <w:tr>
        <w:trPr>
          <w:trHeight w:val="216"/>
        </w:trPr>
        <w:tc>
          <w:tcPr>
            <w:tcW w:w="20" w:type="dxa"/>
            <w:vAlign w:val="bottom"/>
          </w:tcPr>
          <w:p>
            <w:pPr>
              <w:spacing w:after="0"/>
              <w:rPr>
                <w:sz w:val="18"/>
                <w:szCs w:val="18"/>
                <w:color w:val="auto"/>
              </w:rPr>
            </w:pPr>
          </w:p>
        </w:tc>
        <w:tc>
          <w:tcPr>
            <w:tcW w:w="9000" w:type="dxa"/>
            <w:vAlign w:val="bottom"/>
          </w:tcPr>
          <w:p>
            <w:pPr>
              <w:ind w:left="1060"/>
              <w:spacing w:after="0"/>
              <w:rPr>
                <w:sz w:val="20"/>
                <w:szCs w:val="20"/>
                <w:color w:val="auto"/>
              </w:rPr>
            </w:pPr>
            <w:r>
              <w:rPr>
                <w:rFonts w:ascii="Arial" w:cs="Arial" w:eastAsia="Arial" w:hAnsi="Arial"/>
                <w:sz w:val="18"/>
                <w:szCs w:val="18"/>
                <w:color w:val="auto"/>
              </w:rPr>
              <w:t>Other prepaid expenses and other current assets</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(326)</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9000" w:type="dxa"/>
            <w:vAlign w:val="bottom"/>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2,770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(898)</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royalties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4,415</w:t>
            </w:r>
          </w:p>
        </w:tc>
      </w:tr>
      <w:tr>
        <w:trPr>
          <w:trHeight w:val="223"/>
        </w:trPr>
        <w:tc>
          <w:tcPr>
            <w:tcW w:w="20" w:type="dxa"/>
            <w:vAlign w:val="bottom"/>
          </w:tcPr>
          <w:p>
            <w:pPr>
              <w:spacing w:after="0"/>
              <w:rPr>
                <w:sz w:val="19"/>
                <w:szCs w:val="19"/>
                <w:color w:val="auto"/>
              </w:rPr>
            </w:pPr>
          </w:p>
        </w:tc>
        <w:tc>
          <w:tcPr>
            <w:tcW w:w="9000" w:type="dxa"/>
            <w:vAlign w:val="bottom"/>
          </w:tcPr>
          <w:p>
            <w:pPr>
              <w:ind w:left="106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(2,479)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(1,766)</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14,983</w:t>
            </w:r>
          </w:p>
        </w:tc>
        <w:tc>
          <w:tcPr>
            <w:tcW w:w="100" w:type="dxa"/>
            <w:vAlign w:val="bottom"/>
            <w:shd w:val="clear" w:color="auto" w:fill="CCEEFF"/>
          </w:tcPr>
          <w:p>
            <w:pPr>
              <w:spacing w:after="0"/>
              <w:rPr>
                <w:sz w:val="18"/>
                <w:szCs w:val="18"/>
                <w:color w:val="auto"/>
              </w:rPr>
            </w:pP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Business combinations, net of cash acquired</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(53,078)</w:t>
            </w: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Proceeds from sale of long-lived assets</w:t>
            </w:r>
          </w:p>
        </w:tc>
        <w:tc>
          <w:tcPr>
            <w:tcW w:w="22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975</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marketable securities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88,197</w:t>
            </w: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22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(79,290)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(82,771)</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Payments to acquire cost method investments</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22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(9,213)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(7,070)</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(5,312)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(3,870)</w:t>
            </w:r>
          </w:p>
        </w:tc>
      </w:tr>
      <w:tr>
        <w:trPr>
          <w:trHeight w:val="230"/>
        </w:trPr>
        <w:tc>
          <w:tcPr>
            <w:tcW w:w="20" w:type="dxa"/>
            <w:vAlign w:val="bottom"/>
          </w:tcPr>
          <w:p>
            <w:pPr>
              <w:spacing w:after="0"/>
              <w:rPr>
                <w:sz w:val="20"/>
                <w:szCs w:val="20"/>
                <w:color w:val="auto"/>
              </w:rPr>
            </w:pPr>
          </w:p>
        </w:tc>
        <w:tc>
          <w:tcPr>
            <w:tcW w:w="9000" w:type="dxa"/>
            <w:vAlign w:val="bottom"/>
          </w:tcPr>
          <w:p>
            <w:pPr>
              <w:ind w:left="14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(24,749)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equity awards</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22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(311)</w:t>
            </w: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(42,190)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82,010</w:t>
            </w: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60,460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39,820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Operating results for the three and nine month periods ended September 30, 2017 are not necessarily indicative of the results that may be expected for the year ending December 31, 2017.</w:t>
      </w:r>
    </w:p>
    <w:p>
      <w:pPr>
        <w:spacing w:after="0" w:line="17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condensed consolidated balance sheet at December 31, 2016 has been derived from the audited consolidated financial statements at that date (certain amounts in the 2016 balance sheet have been reclassified to conform to the 2017 presentation) but does not include all of the information and footnotes required by US GAAP for complete financial statements. For further information, refer to the consolidated financial statements and footnotes thereto for the year ended December 31, 2016 (included in the Company’s Annual Report on Form 10-K, filed with the Securities and Exchange Commission on February 27,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Recently Adopted</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The Company has adopted the Financial Accounting Standards Board (“FASB”) Accounting Standards Update (“ASU”) 2016-09, </w:t>
      </w:r>
      <w:r>
        <w:rPr>
          <w:rFonts w:ascii="Arial" w:cs="Arial" w:eastAsia="Arial" w:hAnsi="Arial"/>
          <w:sz w:val="17"/>
          <w:szCs w:val="17"/>
          <w:i w:val="1"/>
          <w:iCs w:val="1"/>
          <w:color w:val="auto"/>
        </w:rPr>
        <w:t>Improvements to Employee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Share-Based Payment Accounting, </w:t>
      </w:r>
      <w:r>
        <w:rPr>
          <w:rFonts w:ascii="Arial" w:cs="Arial" w:eastAsia="Arial" w:hAnsi="Arial"/>
          <w:sz w:val="17"/>
          <w:szCs w:val="17"/>
          <w:color w:val="auto"/>
        </w:rPr>
        <w:t>effective January 1, 2017. As a result of the adoption, the Company recorded an adjustment to retained earnings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$2.2 million to recognize deferred tax assets associated with previous excess tax benefits on stock based compensation that had not been previously recognized because the related tax deduction had not reduced income taxes payable. The Company elected to continue to estimate expected forfeitures rather than account for them as they occur, and to prospectively reflect the presentation of excess tax benefits on the statement of cash flows as an operating activity. In addition, effective January 1, 2017, excess tax benefits or deficiencies from equity based awards is reflected in the statement of income as a component of the provision for income taxes.</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which simplifies the measurement of goodwill by eliminating Step 2 from the goodwill impairment test. With the elimination of Step 2, entities will measure goodwill for impairment by comparing the fair value of the reporting unit with its carrying amount. An impairment charge should be recognized for the amount by which the carrying amount exceeds the reporting unit’s fair value, only to the extent of the carrying value of goodwill allocated to that reporting unit. The Company elected to early adopt ASU 2017-04 effective January 1, 2017 and is required to apply the new guidance on a prospective basis. The adoption is not expected to have a material effect on the Company’s consolidated financial statements. The Company anticipates the new guidance will make the goodwill impairment evaluation process more efficient and cost effective.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supersedes the revenue recognition requirements in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and most industry-specific revenue recognition guidance throughout the Industry Topics of the Accounting Standards Codification. The updated guidance states that an entity should recognize revenue to depict the transfer of promised goods or services to customers in an amount that reflects the consideration to which the entity expects to be entitled in exchange for those goods or services. The guidance also provides for additional disclosures with respect to revenues and cash flows arising from contracts with customers. The standard will be effective for the first interim period within annual reporting periods beginning after December 15, 2017, and the Company plans to adopt the standard using the modified retrospective approach effective January 1, 2018. The Company is in the process of implementing the standard in preparation for the January 1, 2018 adoption date, and has identified several key provisions that are expected to result in changes to current accounting policies, systems and processes, and internal controls, including but not limited those anticipated changes set forth below. The Company intends to update processes and systems to assist in the application of standalone selling price for its product offerings. In addition, the identification of performance obligations and the related timing of revenue recognition for certain services is expected to change under the new standard which may result in some revenues being recognized earlier, such as for new customer implementation services. Moreover, capitalizing costs to acquire contracts, such as sales commissions, is not a current accounting policy. Under the new standard, the Company expects historical sales commissions, which have been expensed as incurred, will be subject to capitalization for historical periods. Additionally, the Company expects future sales commissions will be subject to capitalization to the extent there are no substantive performance condition requirements of employees. Finally, additional investments in technology and resources will be required by the Company in order to ensure that the Company’s financial systems can record, calculate, summarize, and report the necessary information required by the standard.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 (continued)</w:t>
      </w:r>
    </w:p>
    <w:p>
      <w:pPr>
        <w:spacing w:after="0" w:line="16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Company has not completed its calculation of the financial impact of the Company’s adoption of this accounting standard on its future consolidated financial statements, but does anticipate adjustments to retained earnings upon adoption for both revenue recognition and sales commissions.</w:t>
      </w:r>
    </w:p>
    <w:p>
      <w:pPr>
        <w:spacing w:after="0" w:line="12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 – Overall (Sub Topic 825-10)</w:t>
      </w:r>
      <w:r>
        <w:rPr>
          <w:rFonts w:ascii="Arial" w:cs="Arial" w:eastAsia="Arial" w:hAnsi="Arial"/>
          <w:sz w:val="17"/>
          <w:szCs w:val="17"/>
          <w:color w:val="auto"/>
        </w:rPr>
        <w:t>, which addresses certain aspects of the recognition, measurement, presentation, and disclosure of financial instruments. The guidance will, among other things, require equity investments (except those accounted for under the equity method of accounting or those that result in consolidation of the investee) to be measured at fair value with changes in fair value recognized in net income. The standard will be effective for the first interim period within annual reporting periods beginning after December 15, 2017, and early adoption is permitted for only limited aspects of such guidance. The Company expects to adopt this ASU on January 1, 2018, and is currently reviewing this standard to assess the impact on its future consolidated financial statements.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requires lessees to recognize assets and liabilities for most leases. The recognition, measurement, and presentation of expenses and cash flows arising from a lease by a lessee is not expected to significantly change under such guidance; however, the Company is currently reviewing this standard to assess the impact on its future consolidated financial statements. The standard will be effective for the first interim period within annual reporting periods beginning after December 15, 2018, and early adoption is permitted. The Company expects to adopt this ASU on January 1, 2019, and is currently evaluating the impact that adoption of this ASU will have on its consolidated financial position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121"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September 30, 2017 and 2016, the Company recorded a provision for income taxes of approximately $1.7 million and</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$461,000, respectively. During the nine months ended September 30, 2017 and 2016, the Company recorded a provision for income taxes of approximately $3.1 million and $2.5 million, respectively. The Company’s effective tax rate for the nine months ended September 30, 2017 and 2016 was 33.7% and 38.0%, respectively. During the nine months ended September 30, 2017, the Company recorded excess tax benefits of approximately $428,000 as a component of the provision for income taxes. The Company’s effective tax rate primarily reflects the statutory corporate income tax rate, the net effect of state taxes, and the effect of various permanent tax differences.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BASED COMPENSATION</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 has stock awards outstanding under three stock incentive plans: the Company’s 2016 Omnibus Incentive Plan, the 2010 Stock Incentive Plan, and the 2000 Stock Incentive Plan, as amended. The Company accounts for its stock based compensation plans using the fair-value based method for costs related to share-based payments, including stock options and restricted share units (“RSUs”). During the nine months ended September 30, 2017, the Company issued 111,039 RSUs, subject to service-based vesting, with a weighted average grant date fair value of $23.43 per share, measured based on the closing fair market value of the Company’s stock on the date of grant. During the nine months ended September 30, 2016, the Company issued 111,808 RSUs, subject to service-based vesting, with a weighted average grant date fair value of $20.49 per share, measured based on the closing fair market value of the Company’s stock on the date of grant.</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Total stock based compensation expense recorded for the three and nine months ended September 30, 2017 and 2016, which is recorded in the condensed consolidated statements of income, is as follows (in thousands):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560" w:type="dxa"/>
            <w:vAlign w:val="bottom"/>
            <w:gridSpan w:val="6"/>
          </w:tcPr>
          <w:p>
            <w:pPr>
              <w:jc w:val="right"/>
              <w:ind w:right="260"/>
              <w:spacing w:after="0"/>
              <w:rPr>
                <w:sz w:val="20"/>
                <w:szCs w:val="20"/>
                <w:color w:val="auto"/>
              </w:rPr>
            </w:pPr>
            <w:r>
              <w:rPr>
                <w:rFonts w:ascii="Arial" w:cs="Arial" w:eastAsia="Arial" w:hAnsi="Arial"/>
                <w:sz w:val="14"/>
                <w:szCs w:val="14"/>
                <w:color w:val="auto"/>
                <w:w w:val="97"/>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6"/>
          </w:tcPr>
          <w:p>
            <w:pPr>
              <w:jc w:val="right"/>
              <w:ind w:right="140"/>
              <w:spacing w:after="0"/>
              <w:rPr>
                <w:sz w:val="20"/>
                <w:szCs w:val="20"/>
                <w:color w:val="auto"/>
              </w:rPr>
            </w:pPr>
            <w:r>
              <w:rPr>
                <w:rFonts w:ascii="Arial" w:cs="Arial" w:eastAsia="Arial" w:hAnsi="Arial"/>
                <w:sz w:val="14"/>
                <w:szCs w:val="14"/>
                <w:color w:val="auto"/>
                <w:w w:val="94"/>
              </w:rPr>
              <w:t>Nine Months Ended</w:t>
            </w:r>
          </w:p>
        </w:tc>
        <w:tc>
          <w:tcPr>
            <w:tcW w:w="0" w:type="dxa"/>
            <w:vAlign w:val="bottom"/>
          </w:tcPr>
          <w:p>
            <w:pPr>
              <w:spacing w:after="0"/>
              <w:rPr>
                <w:sz w:val="1"/>
                <w:szCs w:val="1"/>
                <w:color w:val="auto"/>
              </w:rPr>
            </w:pPr>
          </w:p>
        </w:tc>
      </w:tr>
      <w:tr>
        <w:trPr>
          <w:trHeight w:val="167"/>
        </w:trPr>
        <w:tc>
          <w:tcPr>
            <w:tcW w:w="47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tcPr>
          <w:p>
            <w:pPr>
              <w:jc w:val="right"/>
              <w:ind w:right="440"/>
              <w:spacing w:after="0"/>
              <w:rPr>
                <w:sz w:val="20"/>
                <w:szCs w:val="20"/>
                <w:color w:val="auto"/>
              </w:rPr>
            </w:pPr>
            <w:r>
              <w:rPr>
                <w:rFonts w:ascii="Arial" w:cs="Arial" w:eastAsia="Arial" w:hAnsi="Arial"/>
                <w:sz w:val="14"/>
                <w:szCs w:val="14"/>
                <w:color w:val="auto"/>
              </w:rPr>
              <w:t>September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6"/>
          </w:tcPr>
          <w:p>
            <w:pPr>
              <w:jc w:val="right"/>
              <w:ind w:right="32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4740" w:type="dxa"/>
            <w:vAlign w:val="bottom"/>
            <w:tcBorders>
              <w:bottom w:val="single" w:sz="8" w:color="CCEEFF"/>
            </w:tcBorders>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color w:val="auto"/>
                <w:w w:val="89"/>
              </w:rPr>
              <w:t>2017</w:t>
            </w: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9"/>
              </w:rPr>
              <w:t>2016</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color w:val="auto"/>
                <w:w w:val="96"/>
              </w:rPr>
              <w:t>2017</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9"/>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Product development</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339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871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1,013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 based compensation expense</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1,358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1,516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20" w:type="dxa"/>
            <w:vAlign w:val="bottom"/>
            <w:vMerge w:val="restart"/>
          </w:tcPr>
          <w:p>
            <w:pPr>
              <w:jc w:val="right"/>
              <w:ind w:right="197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4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approximately 31,000 and 21,000 for the three months ended September 30, 2017 and 2016, respectively, and approximately 68,000 and 42,000 for the nine months ended September 30, 2017 and 2016, respectively.</w:t>
      </w:r>
    </w:p>
    <w:p>
      <w:pPr>
        <w:spacing w:after="0" w:line="1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and nine months ended September 30, 2017 and 2016 (in thousands, except per share data):</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center"/>
              <w:ind w:right="500"/>
              <w:spacing w:after="0"/>
              <w:rPr>
                <w:sz w:val="20"/>
                <w:szCs w:val="20"/>
                <w:color w:val="auto"/>
              </w:rPr>
            </w:pPr>
            <w:r>
              <w:rPr>
                <w:rFonts w:ascii="Arial" w:cs="Arial" w:eastAsia="Arial" w:hAnsi="Arial"/>
                <w:sz w:val="14"/>
                <w:szCs w:val="14"/>
                <w:color w:val="auto"/>
                <w:w w:val="93"/>
              </w:rPr>
              <w:t>Three Months Ended</w:t>
            </w:r>
          </w:p>
        </w:tc>
        <w:tc>
          <w:tcPr>
            <w:tcW w:w="100" w:type="dxa"/>
            <w:vAlign w:val="bottom"/>
          </w:tcPr>
          <w:p>
            <w:pPr>
              <w:spacing w:after="0"/>
              <w:rPr>
                <w:sz w:val="14"/>
                <w:szCs w:val="14"/>
                <w:color w:val="auto"/>
              </w:rPr>
            </w:pPr>
          </w:p>
        </w:tc>
        <w:tc>
          <w:tcPr>
            <w:tcW w:w="1580" w:type="dxa"/>
            <w:vAlign w:val="bottom"/>
            <w:gridSpan w:val="5"/>
          </w:tcPr>
          <w:p>
            <w:pPr>
              <w:jc w:val="right"/>
              <w:ind w:right="28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6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center"/>
              <w:ind w:right="520"/>
              <w:spacing w:after="0"/>
              <w:rPr>
                <w:sz w:val="20"/>
                <w:szCs w:val="20"/>
                <w:color w:val="auto"/>
              </w:rPr>
            </w:pPr>
            <w:r>
              <w:rPr>
                <w:rFonts w:ascii="Arial" w:cs="Arial" w:eastAsia="Arial" w:hAnsi="Arial"/>
                <w:sz w:val="14"/>
                <w:szCs w:val="14"/>
                <w:color w:val="auto"/>
                <w:w w:val="91"/>
              </w:rPr>
              <w:t>September 30,</w:t>
            </w:r>
          </w:p>
        </w:tc>
        <w:tc>
          <w:tcPr>
            <w:tcW w:w="100" w:type="dxa"/>
            <w:vAlign w:val="bottom"/>
          </w:tcPr>
          <w:p>
            <w:pPr>
              <w:spacing w:after="0"/>
              <w:rPr>
                <w:sz w:val="14"/>
                <w:szCs w:val="14"/>
                <w:color w:val="auto"/>
              </w:rPr>
            </w:pPr>
          </w:p>
        </w:tc>
        <w:tc>
          <w:tcPr>
            <w:tcW w:w="1580" w:type="dxa"/>
            <w:vAlign w:val="bottom"/>
            <w:gridSpan w:val="5"/>
          </w:tcPr>
          <w:p>
            <w:pPr>
              <w:jc w:val="right"/>
              <w:ind w:right="44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2016</w:t>
            </w: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rPr>
              <w:t>2017</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2,504</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1,162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6,056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4,066</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720"/>
              <w:spacing w:after="0"/>
              <w:rPr>
                <w:sz w:val="20"/>
                <w:szCs w:val="20"/>
                <w:color w:val="auto"/>
              </w:rPr>
            </w:pPr>
            <w:r>
              <w:rPr>
                <w:rFonts w:ascii="Arial" w:cs="Arial" w:eastAsia="Arial" w:hAnsi="Arial"/>
                <w:sz w:val="18"/>
                <w:szCs w:val="18"/>
                <w:color w:val="auto"/>
              </w:rPr>
              <w:t>Weighted average shares outstanding</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31,893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31,739</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31,848</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31,714</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Effect of dilutive shares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3"/>
        </w:trPr>
        <w:tc>
          <w:tcPr>
            <w:tcW w:w="6780" w:type="dxa"/>
            <w:vAlign w:val="bottom"/>
          </w:tcPr>
          <w:p>
            <w:pPr>
              <w:ind w:left="720"/>
              <w:spacing w:after="0"/>
              <w:rPr>
                <w:sz w:val="20"/>
                <w:szCs w:val="20"/>
                <w:color w:val="auto"/>
              </w:rPr>
            </w:pPr>
            <w:r>
              <w:rPr>
                <w:rFonts w:ascii="Arial" w:cs="Arial" w:eastAsia="Arial" w:hAnsi="Arial"/>
                <w:sz w:val="18"/>
                <w:szCs w:val="18"/>
                <w:color w:val="auto"/>
              </w:rPr>
              <w:t>Weighted average diluted shares</w:t>
            </w: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32,217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32,107</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32,183</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32,050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360"/>
              <w:spacing w:after="0"/>
              <w:rPr>
                <w:sz w:val="20"/>
                <w:szCs w:val="20"/>
                <w:color w:val="auto"/>
              </w:rPr>
            </w:pPr>
            <w:r>
              <w:rPr>
                <w:rFonts w:ascii="Arial" w:cs="Arial" w:eastAsia="Arial" w:hAnsi="Arial"/>
                <w:sz w:val="18"/>
                <w:szCs w:val="18"/>
                <w:color w:val="auto"/>
              </w:rPr>
              <w:t>Diluted 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4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September 30, 2017 and December 31, 2016, the fair value of marketable securities, which were all classified as available for sale, included the following (in thousands):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spacing w:after="0"/>
              <w:rPr>
                <w:sz w:val="20"/>
                <w:szCs w:val="20"/>
                <w:color w:val="auto"/>
              </w:rPr>
            </w:pPr>
            <w:r>
              <w:rPr>
                <w:rFonts w:ascii="Arial" w:cs="Arial" w:eastAsia="Arial" w:hAnsi="Arial"/>
                <w:sz w:val="14"/>
                <w:szCs w:val="14"/>
                <w:color w:val="auto"/>
                <w:w w:val="99"/>
              </w:rPr>
              <w:t>September 30, 2017</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4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5"/>
          </w:tcPr>
          <w:p>
            <w:pPr>
              <w:jc w:val="right"/>
              <w:ind w:right="360"/>
              <w:spacing w:after="0" w:line="123" w:lineRule="exact"/>
              <w:rPr>
                <w:sz w:val="20"/>
                <w:szCs w:val="20"/>
                <w:color w:val="auto"/>
              </w:rPr>
            </w:pPr>
            <w:r>
              <w:rPr>
                <w:rFonts w:ascii="Arial" w:cs="Arial" w:eastAsia="Arial" w:hAnsi="Arial"/>
                <w:sz w:val="14"/>
                <w:szCs w:val="14"/>
                <w:color w:val="auto"/>
                <w:w w:val="92"/>
              </w:rPr>
              <w:t>Unrealized</w:t>
            </w:r>
          </w:p>
        </w:tc>
        <w:tc>
          <w:tcPr>
            <w:tcW w:w="200" w:type="dxa"/>
            <w:vAlign w:val="bottom"/>
          </w:tcPr>
          <w:p>
            <w:pPr>
              <w:spacing w:after="0"/>
              <w:rPr>
                <w:sz w:val="10"/>
                <w:szCs w:val="10"/>
                <w:color w:val="auto"/>
              </w:rPr>
            </w:pPr>
          </w:p>
        </w:tc>
        <w:tc>
          <w:tcPr>
            <w:tcW w:w="1280" w:type="dxa"/>
            <w:vAlign w:val="bottom"/>
            <w:gridSpan w:val="5"/>
          </w:tcPr>
          <w:p>
            <w:pPr>
              <w:spacing w:after="0" w:line="123" w:lineRule="exact"/>
              <w:rPr>
                <w:sz w:val="20"/>
                <w:szCs w:val="20"/>
                <w:color w:val="auto"/>
              </w:rPr>
            </w:pPr>
            <w:r>
              <w:rPr>
                <w:rFonts w:ascii="Arial" w:cs="Arial" w:eastAsia="Arial" w:hAnsi="Arial"/>
                <w:sz w:val="14"/>
                <w:szCs w:val="14"/>
                <w:color w:val="auto"/>
              </w:rPr>
              <w:t>Unrealized</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4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gridSpan w:val="5"/>
          </w:tcPr>
          <w:p>
            <w:pPr>
              <w:jc w:val="right"/>
              <w:ind w:right="220"/>
              <w:spacing w:after="0"/>
              <w:rPr>
                <w:sz w:val="20"/>
                <w:szCs w:val="20"/>
                <w:color w:val="auto"/>
              </w:rPr>
            </w:pPr>
            <w:r>
              <w:rPr>
                <w:rFonts w:ascii="Arial" w:cs="Arial" w:eastAsia="Arial" w:hAnsi="Arial"/>
                <w:sz w:val="14"/>
                <w:szCs w:val="14"/>
                <w:color w:val="auto"/>
                <w:w w:val="91"/>
              </w:rPr>
              <w:t>Adjusted Cost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4"/>
          </w:tcPr>
          <w:p>
            <w:pPr>
              <w:ind w:left="20"/>
              <w:spacing w:after="0"/>
              <w:rPr>
                <w:sz w:val="20"/>
                <w:szCs w:val="20"/>
                <w:color w:val="auto"/>
              </w:rPr>
            </w:pPr>
            <w:r>
              <w:rPr>
                <w:rFonts w:ascii="Arial" w:cs="Arial" w:eastAsia="Arial" w:hAnsi="Arial"/>
                <w:sz w:val="14"/>
                <w:szCs w:val="14"/>
                <w:color w:val="auto"/>
              </w:rPr>
              <w:t>Gains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4"/>
                <w:szCs w:val="14"/>
                <w:color w:val="auto"/>
                <w:w w:val="94"/>
              </w:rPr>
              <w:t>Losses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w w:val="87"/>
              </w:rPr>
              <w:t>Fair Value</w:t>
            </w: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2:</w:t>
            </w:r>
          </w:p>
        </w:tc>
        <w:tc>
          <w:tcPr>
            <w:tcW w:w="10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Corporate debt securities</w:t>
            </w:r>
          </w:p>
        </w:tc>
        <w:tc>
          <w:tcPr>
            <w:tcW w:w="1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56,968</w:t>
            </w:r>
          </w:p>
        </w:tc>
        <w:tc>
          <w:tcPr>
            <w:tcW w:w="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5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$56,947</w:t>
            </w: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Government-sponsored enterprise debt securities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5,995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5,996</w:t>
            </w: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62,963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62,943</w:t>
            </w:r>
          </w:p>
        </w:tc>
        <w:tc>
          <w:tcPr>
            <w:tcW w:w="6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4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color w:val="auto"/>
                <w:w w:val="92"/>
              </w:rPr>
              <w:t>December 31, 2016</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23"/>
        </w:trPr>
        <w:tc>
          <w:tcPr>
            <w:tcW w:w="4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4"/>
          </w:tcPr>
          <w:p>
            <w:pPr>
              <w:ind w:left="20"/>
              <w:spacing w:after="0" w:line="123" w:lineRule="exact"/>
              <w:rPr>
                <w:sz w:val="20"/>
                <w:szCs w:val="20"/>
                <w:color w:val="auto"/>
              </w:rPr>
            </w:pPr>
            <w:r>
              <w:rPr>
                <w:rFonts w:ascii="Arial" w:cs="Arial" w:eastAsia="Arial" w:hAnsi="Arial"/>
                <w:sz w:val="14"/>
                <w:szCs w:val="14"/>
                <w:color w:val="auto"/>
              </w:rPr>
              <w:t>Unrealized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4"/>
          </w:tcPr>
          <w:p>
            <w:pPr>
              <w:spacing w:after="0" w:line="123" w:lineRule="exact"/>
              <w:rPr>
                <w:sz w:val="20"/>
                <w:szCs w:val="20"/>
                <w:color w:val="auto"/>
              </w:rPr>
            </w:pPr>
            <w:r>
              <w:rPr>
                <w:rFonts w:ascii="Arial" w:cs="Arial" w:eastAsia="Arial" w:hAnsi="Arial"/>
                <w:sz w:val="14"/>
                <w:szCs w:val="14"/>
                <w:color w:val="auto"/>
              </w:rPr>
              <w:t>Unrealized</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4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color w:val="auto"/>
                <w:w w:val="94"/>
              </w:rPr>
              <w:t>Adjusted Cost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4"/>
                <w:szCs w:val="14"/>
                <w:color w:val="auto"/>
                <w:w w:val="98"/>
              </w:rPr>
              <w:t>Gains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4"/>
          </w:tcPr>
          <w:p>
            <w:pPr>
              <w:jc w:val="right"/>
              <w:ind w:right="600"/>
              <w:spacing w:after="0"/>
              <w:rPr>
                <w:sz w:val="20"/>
                <w:szCs w:val="20"/>
                <w:color w:val="auto"/>
              </w:rPr>
            </w:pPr>
            <w:r>
              <w:rPr>
                <w:rFonts w:ascii="Arial" w:cs="Arial" w:eastAsia="Arial" w:hAnsi="Arial"/>
                <w:sz w:val="14"/>
                <w:szCs w:val="14"/>
                <w:color w:val="auto"/>
              </w:rPr>
              <w:t>Losses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w w:val="87"/>
              </w:rPr>
              <w:t>Fair Value</w:t>
            </w: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2:</w:t>
            </w:r>
          </w:p>
        </w:tc>
        <w:tc>
          <w:tcPr>
            <w:tcW w:w="10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Corporate debt securities</w:t>
            </w:r>
          </w:p>
        </w:tc>
        <w:tc>
          <w:tcPr>
            <w:tcW w:w="1360" w:type="dxa"/>
            <w:vAlign w:val="bottom"/>
            <w:gridSpan w:val="3"/>
          </w:tcPr>
          <w:p>
            <w:pPr>
              <w:ind w:left="126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44,486</w:t>
            </w:r>
          </w:p>
        </w:tc>
        <w:tc>
          <w:tcPr>
            <w:tcW w:w="600" w:type="dxa"/>
            <w:vAlign w:val="bottom"/>
            <w:gridSpan w:val="3"/>
          </w:tcPr>
          <w:p>
            <w:pPr>
              <w:ind w:left="480"/>
              <w:spacing w:after="0"/>
              <w:rPr>
                <w:sz w:val="20"/>
                <w:szCs w:val="20"/>
                <w:color w:val="auto"/>
              </w:rPr>
            </w:pPr>
            <w:r>
              <w:rPr>
                <w:rFonts w:ascii="Arial" w:cs="Arial" w:eastAsia="Arial" w:hAnsi="Arial"/>
                <w:sz w:val="18"/>
                <w:szCs w:val="18"/>
                <w:color w:val="auto"/>
                <w:w w:val="99"/>
              </w:rPr>
              <w:t>$</w:t>
            </w: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20"/>
              <w:spacing w:after="0"/>
              <w:rPr>
                <w:sz w:val="20"/>
                <w:szCs w:val="20"/>
                <w:color w:val="auto"/>
              </w:rPr>
            </w:pPr>
            <w:r>
              <w:rPr>
                <w:rFonts w:ascii="Arial" w:cs="Arial" w:eastAsia="Arial" w:hAnsi="Arial"/>
                <w:sz w:val="18"/>
                <w:szCs w:val="18"/>
                <w:color w:val="auto"/>
              </w:rPr>
              <w:t>(50)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$44,436</w:t>
            </w: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Government-sponsored enterprise debt securities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9,105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9,104</w:t>
            </w: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12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53,591</w:t>
            </w:r>
          </w:p>
        </w:tc>
        <w:tc>
          <w:tcPr>
            <w:tcW w:w="20" w:type="dxa"/>
            <w:vAlign w:val="bottom"/>
            <w:tcBorders>
              <w:bottom w:val="single" w:sz="8" w:color="auto"/>
            </w:tcBorders>
          </w:tcPr>
          <w:p>
            <w:pPr>
              <w:spacing w:after="0"/>
              <w:rPr>
                <w:sz w:val="19"/>
                <w:szCs w:val="19"/>
                <w:color w:val="auto"/>
              </w:rPr>
            </w:pPr>
          </w:p>
        </w:tc>
        <w:tc>
          <w:tcPr>
            <w:tcW w:w="48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(52</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53,540</w:t>
            </w:r>
          </w:p>
        </w:tc>
        <w:tc>
          <w:tcPr>
            <w:tcW w:w="6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carrying amounts reported in the condensed consolidated balance sheet approximate the fair value based on quoted market prices or alternative pricing sources and models utilizing market observable inputs. As of September 30, 2017, the Company does not consider any of its marketable securities to be other than temporarily impaired. During the nine months ended September 30, 2017 and 2016, the Company did not reclassify any items out of accumulated other comprehensive income to net income. All investments in marketable securities are classified as current assets on the balance sheet because the underlying securities mature within one year from the balance sheet date.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Morrisey Associates, Inc.</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August 8, 2016, Echo, Inc. (“Echo”), a wholly owned subsidiary of the Company, acquired all of the outstanding stock of Morrisey Associates, Inc. (“MAI”), a Chicago, Illinois based company that provides credentialing and privileging software to healthcare organizations. The acquisition of MAI allows the Company to expand its credentialing and privileging product offerings and solutions to healthcare organizations. The consideration paid for MAI consisted of approximately $48.0 million in cash, which the Company funded with cash on hand, and was not subject to any post-closing working capital or similar adjustment. The Company incurred approximately $953,000 in transaction costs, all of which were incurred during the year ended December 31, 2016. The transaction costs were recorded in other general and administrative expenses in the condensed consolidated statements of income. The results of operations for MAI have been included in the Company’s consolidated financial statements from the date of acquisition and are also included in the HealthStream Provider Solutions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A summary of the purchase price is as follows (in thousands):</w:t>
            </w:r>
          </w:p>
        </w:tc>
        <w:tc>
          <w:tcPr>
            <w:tcW w:w="2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48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Cash paid at closing</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Cash held in escrow</w:t>
            </w:r>
          </w:p>
        </w:tc>
        <w:tc>
          <w:tcPr>
            <w:tcW w:w="22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consideration paid</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the assets acquired and liabilities assumed as of the date of acquisition (in thousands):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2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Prepaid royalties and other prepaid assets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Deferred tax assets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1,377</w:t>
            </w: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21,000</w:t>
            </w:r>
          </w:p>
        </w:tc>
        <w:tc>
          <w:tcPr>
            <w:tcW w:w="12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Intangible assets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27,400</w:t>
            </w: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(776)</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Deferred revenue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(3,669)</w:t>
            </w:r>
          </w:p>
        </w:tc>
      </w:tr>
      <w:tr>
        <w:trPr>
          <w:trHeight w:val="27"/>
        </w:trPr>
        <w:tc>
          <w:tcPr>
            <w:tcW w:w="5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assets acquired</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48,000</w:t>
            </w:r>
          </w:p>
        </w:tc>
        <w:tc>
          <w:tcPr>
            <w:tcW w:w="120" w:type="dxa"/>
            <w:vAlign w:val="bottom"/>
            <w:shd w:val="clear" w:color="auto" w:fill="CCEEFF"/>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excess purchase price over the fair values of net tangible and intangible assets was recorded as goodwill. The fair values of tangible and identifiable intangible assets, deferred revenue, and other liabilities assumed were based on management’s estimates and assumptions. The goodwill balance was primarily attributed to the assembled workforce, additional market opportunities from offering MAI’s products, and expected synergies from integrating MAI with other products or other combined functional areas within the Company. During the three months ended September 30, 2017, the Company determined that a portion of the acquired accounts receivable required an adjustment to net realizable value and a portion of the assumed liabilities would not be satisfied and therefore recorded a measurement period adjustment, which on a net basis, increased goodwill by approximately $533,000. The measurement period adjustment has no effect on current period or prior period earnings. The goodwill balance, including the measurement period adjustment, is deductible for U.S. income tax purposes. The net tangible assets include deferred revenue, which was adjusted down from a book value at the acquisition date of</w:t>
      </w:r>
    </w:p>
    <w:p>
      <w:pPr>
        <w:spacing w:after="0" w:line="1"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$8.3 million to an estimated fair value of $3.7 million. The $4.6 million write-down of deferred revenue will result in lower revenues than would have otherwise been recognized for such services.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identifiable intangible assets and their estimated useful lives as of the acquisition date (in thousands):</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378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$ 21,400</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 years</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Developed technology</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5,400</w:t>
            </w:r>
          </w:p>
        </w:tc>
        <w:tc>
          <w:tcPr>
            <w:tcW w:w="4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 intangible assets subject to amortization</w:t>
            </w:r>
          </w:p>
        </w:tc>
        <w:tc>
          <w:tcPr>
            <w:tcW w:w="3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$ 27,400</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160" w:type="dxa"/>
            <w:vAlign w:val="bottom"/>
            <w:vMerge w:val="restart"/>
          </w:tcPr>
          <w:p>
            <w:pPr>
              <w:jc w:val="right"/>
              <w:ind w:right="2474"/>
              <w:spacing w:after="0"/>
              <w:rPr>
                <w:sz w:val="20"/>
                <w:szCs w:val="20"/>
                <w:color w:val="auto"/>
              </w:rPr>
            </w:pPr>
            <w:r>
              <w:rPr>
                <w:rFonts w:ascii="Arial" w:cs="Arial" w:eastAsia="Arial" w:hAnsi="Arial"/>
                <w:sz w:val="18"/>
                <w:szCs w:val="18"/>
                <w:color w:val="auto"/>
              </w:rPr>
              <w:t>9</w:t>
            </w: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 (continued)</w:t>
      </w:r>
    </w:p>
    <w:p>
      <w:pPr>
        <w:spacing w:after="0" w:line="1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unaudited pro forma financial information summarizes the combined results of operations of the Company and MAI as though the companies were combined as of January 1, 2015 (in thousands, except per share data):</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center"/>
              <w:ind w:right="280"/>
              <w:spacing w:after="0"/>
              <w:rPr>
                <w:sz w:val="20"/>
                <w:szCs w:val="20"/>
                <w:color w:val="auto"/>
              </w:rPr>
            </w:pPr>
            <w:r>
              <w:rPr>
                <w:rFonts w:ascii="Arial" w:cs="Arial" w:eastAsia="Arial" w:hAnsi="Arial"/>
                <w:sz w:val="14"/>
                <w:szCs w:val="14"/>
                <w:color w:val="auto"/>
                <w:w w:val="93"/>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3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center"/>
              <w:ind w:right="260"/>
              <w:spacing w:after="0"/>
              <w:rPr>
                <w:sz w:val="20"/>
                <w:szCs w:val="20"/>
                <w:color w:val="auto"/>
              </w:rPr>
            </w:pPr>
            <w:r>
              <w:rPr>
                <w:rFonts w:ascii="Arial" w:cs="Arial" w:eastAsia="Arial" w:hAnsi="Arial"/>
                <w:sz w:val="14"/>
                <w:szCs w:val="14"/>
                <w:color w:val="auto"/>
                <w:w w:val="91"/>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50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2016</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color w:val="auto"/>
              </w:rPr>
              <w:t>2017</w:t>
            </w: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63,633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60,711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186,148</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176,402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6,909</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These unaudited pro forma combined results of operations include certain adjustments arising from the acquisition, such as adjustments for amortization of intangible assets, depreciation of property and equipment, and fair value adjustments of acquired deferred revenue balances. The unaudited pro forma combined results of operations are for informational purposes only and are not indicative of what the Company’s results of operations would have been had the transaction occurred at the beginning of the period presented or to project the Company’s results of operations in any future period.</w:t>
      </w:r>
    </w:p>
    <w:p>
      <w:pPr>
        <w:spacing w:after="0" w:line="154"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unaudited pro forma financial information for the three and nine months ended September 30, 2017 and 2016 combines the historical results of the Company and MAI for the three and nine months ended September 30, 2017 and 2016, taking into account the pro forma adjustments listed above.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w:t>
      </w:r>
    </w:p>
    <w:p>
      <w:pPr>
        <w:spacing w:after="0" w:line="121"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Company provides services to healthcare organizations and other members within the healthcare industry. The Company’s services are focused on the delivery of workforce development products and services (HealthStream Workforce Solutions), survey and research services (HealthStream Patient Experience Solutions), and provider credentialing, privileging, and enrollment products and services (HealthStream Provider Solutions).</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measures segment performance based on operating income before income taxes and prior to the allocation of certain corporate overhead expenses, interest income, interest expense, and depreciation. The Unallocated component below includes corporate functions, such as accounting, human resources, legal, investor relations, administrative, and executive personnel, depreciation, a portion of amortization, and certain other expenses, which are not currently allocated in measuring segment performance. The following is the Company’s business segment information as of and for the three and nine months ended September 30, 2017 and 2016 (in thousands).</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720" w:type="dxa"/>
            <w:vAlign w:val="bottom"/>
            <w:gridSpan w:val="4"/>
          </w:tcPr>
          <w:p>
            <w:pPr>
              <w:ind w:left="160"/>
              <w:spacing w:after="0"/>
              <w:rPr>
                <w:sz w:val="20"/>
                <w:szCs w:val="20"/>
                <w:color w:val="auto"/>
              </w:rPr>
            </w:pPr>
            <w:r>
              <w:rPr>
                <w:rFonts w:ascii="Arial" w:cs="Arial" w:eastAsia="Arial" w:hAnsi="Arial"/>
                <w:sz w:val="14"/>
                <w:szCs w:val="14"/>
                <w:color w:val="auto"/>
              </w:rPr>
              <w:t>Three Months Ended</w:t>
            </w:r>
          </w:p>
        </w:tc>
        <w:tc>
          <w:tcPr>
            <w:tcW w:w="180" w:type="dxa"/>
            <w:vAlign w:val="bottom"/>
          </w:tcPr>
          <w:p>
            <w:pPr>
              <w:spacing w:after="0"/>
              <w:rPr>
                <w:sz w:val="14"/>
                <w:szCs w:val="14"/>
                <w:color w:val="auto"/>
              </w:rPr>
            </w:pPr>
          </w:p>
        </w:tc>
        <w:tc>
          <w:tcPr>
            <w:tcW w:w="1780" w:type="dxa"/>
            <w:vAlign w:val="bottom"/>
            <w:gridSpan w:val="4"/>
          </w:tcPr>
          <w:p>
            <w:pPr>
              <w:jc w:val="right"/>
              <w:ind w:right="340"/>
              <w:spacing w:after="0"/>
              <w:rPr>
                <w:sz w:val="20"/>
                <w:szCs w:val="20"/>
                <w:color w:val="auto"/>
              </w:rPr>
            </w:pPr>
            <w:r>
              <w:rPr>
                <w:rFonts w:ascii="Arial" w:cs="Arial" w:eastAsia="Arial" w:hAnsi="Arial"/>
                <w:sz w:val="14"/>
                <w:szCs w:val="14"/>
                <w:color w:val="auto"/>
              </w:rPr>
              <w:t>Nine Months Ended</w:t>
            </w:r>
          </w:p>
        </w:tc>
      </w:tr>
      <w:tr>
        <w:trPr>
          <w:trHeight w:val="167"/>
        </w:trPr>
        <w:tc>
          <w:tcPr>
            <w:tcW w:w="6820" w:type="dxa"/>
            <w:vAlign w:val="bottom"/>
          </w:tcPr>
          <w:p>
            <w:pPr>
              <w:spacing w:after="0"/>
              <w:rPr>
                <w:sz w:val="14"/>
                <w:szCs w:val="14"/>
                <w:color w:val="auto"/>
              </w:rPr>
            </w:pPr>
          </w:p>
        </w:tc>
        <w:tc>
          <w:tcPr>
            <w:tcW w:w="1720" w:type="dxa"/>
            <w:vAlign w:val="bottom"/>
            <w:gridSpan w:val="4"/>
          </w:tcPr>
          <w:p>
            <w:pPr>
              <w:jc w:val="right"/>
              <w:ind w:right="520"/>
              <w:spacing w:after="0"/>
              <w:rPr>
                <w:sz w:val="20"/>
                <w:szCs w:val="20"/>
                <w:color w:val="auto"/>
              </w:rPr>
            </w:pPr>
            <w:r>
              <w:rPr>
                <w:rFonts w:ascii="Arial" w:cs="Arial" w:eastAsia="Arial" w:hAnsi="Arial"/>
                <w:sz w:val="14"/>
                <w:szCs w:val="14"/>
                <w:color w:val="auto"/>
              </w:rPr>
              <w:t>September 30,</w:t>
            </w:r>
          </w:p>
        </w:tc>
        <w:tc>
          <w:tcPr>
            <w:tcW w:w="180" w:type="dxa"/>
            <w:vAlign w:val="bottom"/>
          </w:tcPr>
          <w:p>
            <w:pPr>
              <w:spacing w:after="0"/>
              <w:rPr>
                <w:sz w:val="14"/>
                <w:szCs w:val="14"/>
                <w:color w:val="auto"/>
              </w:rPr>
            </w:pPr>
          </w:p>
        </w:tc>
        <w:tc>
          <w:tcPr>
            <w:tcW w:w="1780" w:type="dxa"/>
            <w:vAlign w:val="bottom"/>
            <w:gridSpan w:val="4"/>
          </w:tcPr>
          <w:p>
            <w:pPr>
              <w:jc w:val="right"/>
              <w:ind w:right="500"/>
              <w:spacing w:after="0"/>
              <w:rPr>
                <w:sz w:val="20"/>
                <w:szCs w:val="20"/>
                <w:color w:val="auto"/>
              </w:rPr>
            </w:pPr>
            <w:r>
              <w:rPr>
                <w:rFonts w:ascii="Arial" w:cs="Arial" w:eastAsia="Arial" w:hAnsi="Arial"/>
                <w:sz w:val="14"/>
                <w:szCs w:val="14"/>
                <w:color w:val="auto"/>
              </w:rPr>
              <w:t>September 30,</w:t>
            </w:r>
          </w:p>
        </w:tc>
      </w:tr>
      <w:tr>
        <w:trPr>
          <w:trHeight w:val="142"/>
        </w:trPr>
        <w:tc>
          <w:tcPr>
            <w:tcW w:w="68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color w:val="auto"/>
              </w:rPr>
              <w:t>2017</w:t>
            </w:r>
          </w:p>
        </w:tc>
        <w:tc>
          <w:tcPr>
            <w:tcW w:w="3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2016</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2017</w:t>
            </w:r>
          </w:p>
        </w:tc>
        <w:tc>
          <w:tcPr>
            <w:tcW w:w="3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bottom w:val="single" w:sz="8" w:color="CCEEFF"/>
            </w:tcBorders>
          </w:tcPr>
          <w:p>
            <w:pPr>
              <w:spacing w:after="0"/>
              <w:rPr>
                <w:sz w:val="12"/>
                <w:szCs w:val="12"/>
                <w:color w:val="auto"/>
              </w:rPr>
            </w:pPr>
          </w:p>
        </w:tc>
      </w:tr>
      <w:tr>
        <w:trPr>
          <w:trHeight w:val="196"/>
        </w:trPr>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 net:</w:t>
            </w: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Workforce Solutions</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$44,603</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$43,015</w:t>
            </w: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$132,561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$124,489</w:t>
            </w: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Patient Experience Solutions</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8,810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8,931</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25,274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25,862</w:t>
            </w: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Provider Solutions</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10,140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6,421</w:t>
            </w: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27,069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16,886</w:t>
            </w:r>
          </w:p>
        </w:tc>
      </w:tr>
      <w:tr>
        <w:trPr>
          <w:trHeight w:val="27"/>
        </w:trPr>
        <w:tc>
          <w:tcPr>
            <w:tcW w:w="68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 net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63,553</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58,367</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184,904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167,237</w:t>
            </w:r>
          </w:p>
        </w:tc>
      </w:tr>
      <w:tr>
        <w:trPr>
          <w:trHeight w:val="20"/>
        </w:trPr>
        <w:tc>
          <w:tcPr>
            <w:tcW w:w="68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80" w:type="dxa"/>
            <w:vAlign w:val="bottom"/>
            <w:gridSpan w:val="5"/>
          </w:tcPr>
          <w:p>
            <w:pPr>
              <w:jc w:val="right"/>
              <w:ind w:right="46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4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38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80" w:type="dxa"/>
            <w:vAlign w:val="bottom"/>
            <w:gridSpan w:val="5"/>
          </w:tcPr>
          <w:p>
            <w:pPr>
              <w:jc w:val="right"/>
              <w:ind w:right="660"/>
              <w:spacing w:after="0"/>
              <w:rPr>
                <w:sz w:val="20"/>
                <w:szCs w:val="20"/>
                <w:color w:val="auto"/>
              </w:rPr>
            </w:pPr>
            <w:r>
              <w:rPr>
                <w:rFonts w:ascii="Arial" w:cs="Arial" w:eastAsia="Arial" w:hAnsi="Arial"/>
                <w:sz w:val="14"/>
                <w:szCs w:val="14"/>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60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6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color w:val="auto"/>
              </w:rPr>
              <w:t>2017</w:t>
            </w:r>
          </w:p>
        </w:tc>
        <w:tc>
          <w:tcPr>
            <w:tcW w:w="2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color w:val="auto"/>
              </w:rPr>
              <w:t>2016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color w:val="auto"/>
              </w:rPr>
              <w:t>2017</w:t>
            </w: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26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Workforce Solutions</w:t>
            </w:r>
          </w:p>
        </w:tc>
        <w:tc>
          <w:tcPr>
            <w:tcW w:w="3520" w:type="dxa"/>
            <w:vAlign w:val="bottom"/>
            <w:gridSpan w:val="3"/>
          </w:tcPr>
          <w:p>
            <w:pPr>
              <w:jc w:val="right"/>
              <w:ind w:right="280"/>
              <w:spacing w:after="0"/>
              <w:rPr>
                <w:sz w:val="20"/>
                <w:szCs w:val="20"/>
                <w:color w:val="auto"/>
              </w:rPr>
            </w:pPr>
            <w:r>
              <w:rPr>
                <w:rFonts w:ascii="Arial" w:cs="Arial" w:eastAsia="Arial" w:hAnsi="Arial"/>
                <w:sz w:val="18"/>
                <w:szCs w:val="18"/>
                <w:color w:val="auto"/>
              </w:rPr>
              <w:t>$ 8,477</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$ 9,386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25,786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29,034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Patient Experience Solutions</w:t>
            </w:r>
          </w:p>
        </w:tc>
        <w:tc>
          <w:tcPr>
            <w:tcW w:w="3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1,531</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1,601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Provider Solutions</w:t>
            </w:r>
          </w:p>
        </w:tc>
        <w:tc>
          <w:tcPr>
            <w:tcW w:w="3520" w:type="dxa"/>
            <w:vAlign w:val="bottom"/>
            <w:gridSpan w:val="3"/>
          </w:tcPr>
          <w:p>
            <w:pPr>
              <w:jc w:val="right"/>
              <w:ind w:right="280"/>
              <w:spacing w:after="0"/>
              <w:rPr>
                <w:sz w:val="20"/>
                <w:szCs w:val="20"/>
                <w:color w:val="auto"/>
              </w:rPr>
            </w:pPr>
            <w:r>
              <w:rPr>
                <w:rFonts w:ascii="Arial" w:cs="Arial" w:eastAsia="Arial" w:hAnsi="Arial"/>
                <w:sz w:val="18"/>
                <w:szCs w:val="18"/>
                <w:color w:val="auto"/>
              </w:rPr>
              <w:t>934</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(959)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856</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Unallocated</w:t>
            </w:r>
          </w:p>
        </w:tc>
        <w:tc>
          <w:tcPr>
            <w:tcW w:w="3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(6,960)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(19,572)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(21,946)</w:t>
            </w:r>
          </w:p>
        </w:tc>
        <w:tc>
          <w:tcPr>
            <w:tcW w:w="0" w:type="dxa"/>
            <w:vAlign w:val="bottom"/>
          </w:tcPr>
          <w:p>
            <w:pPr>
              <w:spacing w:after="0"/>
              <w:rPr>
                <w:sz w:val="1"/>
                <w:szCs w:val="1"/>
                <w:color w:val="auto"/>
              </w:rPr>
            </w:pPr>
          </w:p>
        </w:tc>
      </w:tr>
      <w:tr>
        <w:trPr>
          <w:trHeight w:val="223"/>
        </w:trPr>
        <w:tc>
          <w:tcPr>
            <w:tcW w:w="3800" w:type="dxa"/>
            <w:vAlign w:val="bottom"/>
          </w:tcPr>
          <w:p>
            <w:pPr>
              <w:ind w:left="720"/>
              <w:spacing w:after="0"/>
              <w:rPr>
                <w:sz w:val="20"/>
                <w:szCs w:val="20"/>
                <w:color w:val="auto"/>
              </w:rPr>
            </w:pPr>
            <w:r>
              <w:rPr>
                <w:rFonts w:ascii="Arial" w:cs="Arial" w:eastAsia="Arial" w:hAnsi="Arial"/>
                <w:sz w:val="18"/>
                <w:szCs w:val="18"/>
                <w:color w:val="auto"/>
              </w:rPr>
              <w:t>Total operating income</w:t>
            </w:r>
          </w:p>
        </w:tc>
        <w:tc>
          <w:tcPr>
            <w:tcW w:w="26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$ 3,982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$ 1,286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8,671</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680" w:type="dxa"/>
            <w:vAlign w:val="bottom"/>
            <w:vMerge w:val="restart"/>
          </w:tcPr>
          <w:p>
            <w:pPr>
              <w:jc w:val="right"/>
              <w:ind w:right="1050"/>
              <w:spacing w:after="0"/>
              <w:rPr>
                <w:sz w:val="20"/>
                <w:szCs w:val="20"/>
                <w:color w:val="auto"/>
              </w:rPr>
            </w:pPr>
            <w:r>
              <w:rPr>
                <w:rFonts w:ascii="Arial" w:cs="Arial" w:eastAsia="Arial" w:hAnsi="Arial"/>
                <w:sz w:val="18"/>
                <w:szCs w:val="18"/>
                <w:color w:val="auto"/>
              </w:rPr>
              <w:t>10</w:t>
            </w: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 (continued)</w:t>
      </w:r>
    </w:p>
    <w:p>
      <w:pPr>
        <w:spacing w:after="0" w:line="14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w w:val="89"/>
              </w:rPr>
              <w:t>September 30,</w:t>
            </w:r>
          </w:p>
        </w:tc>
        <w:tc>
          <w:tcPr>
            <w:tcW w:w="1400" w:type="dxa"/>
            <w:vAlign w:val="bottom"/>
            <w:gridSpan w:val="4"/>
          </w:tcPr>
          <w:p>
            <w:pPr>
              <w:ind w:left="520"/>
              <w:spacing w:after="0"/>
              <w:rPr>
                <w:sz w:val="20"/>
                <w:szCs w:val="20"/>
                <w:color w:val="auto"/>
              </w:rPr>
            </w:pPr>
            <w:r>
              <w:rPr>
                <w:rFonts w:ascii="Arial" w:cs="Arial" w:eastAsia="Arial" w:hAnsi="Arial"/>
                <w:sz w:val="14"/>
                <w:szCs w:val="14"/>
                <w:color w:val="auto"/>
                <w:w w:val="97"/>
              </w:rPr>
              <w:t>December 31,</w:t>
            </w:r>
          </w:p>
        </w:tc>
      </w:tr>
      <w:tr>
        <w:trPr>
          <w:trHeight w:val="167"/>
        </w:trPr>
        <w:tc>
          <w:tcPr>
            <w:tcW w:w="64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2017</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2016</w:t>
            </w:r>
          </w:p>
        </w:tc>
        <w:tc>
          <w:tcPr>
            <w:tcW w:w="60" w:type="dxa"/>
            <w:vAlign w:val="bottom"/>
            <w:tcBorders>
              <w:bottom w:val="single" w:sz="8" w:color="CCEEFF"/>
            </w:tcBorders>
          </w:tcPr>
          <w:p>
            <w:pPr>
              <w:spacing w:after="0"/>
              <w:rPr>
                <w:sz w:val="14"/>
                <w:szCs w:val="14"/>
                <w:color w:val="auto"/>
              </w:rPr>
            </w:pPr>
          </w:p>
        </w:tc>
      </w:tr>
      <w:tr>
        <w:trPr>
          <w:trHeight w:val="196"/>
        </w:trPr>
        <w:tc>
          <w:tcPr>
            <w:tcW w:w="6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Segment assets *</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Workforce Solutions</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88,349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96,323</w:t>
            </w:r>
          </w:p>
        </w:tc>
        <w:tc>
          <w:tcPr>
            <w:tcW w:w="60" w:type="dxa"/>
            <w:vAlign w:val="bottom"/>
          </w:tcPr>
          <w:p>
            <w:pPr>
              <w:spacing w:after="0"/>
              <w:rPr>
                <w:sz w:val="18"/>
                <w:szCs w:val="18"/>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Patient Experience Solutions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35,988</w:t>
            </w: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Provider Solutions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151,403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155,011</w:t>
            </w:r>
          </w:p>
        </w:tc>
        <w:tc>
          <w:tcPr>
            <w:tcW w:w="60" w:type="dxa"/>
            <w:vAlign w:val="bottom"/>
          </w:tcPr>
          <w:p>
            <w:pPr>
              <w:spacing w:after="0"/>
              <w:rPr>
                <w:sz w:val="18"/>
                <w:szCs w:val="18"/>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Unallocated</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130,850</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108,678</w:t>
            </w:r>
          </w:p>
        </w:tc>
        <w:tc>
          <w:tcPr>
            <w:tcW w:w="60" w:type="dxa"/>
            <w:vAlign w:val="bottom"/>
            <w:shd w:val="clear" w:color="auto" w:fill="CCEEFF"/>
          </w:tcPr>
          <w:p>
            <w:pPr>
              <w:spacing w:after="0"/>
              <w:rPr>
                <w:sz w:val="18"/>
                <w:szCs w:val="18"/>
                <w:color w:val="auto"/>
              </w:rPr>
            </w:pPr>
          </w:p>
        </w:tc>
      </w:tr>
      <w:tr>
        <w:trPr>
          <w:trHeight w:val="223"/>
        </w:trPr>
        <w:tc>
          <w:tcPr>
            <w:tcW w:w="64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403,840</w:t>
            </w:r>
          </w:p>
        </w:tc>
        <w:tc>
          <w:tcPr>
            <w:tcW w:w="5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396,000</w:t>
            </w:r>
          </w:p>
        </w:tc>
        <w:tc>
          <w:tcPr>
            <w:tcW w:w="6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220" w:hanging="212"/>
        <w:spacing w:after="0" w:line="286" w:lineRule="auto"/>
        <w:tabs>
          <w:tab w:leader="none" w:pos="220" w:val="left"/>
        </w:tabs>
        <w:numPr>
          <w:ilvl w:val="0"/>
          <w:numId w:val="1"/>
        </w:numPr>
        <w:rPr>
          <w:rFonts w:ascii="Arial" w:cs="Arial" w:eastAsia="Arial" w:hAnsi="Arial"/>
          <w:sz w:val="17"/>
          <w:szCs w:val="17"/>
          <w:color w:val="auto"/>
        </w:rPr>
      </w:pPr>
      <w:r>
        <w:rPr>
          <w:rFonts w:ascii="Arial" w:cs="Arial" w:eastAsia="Arial" w:hAnsi="Arial"/>
          <w:sz w:val="17"/>
          <w:szCs w:val="17"/>
          <w:color w:val="auto"/>
        </w:rPr>
        <w:t>Segment assets include accounts and unbilled receivables, prepaid and other current assets, other assets, capitalized software development,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maintains a Loan Agreement (the “Revolving Credit Facility”) with SunTrust Bank (“SunTrust”) in the aggregate principal amount of</w:t>
      </w:r>
    </w:p>
    <w:p>
      <w:pPr>
        <w:spacing w:after="0" w:line="3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$50.0 million, which matures on November 24, 2017. Under the Revolving Credit Facility, the Company may borrow up to $50.0 million, which includes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The obligations under the Revolving Credit Facility are guaranteed by each of the Company’s subsidiaries. At the Company’s election, the borrowings under the Revolving Credit Facility bear interest at either (1) a rate per annum equal to the highest of SunTrust’s prime rate or 0.5% in excess of the Federal Funds Rate or 1.0% in excess of one-month LIBOR (the “Base Rate”), plus an applicable margin, or (2) the one, two, three, or six month per annum LIBOR for deposits in the applicable currency (the “Eurocurrency Rate”), as selected by the Company, plus an applicable margin. The applicable margin for Eurocurrency Rate loans depends on the Company’s funded debt leverage ratio and varies from 1.50% to 2.00%. The applicable margin for Base Rate loans depends on the Company’s funded debt leverage ratio and varies from 0.50% to 1.50%. Commitment fees and letter of credit fees are also payable under the Revolving Credit Facility. Principal is payable in full at maturity on November 24, 2017,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w:t>
      </w:r>
    </w:p>
    <w:p>
      <w:pPr>
        <w:spacing w:after="0" w:line="1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purpose of the Revolving Credit Facility is for general working capital needs, permitted acquisitions (as defined in the Loan Agreement), and for stock repurchase and/or redemption transactions that the Company may authorize.</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requires the Company to meet certain financial tests, including, without limitation:</w:t>
      </w:r>
    </w:p>
    <w:p>
      <w:pPr>
        <w:spacing w:after="0" w:line="13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funded debt leverage ratio (consolidated debt/consolidated EBITDA) of not greater than 3.0 to 1.0;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interest coverage ratio (consolidated EBITDA/consolidated interest expense) of not less than 3.0 to 1.0.</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September 30, 2017, the Company was in material compliance with all covenants. There were no balances outstanding on the Revolving Credit Facility as of or during the three or nine months ended September 30,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780"/>
        <w:spacing w:after="0" w:line="378"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Special Cautionary Notice Regarding Forward-Looking Statements</w:t>
      </w:r>
    </w:p>
    <w:p>
      <w:pPr>
        <w:ind w:right="80"/>
        <w:spacing w:after="0" w:line="291"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2016, appearing in our Annual Report on Form 10-K that was filed with the Securities and Exchange Commission (“SEC”) on February 27, 2017 (the “2016 Form 10-K”). Statements contained in this Quarterly Report on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16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evaluating any forward-looking statement, you should specifically consider the information regarding forward-looking statements and the information set forth under the caption Part I, Item 1A. Risk Factors in our 2016 Form 10-K and the information regarding forward-looking statements and other disclosures in our 2016 Form 10-K, earnings releases and other filings with the SEC from time to time,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currently expect.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HealthStream provides workforce, patient experience, and provider solutions for healthcare organizations—all designed to assess and develop the people that deliver patient care which, in turn, supports the improvement of business and clinical outcomes. Our workforce products are used by healthcare organizations to meet a broad range of their training, certification, competency assessment, performance appraisal, and development needs. Our patient experience products provide our customers information about patients’ experiences and how to improve them, workforce engagement, physician relations, and community perceptions of their services. Our provider products are used by healthcare organizations for provider credentialing, privileging, call center, and enrollment needs. HealthStream’s customers include healthcare organizations, pharmaceutical and medical device companies, and other participants in the healthcare industry.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Key financial indicators for the third quarter of 2017 include:</w:t>
      </w:r>
    </w:p>
    <w:p>
      <w:pPr>
        <w:spacing w:after="0" w:line="252"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of $63.6 million in the third quarter of 2017, up 9% from $58.4 million in the third quarter of 2016</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income of $4.0 million in the third quarter of 2017, up 210% from $1.3 million in the third quarter of 2016</w:t>
      </w:r>
    </w:p>
    <w:p>
      <w:pPr>
        <w:spacing w:after="0" w:line="130" w:lineRule="exact"/>
        <w:rPr>
          <w:rFonts w:ascii="Arial" w:cs="Arial" w:eastAsia="Arial" w:hAnsi="Arial"/>
          <w:sz w:val="18"/>
          <w:szCs w:val="18"/>
          <w:color w:val="auto"/>
        </w:rPr>
      </w:pPr>
    </w:p>
    <w:p>
      <w:pPr>
        <w:ind w:left="440" w:right="140" w:hanging="324"/>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of $2.5 million in the third quarter of 2017, up 115% from $1.2 million in the third quarter of 2016, and earnings per share (EPS) of $0.08 per share (diluted) in the third quarter of 2017, compared to $0.04 per share (diluted) in the third quarter of 2016</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15"/>
          <w:szCs w:val="15"/>
          <w:color w:val="auto"/>
        </w:rPr>
        <w:t>(1)</w:t>
      </w:r>
      <w:r>
        <w:rPr>
          <w:rFonts w:ascii="Arial" w:cs="Arial" w:eastAsia="Arial" w:hAnsi="Arial"/>
          <w:sz w:val="18"/>
          <w:szCs w:val="18"/>
          <w:color w:val="auto"/>
        </w:rPr>
        <w:t xml:space="preserve"> of $11.0 million in the third quarter of 2017, up 41% from $7.8 million in the third quarter of 2016</w:t>
      </w:r>
    </w:p>
    <w:p>
      <w:pPr>
        <w:spacing w:after="0" w:line="252" w:lineRule="exact"/>
        <w:rPr>
          <w:sz w:val="20"/>
          <w:szCs w:val="20"/>
          <w:color w:val="auto"/>
        </w:rPr>
      </w:pPr>
    </w:p>
    <w:p>
      <w:pPr>
        <w:ind w:left="460" w:right="18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is a non-GAAP financial measure. A reconciliation of Adjusted EBITDA to net income, and disclosure regarding why we believe that Adjusted EBITDA provides useful information to investors, is included later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acquired Morrisey Associates, Inc. (“MAI”), a Chicago, Illinois based company which provides credentialing and privileging software to healthcare professionals, in August 2016. The results of operations for MAI have been included in our condensed consolidated financial statements from the date of acquisition, and are also included in the HealthStream Provider Solutions segment. The purchase price for MAI was approximately $48 million, payable in cash at closing. For additional information regarding this business combination, please see Note 7 in the Notes to Condensed Consolidated Financial Statements.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Company’s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7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 intangibles, and other long-lived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 based compensation</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Consolidated Financial Statements in our 2016 Form 10-K, which contains additional information regarding our accounting policies and other disclosures required by US GAAP. There have been no changes in our critical accounting policies and estimates from those reported in our 2016 Form 10-K.</w:t>
      </w:r>
    </w:p>
    <w:p>
      <w:pPr>
        <w:spacing w:after="0" w:line="1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addition, Note 2 in the Notes to Condensed Consolidated Financial Statements summarizes new accounting guidance issued by FASB that has been recently adopted by the Company, or not yet adopted by the Company, and our evaluation of such accounting guidance and the anticipated impact of such guidance (if known) on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2017 Compared to Three Months Ended September 30, 2016</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i w:val="1"/>
          <w:iCs w:val="1"/>
          <w:color w:val="auto"/>
        </w:rPr>
        <w:t xml:space="preserve">Revenues, net. </w:t>
      </w:r>
      <w:r>
        <w:rPr>
          <w:rFonts w:ascii="Arial" w:cs="Arial" w:eastAsia="Arial" w:hAnsi="Arial"/>
          <w:sz w:val="17"/>
          <w:szCs w:val="17"/>
          <w:color w:val="auto"/>
        </w:rPr>
        <w:t>Revenues increased approximately $5.2 million, or 9%, to $63.6 million for the three months ended September 30, 2017 from $58.4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three months ended September 30, 2016. A comparison of revenues by business segment is as follows (in thousands):</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34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19"/>
        </w:trPr>
        <w:tc>
          <w:tcPr>
            <w:tcW w:w="6160" w:type="dxa"/>
            <w:vAlign w:val="bottom"/>
          </w:tcPr>
          <w:p>
            <w:pPr>
              <w:spacing w:after="0"/>
              <w:rPr>
                <w:sz w:val="10"/>
                <w:szCs w:val="10"/>
                <w:color w:val="auto"/>
              </w:rPr>
            </w:pPr>
          </w:p>
        </w:tc>
        <w:tc>
          <w:tcPr>
            <w:tcW w:w="60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4"/>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by Business Segment:</w:t>
            </w:r>
          </w:p>
        </w:tc>
        <w:tc>
          <w:tcPr>
            <w:tcW w:w="6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Workforce Solutions</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$44,603</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$43,015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Patient Experience Solutions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8,931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color w:val="auto"/>
              </w:rPr>
              <w:t>Provider Solutions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10,140</w:t>
            </w:r>
          </w:p>
        </w:tc>
        <w:tc>
          <w:tcPr>
            <w:tcW w:w="6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6,421</w:t>
            </w:r>
          </w:p>
        </w:tc>
        <w:tc>
          <w:tcPr>
            <w:tcW w:w="6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 net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63,553</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58,367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r>
              <w:rPr>
                <w:rFonts w:ascii="Arial" w:cs="Arial" w:eastAsia="Arial" w:hAnsi="Arial"/>
                <w:sz w:val="18"/>
                <w:szCs w:val="18"/>
                <w:b w:val="1"/>
                <w:bCs w:val="1"/>
                <w:color w:val="auto"/>
              </w:rPr>
              <w:t>% of Revenues</w:t>
            </w:r>
          </w:p>
        </w:tc>
        <w:tc>
          <w:tcPr>
            <w:tcW w:w="286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Workforce Solutions</w:t>
            </w:r>
          </w:p>
        </w:tc>
        <w:tc>
          <w:tcPr>
            <w:tcW w:w="28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70%</w:t>
            </w:r>
          </w:p>
        </w:tc>
        <w:tc>
          <w:tcPr>
            <w:tcW w:w="220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rPr>
              <w:t>74%</w:t>
            </w: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Patient Experience Solutions</w:t>
            </w:r>
          </w:p>
        </w:tc>
        <w:tc>
          <w:tcPr>
            <w:tcW w:w="2860" w:type="dxa"/>
            <w:vAlign w:val="bottom"/>
          </w:tcPr>
          <w:p>
            <w:pPr>
              <w:jc w:val="right"/>
              <w:ind w:right="390"/>
              <w:spacing w:after="0"/>
              <w:rPr>
                <w:sz w:val="20"/>
                <w:szCs w:val="20"/>
                <w:color w:val="auto"/>
              </w:rPr>
            </w:pPr>
            <w:r>
              <w:rPr>
                <w:rFonts w:ascii="Arial" w:cs="Arial" w:eastAsia="Arial" w:hAnsi="Arial"/>
                <w:sz w:val="18"/>
                <w:szCs w:val="18"/>
                <w:color w:val="auto"/>
              </w:rPr>
              <w:t>14%</w:t>
            </w:r>
          </w:p>
        </w:tc>
        <w:tc>
          <w:tcPr>
            <w:tcW w:w="2200" w:type="dxa"/>
            <w:vAlign w:val="bottom"/>
          </w:tcPr>
          <w:p>
            <w:pPr>
              <w:jc w:val="right"/>
              <w:ind w:right="1330"/>
              <w:spacing w:after="0"/>
              <w:rPr>
                <w:sz w:val="20"/>
                <w:szCs w:val="20"/>
                <w:color w:val="auto"/>
              </w:rPr>
            </w:pPr>
            <w:r>
              <w:rPr>
                <w:rFonts w:ascii="Arial" w:cs="Arial" w:eastAsia="Arial" w:hAnsi="Arial"/>
                <w:sz w:val="18"/>
                <w:szCs w:val="18"/>
                <w:color w:val="auto"/>
              </w:rPr>
              <w:t>15%</w:t>
            </w: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Provider Solutions</w:t>
            </w:r>
          </w:p>
        </w:tc>
        <w:tc>
          <w:tcPr>
            <w:tcW w:w="28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16%</w:t>
            </w:r>
          </w:p>
        </w:tc>
        <w:tc>
          <w:tcPr>
            <w:tcW w:w="220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rPr>
              <w:t>11%</w:t>
            </w:r>
          </w:p>
        </w:tc>
      </w:tr>
    </w:tbl>
    <w:p>
      <w:pPr>
        <w:spacing w:after="0" w:line="20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Revenues for HealthStream Workforce Solutions, which are primarily subscription-based, increased approximately $1.6 million, or 4%, to $44.6 million for the three months ended September 30, 2017 from $43.0 million for the three months ended September 30, 2016. Revenues in 2017 were positively influenced by growth in courseware subscriptions and our enterprise applications, but were partially offset by an expected decline of $1.2 million in revenues from ICD-10 readiness training products, which approximated $121,000 for the third quarter of 2017, compared to $1.3 million for the third quarter of 2016. Our Workforce Solutions annualized revenue per implemented subscriber metric increased by 1.5%, to $38.37 per subscriber for the third quarter of 2017 compared to $37.80 per subscriber for the third quarter of 2016. Our implemented subscriber base increased by 2.5% over the prior year third quarter to</w:t>
      </w:r>
    </w:p>
    <w:p>
      <w:pPr>
        <w:spacing w:after="0" w:line="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4.50 million implemented subscribers at September 30, 2017 compared to 4.39 million implemented subscribers at September 30, 2016. Additionally, we had a 4.0% increase in total subscribers over the prior year third quarter, with 4.65 million total subscribers at September 30, 2017 compared to 4.47 million total subscribers at September 30, 2016.</w:t>
      </w:r>
    </w:p>
    <w:p>
      <w:pPr>
        <w:sectPr>
          <w:pgSz w:w="11900" w:h="16838" w:orient="portrait"/>
          <w:cols w:equalWidth="0" w:num="1">
            <w:col w:w="11380"/>
          </w:cols>
          <w:pgMar w:left="240" w:top="459" w:right="279" w:bottom="1440" w:gutter="0" w:footer="0" w:header="0"/>
        </w:sectPr>
      </w:pP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80"/>
          </w:cols>
          <w:pgMar w:left="240" w:top="459" w:right="27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Revenues for HealthStream Patient Experience Solutions decreased approximately $121,000, or 1%, to $8.8 million for the three months ended September 30, 2017 from $8.9 million for the three months ended September 30, 2016. Revenues from Patient Insights™ surveys, our survey research product that generates recurring revenues, increased by $105,000, or 2%, compared to the prior year period. Revenues from other products, including surveys conducted on annual or bi-annual cycles and consulting/coaching services, collectively decreased by $226,000, or 9%, compared to the prior year third quarter due to fewer engagements compared to the prior year period.</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Revenues for HealthStream Provider Solutions increased approximately $3.7 million, or 58%, to $10.1 million for the three months ended September 30, 2017 from $6.4 million for the three months ended September 30, 2016. Approximately $2.0 million of the increase resulted from the MAI acquisition which was consummated on August 8, 2016. MAI revenues in the third quarter were approximately $2.9 million, net of deferred revenue write-downs, compared to $841,000, net of deferred revenue write-downs, during the portion of the third quarter of 2016 which occurred following the completion of the MAI acquisition. Revenues from other provider solutions products increased $1.7 million, or 30%, over the third quarter of 2016.</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increased approximately $1.8 million, or 7%, to $26.7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2017 from $24.9 million for the three months ended September 30, 2016. Cost of revenues as a percentage of revenues was 42% and 43% for the three months ended September 30, 2017 and 2016, respectively.</w:t>
      </w:r>
    </w:p>
    <w:p>
      <w:pPr>
        <w:spacing w:after="0" w:line="18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Cost of revenues for HealthStream Workforce Solutions increased approximately $2.0 million to $19.4 million and approximated 43% and 40% of revenues for HealthStream Workforce Solutions for the three months ended September 30, 2017 and 2016, respectively. The increase in amount and as a percentage of revenues is primarily associated with increased royalties paid by us resulting from growth in courseware subscription revenues and additions to personnel over the prior year period. Cost of revenues for HealthStream Patient Experience Solutions decreased approximately $1.1 million to $4.2 million and approximated 48% and 60% of revenues for HealthStream Patient Experience Solutions for the three months ended September 30, 2017 and 2016, respectively. The decrease in both amount and as a percentage of revenue is primarily the result of reductions in personnel costs and lower costs associated with declines in phone based survey volume compared to the prior year period. Cost of revenues for HealthStream Provider Solutions increased approximately $1.0 million to $3.1 million and approximated 31% and 33% of HealthStream Provider Solutions revenues for the three months ended September 30, 2017 and 2016, respectively. The increase in both amount and as a percentage of revenue is primarily associated with the MAI acquisition and additions to personnel over the prior year period.</w:t>
      </w:r>
    </w:p>
    <w:p>
      <w:pPr>
        <w:spacing w:after="0" w:line="17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decreased approximately $272,000, or 4%, to $7.0 million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2017 from $7.3 million for the three months ended September 30, 2016. Product development expenses as a percentage of revenues were 11% and 12% for the three months ended September 30, 2017 and 2016, respectively.</w:t>
      </w:r>
    </w:p>
    <w:p>
      <w:pPr>
        <w:spacing w:after="0" w:line="18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Product development expenses for HealthStream Workforce Solutions decreased approximately $343,000 to $4.9 million and approximated 11% and 12% of revenues for HealthStream Workforce Solutions for the three months ended September 30, 2017 and 2016, respectively. The decrease in both amount and as a percentage of revenues is primarily due to lower outsourced labor expenses. Product development expenses for HealthStream Patient Experience Solutions decreased approximately $103,000 to $1.0 million and approximated 11% and 12% of revenues for HealthStream Patient Experience Solutions for the three months ended September 30, 2017 and 2016, respectively. The decrease in both amount and as a percentage of revenue is primarily due to higher labor capitalization for internal software development. Product development expenses for HealthStream Provider Solutions increased approximately $175,000 to $1.1 million and approximated 11% and 15% of revenues for HealthStream Provider Solutions for the three months ended September 30, 2017 and 2016, respectively. The increase in amount is primarily associated with the MAI acquisition and additions to personnel over the prior year period.</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decreased approximately $168,000, or 2%, to $10.1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2017 from $10.3 million for the three months ended September 30, 2016. Sales and marketing expenses were 16% and 18% of revenues for the three months ended September 30, 2017 and 2016, respectively.</w:t>
      </w:r>
    </w:p>
    <w:p>
      <w:pPr>
        <w:spacing w:after="0" w:line="18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Sales and marketing expenses for HealthStream Workforce Solutions decreased approximately $231,000 to $7.1 million and approximated 16% and 17% of revenues for HealthStream Workforce Solutions for the three months ended September 30, 2017 and 2016, respectively. The decrease in amount and as a percentage of revenues is primarily due to lower sales commissions and reduced marketing spending. Sales and marketing expenses for HealthStream Patient Experience Solutions decreased approximately $84,000 to $1.0 million and approximated 11% and 12% of revenues for HealthStream Patient Experience Solutions for the three months ended September 30, 2017 and 2016, respectively. The decrease in both amount and as a percentage of revenues is primarily due to reductions in personnel costs, sales commissions, and marketing spending. Sales and marketing expenses for HealthStream Provider Solutions increased approximately $54,000 to $1.7 million and approximated 16% and 25% of revenues for HealthStream Provider Solutions for the three months ended September 30, 2017 and 2016, respectively. The decrease as a percentage of revenues is due growth in revenue.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i w:val="1"/>
          <w:iCs w:val="1"/>
          <w:color w:val="auto"/>
        </w:rPr>
        <w:t xml:space="preserve">Other General and Administrative Expenses. </w:t>
      </w:r>
      <w:r>
        <w:rPr>
          <w:rFonts w:ascii="Arial" w:cs="Arial" w:eastAsia="Arial" w:hAnsi="Arial"/>
          <w:sz w:val="16"/>
          <w:szCs w:val="16"/>
          <w:color w:val="auto"/>
        </w:rPr>
        <w:t>Other general and administrative expenses increased approximately $272,000, or 3%, to $9.2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September 30, 2017 from $8.9 million for the three months ended September 30, 2016. Other general and administrative expenses as a percentage of revenues were 14% and 15% of revenues for the three months ended September 30, 2017 and 2016, respectively.</w:t>
      </w:r>
    </w:p>
    <w:p>
      <w:pPr>
        <w:spacing w:after="0" w:line="14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Other general and administrative expenses for HealthStream Workforce Solutions increased approximately $656,000 to $2.2 million and approximated 5% of HealthStream Workforce Solutions revenues for both the three months ended September 30, 2017 and 2016. The increase in amount is primarily due to higher facility costs and increases in other general expenses. Other general and administrative expenses for HealthStream Patient Experience Solutions decreased approximately $7,000 to $700,000 and approximated 8% of HealthStream Patient Experience Solutions revenues for both the three months ended September 30, 2017 and 2016. Other general and administrative expenses for HealthStream Provider Solutions increased approximately $251,000 to</w:t>
      </w:r>
    </w:p>
    <w:p>
      <w:pPr>
        <w:spacing w:after="0" w:line="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$1.2 million and approximated 12% and 15% of HealthStream Provider Solutions revenues for the three months ended September 30, 2017 and 2016, respectively. The increase in amount is primarily associated with the MAI acquisition and higher bad debt expense, while the decrease as a percentage of revenues is due to growth in revenue. The unallocated corporate portion of other general and administrative expenses decreased approximately $626,000 to $5.0 million compared to the prior year third quarter primarily due to lower professional service expenses as a result of the MAI transaction during the prior year period and reductions of other general expenses, partially offset by implementation costs related to ASC 606.</w:t>
      </w:r>
    </w:p>
    <w:p>
      <w:pPr>
        <w:spacing w:after="0" w:line="17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$815,000, or 14%, to $6.6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from $5.8 million for the three months ended September 31, 2016. The increase primarily resulted from amortization of capitalized software development and intangible assets from the MAI acquisition.</w:t>
      </w:r>
    </w:p>
    <w:p>
      <w:pPr>
        <w:spacing w:after="0" w:line="18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was approximately $173,000 for the three months ended September 30, 2017 compared to $337,000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2016. This decrease was primarily due to a gain recorded in the three months ended September 30, 2016 related to the acquisition of all remaining outstanding stock of Nurse Competency.</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The Company recorded a provision for income taxes of approximately $1.7 million for the three months ended September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$461,000 for the three months ended September 30, 2016. The Company’s effective tax rate was 40% for the three months ended September 30, 2017 compared to 28% for the three months ended September 30, 2016. The increase in the effective tax rate was primarily influenced by certain tax benefits realized upon filing tax returns during the three months ended September 30, 2016.</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approximately $1.3 million, or 115%, to $2.5 million for the three months ended September 30, 2017 from $1.2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2016. Earnings per diluted share were $0.08 and $0.04 per share for the three months ended September 30, 2017 and 2016, respectively.</w:t>
      </w:r>
    </w:p>
    <w:p>
      <w:pPr>
        <w:spacing w:after="0" w:line="181"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Adjusted EBITDA (which we define as net income before interest, income taxes, stock based compensation, and depreciation and amortization) increased approximately $3.2 million, or 41%, to $11.0 million for the three months ended September 30, 2017 compared to $7.8 million for the three months ended September 30, 2016. See Reconciliation of Non-GAAP Financial Measures below for our reconciliation of this calculation to measures under US GAAP.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2017 Compared to Nine Months Ended September 30, 2016</w:t>
      </w:r>
    </w:p>
    <w:p>
      <w:pPr>
        <w:spacing w:after="0" w:line="121" w:lineRule="exact"/>
        <w:rPr>
          <w:sz w:val="20"/>
          <w:szCs w:val="20"/>
          <w:color w:val="auto"/>
        </w:rPr>
      </w:pPr>
    </w:p>
    <w:p>
      <w:pPr>
        <w:ind w:right="1040"/>
        <w:spacing w:after="0" w:line="342" w:lineRule="auto"/>
        <w:rPr>
          <w:sz w:val="20"/>
          <w:szCs w:val="20"/>
          <w:color w:val="auto"/>
        </w:rPr>
      </w:pPr>
      <w:r>
        <w:rPr>
          <w:rFonts w:ascii="Arial" w:cs="Arial" w:eastAsia="Arial" w:hAnsi="Arial"/>
          <w:sz w:val="16"/>
          <w:szCs w:val="16"/>
          <w:i w:val="1"/>
          <w:iCs w:val="1"/>
          <w:color w:val="auto"/>
        </w:rPr>
        <w:t xml:space="preserve">Revenues, net. </w:t>
      </w:r>
      <w:r>
        <w:rPr>
          <w:rFonts w:ascii="Arial" w:cs="Arial" w:eastAsia="Arial" w:hAnsi="Arial"/>
          <w:sz w:val="16"/>
          <w:szCs w:val="16"/>
          <w:color w:val="auto"/>
        </w:rPr>
        <w:t>Revenues increased approximately $17.7 million, or 11%, to $184.9 million for the nine months ended September 30, 2017 from</w:t>
      </w:r>
      <w:r>
        <w:rPr>
          <w:rFonts w:ascii="Arial" w:cs="Arial" w:eastAsia="Arial" w:hAnsi="Arial"/>
          <w:sz w:val="16"/>
          <w:szCs w:val="16"/>
          <w:i w:val="1"/>
          <w:iCs w:val="1"/>
          <w:color w:val="auto"/>
        </w:rPr>
        <w:t xml:space="preserve"> </w:t>
      </w:r>
      <w:r>
        <w:rPr>
          <w:rFonts w:ascii="Arial" w:cs="Arial" w:eastAsia="Arial" w:hAnsi="Arial"/>
          <w:sz w:val="16"/>
          <w:szCs w:val="16"/>
          <w:color w:val="auto"/>
        </w:rPr>
        <w:t>$167.2 million for the nine months ended September 30, 2016. A comparison of revenues by business segment is as follows (in thousands):</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4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Nine Months Ended September 30,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460" w:type="dxa"/>
            <w:vAlign w:val="bottom"/>
            <w:gridSpan w:val="2"/>
            <w:vMerge w:val="restart"/>
          </w:tcPr>
          <w:p>
            <w:pPr>
              <w:jc w:val="right"/>
              <w:ind w:right="116"/>
              <w:spacing w:after="0"/>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12"/>
                <w:szCs w:val="12"/>
                <w:color w:val="auto"/>
              </w:rPr>
            </w:pPr>
          </w:p>
        </w:tc>
        <w:tc>
          <w:tcPr>
            <w:tcW w:w="6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68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by Business Segment:</w:t>
            </w:r>
          </w:p>
        </w:tc>
        <w:tc>
          <w:tcPr>
            <w:tcW w:w="17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Workforce Solutions</w:t>
            </w:r>
          </w:p>
        </w:tc>
        <w:tc>
          <w:tcPr>
            <w:tcW w:w="3120" w:type="dxa"/>
            <w:vAlign w:val="bottom"/>
            <w:gridSpan w:val="3"/>
          </w:tcPr>
          <w:p>
            <w:pPr>
              <w:jc w:val="right"/>
              <w:ind w:right="660"/>
              <w:spacing w:after="0"/>
              <w:rPr>
                <w:sz w:val="20"/>
                <w:szCs w:val="20"/>
                <w:color w:val="auto"/>
              </w:rPr>
            </w:pPr>
            <w:r>
              <w:rPr>
                <w:rFonts w:ascii="Arial" w:cs="Arial" w:eastAsia="Arial" w:hAnsi="Arial"/>
                <w:sz w:val="18"/>
                <w:szCs w:val="18"/>
                <w:color w:val="auto"/>
              </w:rPr>
              <w:t>$132,561</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w w:val="87"/>
              </w:rPr>
              <w:t>$124,489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Patient Experience Solutions</w:t>
            </w:r>
          </w:p>
        </w:tc>
        <w:tc>
          <w:tcPr>
            <w:tcW w:w="3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25,274</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25,862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Provider Solutions</w:t>
            </w:r>
          </w:p>
        </w:tc>
        <w:tc>
          <w:tcPr>
            <w:tcW w:w="1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27,069</w:t>
            </w:r>
          </w:p>
        </w:tc>
        <w:tc>
          <w:tcPr>
            <w:tcW w:w="66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16,886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 net</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184,904</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167,237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b w:val="1"/>
                <w:bCs w:val="1"/>
                <w:color w:val="auto"/>
              </w:rPr>
              <w:t>% of Revenues</w:t>
            </w:r>
          </w:p>
        </w:tc>
        <w:tc>
          <w:tcPr>
            <w:tcW w:w="376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Workforce Solutions</w:t>
            </w:r>
          </w:p>
        </w:tc>
        <w:tc>
          <w:tcPr>
            <w:tcW w:w="3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72%</w:t>
            </w:r>
          </w:p>
        </w:tc>
        <w:tc>
          <w:tcPr>
            <w:tcW w:w="224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74%</w:t>
            </w:r>
          </w:p>
        </w:tc>
      </w:tr>
      <w:tr>
        <w:trPr>
          <w:trHeight w:val="216"/>
        </w:trPr>
        <w:tc>
          <w:tcPr>
            <w:tcW w:w="3580" w:type="dxa"/>
            <w:vAlign w:val="bottom"/>
          </w:tcPr>
          <w:p>
            <w:pPr>
              <w:ind w:left="360"/>
              <w:spacing w:after="0"/>
              <w:rPr>
                <w:sz w:val="20"/>
                <w:szCs w:val="20"/>
                <w:color w:val="auto"/>
              </w:rPr>
            </w:pPr>
            <w:r>
              <w:rPr>
                <w:rFonts w:ascii="Arial" w:cs="Arial" w:eastAsia="Arial" w:hAnsi="Arial"/>
                <w:sz w:val="18"/>
                <w:szCs w:val="18"/>
                <w:color w:val="auto"/>
              </w:rPr>
              <w:t>Patient Experience Solutions</w:t>
            </w:r>
          </w:p>
        </w:tc>
        <w:tc>
          <w:tcPr>
            <w:tcW w:w="3760" w:type="dxa"/>
            <w:vAlign w:val="bottom"/>
          </w:tcPr>
          <w:p>
            <w:pPr>
              <w:jc w:val="right"/>
              <w:ind w:right="430"/>
              <w:spacing w:after="0"/>
              <w:rPr>
                <w:sz w:val="20"/>
                <w:szCs w:val="20"/>
                <w:color w:val="auto"/>
              </w:rPr>
            </w:pPr>
            <w:r>
              <w:rPr>
                <w:rFonts w:ascii="Arial" w:cs="Arial" w:eastAsia="Arial" w:hAnsi="Arial"/>
                <w:sz w:val="18"/>
                <w:szCs w:val="18"/>
                <w:color w:val="auto"/>
              </w:rPr>
              <w:t>14%</w:t>
            </w:r>
          </w:p>
        </w:tc>
        <w:tc>
          <w:tcPr>
            <w:tcW w:w="2240" w:type="dxa"/>
            <w:vAlign w:val="bottom"/>
          </w:tcPr>
          <w:p>
            <w:pPr>
              <w:jc w:val="right"/>
              <w:ind w:right="1310"/>
              <w:spacing w:after="0"/>
              <w:rPr>
                <w:sz w:val="20"/>
                <w:szCs w:val="20"/>
                <w:color w:val="auto"/>
              </w:rPr>
            </w:pPr>
            <w:r>
              <w:rPr>
                <w:rFonts w:ascii="Arial" w:cs="Arial" w:eastAsia="Arial" w:hAnsi="Arial"/>
                <w:sz w:val="18"/>
                <w:szCs w:val="18"/>
                <w:color w:val="auto"/>
              </w:rPr>
              <w:t>16%</w:t>
            </w: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Provider Solutions</w:t>
            </w:r>
          </w:p>
        </w:tc>
        <w:tc>
          <w:tcPr>
            <w:tcW w:w="37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14%</w:t>
            </w:r>
          </w:p>
        </w:tc>
        <w:tc>
          <w:tcPr>
            <w:tcW w:w="224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rPr>
              <w:t>10%</w:t>
            </w:r>
          </w:p>
        </w:tc>
      </w:tr>
      <w:tr>
        <w:trPr>
          <w:trHeight w:val="365"/>
        </w:trPr>
        <w:tc>
          <w:tcPr>
            <w:tcW w:w="3580" w:type="dxa"/>
            <w:vAlign w:val="bottom"/>
          </w:tcPr>
          <w:p>
            <w:pPr>
              <w:spacing w:after="0"/>
              <w:rPr>
                <w:sz w:val="24"/>
                <w:szCs w:val="24"/>
                <w:color w:val="auto"/>
              </w:rPr>
            </w:pPr>
          </w:p>
        </w:tc>
        <w:tc>
          <w:tcPr>
            <w:tcW w:w="3760" w:type="dxa"/>
            <w:vAlign w:val="bottom"/>
          </w:tcPr>
          <w:p>
            <w:pPr>
              <w:jc w:val="right"/>
              <w:ind w:right="2370"/>
              <w:spacing w:after="0"/>
              <w:rPr>
                <w:sz w:val="20"/>
                <w:szCs w:val="20"/>
                <w:color w:val="auto"/>
              </w:rPr>
            </w:pPr>
            <w:r>
              <w:rPr>
                <w:rFonts w:ascii="Arial" w:cs="Arial" w:eastAsia="Arial" w:hAnsi="Arial"/>
                <w:sz w:val="18"/>
                <w:szCs w:val="18"/>
                <w:color w:val="auto"/>
              </w:rPr>
              <w:t>15</w:t>
            </w:r>
          </w:p>
        </w:tc>
        <w:tc>
          <w:tcPr>
            <w:tcW w:w="22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Revenues for HealthStream Workforce Solutions, which are primarily subscription-based, increased approximately $8.1 million, or 6%, to $132.6 million for the nine months ended September 30, 2017 from $124.5 million for the nine months ended September 30, 2016. Revenues in 2017 were positively influenced by growth in courseware subscriptions and our enterprise applications, but were partially offset by an expected decline in ICD-10 readiness revenues.</w:t>
      </w:r>
    </w:p>
    <w:p>
      <w:pPr>
        <w:ind w:right="300"/>
        <w:spacing w:after="0" w:line="261" w:lineRule="auto"/>
        <w:rPr>
          <w:sz w:val="20"/>
          <w:szCs w:val="20"/>
          <w:color w:val="auto"/>
        </w:rPr>
      </w:pPr>
      <w:r>
        <w:rPr>
          <w:rFonts w:ascii="Arial" w:cs="Arial" w:eastAsia="Arial" w:hAnsi="Arial"/>
          <w:sz w:val="18"/>
          <w:szCs w:val="18"/>
          <w:color w:val="auto"/>
        </w:rPr>
        <w:t>Revenues from ICD-10 readiness products declined by $6.5 million to $905,000 in the first nine months of 2017 compared to $7.4 million in the first nine months of 2016.</w:t>
      </w:r>
    </w:p>
    <w:p>
      <w:pPr>
        <w:spacing w:after="0" w:line="18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Revenues for HealthStream Patient Experience Solutions decreased approximately $589,000, or 2%, to $25.3 million for the nine months ended September 30, 2017 from $25.9 million for the nine months ended September 30, 2016. Revenues from Patient Insights™ surveys, our survey research product that generates recurring revenues, decreased approximately $22,000 compared to the first nine months of 2016. Revenues from other products, including surveys conducted on annual or bi-annual cycles and consulting/coaching services, collectively decreased $567,000, or 10%, compared to the first nine months of 2016 due to fewer engagements compared to the prior year period.</w:t>
      </w:r>
    </w:p>
    <w:p>
      <w:pPr>
        <w:spacing w:after="0" w:line="188"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Revenues for HealthStream Provider Solutions increased approximately $10.2 million, or 60%, to $27.1 million for the nine months ended September 30, 2017 from $16.9 million for the nine months ended September 30, 2016. Approximately $7.0 million of the increase resulted from the MAI acquisition, which was consummated on August 8, 2016. Revenues from other provider solutions products increased $3.2 million over the first nine months of 2016.</w:t>
      </w:r>
    </w:p>
    <w:p>
      <w:pPr>
        <w:spacing w:after="0" w:line="14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increased approximately $9.0 million, or 13%, to $79.4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2017 from $70.4 million for the nine months ended September 30, 2016. Cost of revenues as a percentage of revenues was approximately 43% and 42% for the nine months ended September 30, 2017 and 2016, respectively.</w:t>
      </w:r>
    </w:p>
    <w:p>
      <w:pPr>
        <w:spacing w:after="0" w:line="181"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Cost of revenues for HealthStream Workforce Solutions increased approximately $7.0 million to $56.2 million and approximated 42% and 40% of revenues for HealthStream Workforce Solutions for the nine months ended September 30, 2017 and 2016, respectively. The increase in amount and as a percentage of revenue is primarily associated with increased royalties paid by us resulting from growth in courseware subscription revenues and additions to personnel.</w:t>
      </w:r>
    </w:p>
    <w:p>
      <w:pPr>
        <w:ind w:right="100"/>
        <w:spacing w:after="0" w:line="290" w:lineRule="auto"/>
        <w:rPr>
          <w:sz w:val="20"/>
          <w:szCs w:val="20"/>
          <w:color w:val="auto"/>
        </w:rPr>
      </w:pPr>
      <w:r>
        <w:rPr>
          <w:rFonts w:ascii="Arial" w:cs="Arial" w:eastAsia="Arial" w:hAnsi="Arial"/>
          <w:sz w:val="16"/>
          <w:szCs w:val="16"/>
          <w:color w:val="auto"/>
        </w:rPr>
        <w:t>Cost of revenues for HealthStream Patient Experience Solutions decreased approximately $2.1 million to $14.5 million and approximated 57% and 64% of revenues for HealthStream Patient Experience Solutions for the nine months ended September 30, 2017 and 2016, respectively. The decrease in both amount and as a percentage of revenue is primarily due to reductions in personnel costs and lower costs associated with declines in phone based survey volume compared to the prior year period. Cost of revenues for HealthStream Provider Solutions increased approximately $4.1 million to $8.7 million and approximated 32% and 27% of revenues for HealthStream Provider Solutions for the nine months ended September 30, 2017 and 2016, respectively. The increase in amount and as a percentage of revenue is primarily the result of the MAI acquisition and additions to personnel.</w:t>
      </w:r>
    </w:p>
    <w:p>
      <w:pPr>
        <w:spacing w:after="0" w:line="16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decreased approximately $894,000, or 4%, to $20.6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2017 from $21.5 million for the nine months ended September 30, 2016. Product development expenses as a percentage of revenues were approximately 11% and 13% of revenues for the nine months ended September 30, 2017 and 2016, respectively.</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Product development expenses for HealthStream Workforce Solutions decreased approximately $741,000 to $14.6 million and approximated 11% and 12% of revenues for HealthStream Workforce Solutions for the nine months ended September 30, 2017 and 2016, respectively. The decrease in amount and as a percentage of revenues is primarily due to lower outsourced labor expenses. Product development expenses for HealthStream Patient Experience Solutions decreased approximately $877,000 to $2.7 million and approximated 11% and 14% of revenues for HealthStream Patient Experience Solutions for the nine months ended September 30, 2017 and 2016, respectively. The decrease in both amount and as a percentage of revenue is primarily due to higher labor capitalization for internal software development. Product development expenses for HealthStream Provider Solutions increased approximately $724,000 to $3.3 million and approximated 12% and 15% of revenues for HealthStream Provider Solutions for the nine months ended September 30, 2017 and 2016, respectively. The increase in amount is primarily associated with the MAI acquisition and additions to personnel over the prior year period.</w:t>
      </w:r>
    </w:p>
    <w:p>
      <w:pPr>
        <w:spacing w:after="0" w:line="16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$3.3 million, or 12%, to $31.1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2017 from $27.8 million for the nine months ended September 30, 2016. Sales and marketing expenses were approximately 17% of revenues for both the nine months ended September 30, 2017 and 2016.</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Sales and marketing expenses for HealthStream Workforce Solutions increased approximately $2.1 million to $22.5 million and approximated 17% and 16% of revenues for HealthStream Workforce Solutions for the nine months ended September 30, 2017 and 2016, respectively. The increase in amount and as a percentage of revenues is primarily due to additions to personnel and higher sales commissions compared to the prior year period. Sales and marketing expenses for HealthStream Patient Experience Solutions increased approximately $275,000 to $3.3 million and approximated 13% and 12% of revenues for HealthStream Patient Experience Solutions for the nine months ended September 30, 2017 and 2016, respectively. The increase in both amount and as a percentage of revenues is primarily due to higher sales commissions and increased marketing spending compared to the prior year period. Sales and marketing expenses for HealthStream Provider Solutions increased approximately $702,000 to $4.3 million and approximated 16% and 21% of revenues for HealthStream Provider Solutions for the nine months ended September 30, 2017 and 2016, respectively. The increase in amount is primarily associated with the MAI acquisition and higher sales commissions.</w:t>
      </w:r>
    </w:p>
    <w:p>
      <w:pPr>
        <w:spacing w:after="0" w:line="182"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i w:val="1"/>
          <w:iCs w:val="1"/>
          <w:color w:val="auto"/>
        </w:rPr>
        <w:t xml:space="preserve">Other General and Administrative Expenses. </w:t>
      </w:r>
      <w:r>
        <w:rPr>
          <w:rFonts w:ascii="Arial" w:cs="Arial" w:eastAsia="Arial" w:hAnsi="Arial"/>
          <w:sz w:val="16"/>
          <w:szCs w:val="16"/>
          <w:color w:val="auto"/>
        </w:rPr>
        <w:t>Other general and administrative expenses increased approximately $227,000, or 1%, to $25.6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ended September 30, 2017 from $25.4 million for the nine months ended September 30, 2016. Other general and administrative expenses as a percentage of revenues were approximately 14% and 15% of revenues for the nine months ended September 30, 2017 and 2016, respectively.</w:t>
      </w:r>
    </w:p>
    <w:p>
      <w:pPr>
        <w:spacing w:after="0" w:line="14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Other general and administrative expenses for HealthStream Workforce Solutions increased approximately $1.6 million to $6.1 million and approximated 5% and 4% of revenues for HealthStream Workforce Solutions for the nine months ended September 30, 2017 and 2016, respectively. The increase in amount is primarily due to higher facility costs and increases in technology infrastructure investments and other general expenses. Other general and administrative expenses for HealthStream Patient Experience Solutions decreased approximately $30,000 to $2.1 million and approximated 8% of revenues for HealthStream Patient Experience Solutions for both the nine months ended September 30, 2017 and 2016. Other general and administrative expenses for HealthStream Provider Solutions increased approximately $1.2 million to $3.8 million and approximated 14% and 16% of revenues for HealthStream Provider Solutions for the nine months ended September 30, 2017 and 2016, respectively. The increase in amount is primarily associated with the MAI acquisition and higher bad debt expense compared to the prior year period. The unallocated corporate portion of other general and administrative expenses decreased approximately $2.5 million to $13.6 million compared to the first nine months of 2016 primarily due to lower professional service expenses as a result of the implementation of a new financial systems platform and the MAI transaction during the prior year period and reductions of other general expenses.</w:t>
      </w:r>
    </w:p>
    <w:p>
      <w:pPr>
        <w:spacing w:after="0" w:line="18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Compared to the nine months September 30, 2016, the Company experienced an increase in bad debt during the nine months ended September 30, 2017, which may be attributable in part to ongoing macro-economic conditions that create challenges for our client base and could further impact bad debt expense in future periods.</w:t>
      </w:r>
    </w:p>
    <w:p>
      <w:pPr>
        <w:spacing w:after="0" w:line="18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$3.5 million, or 22%, to $19.5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from $16.0 million for the nine months ended September 30, 2016. The increase primarily resulted from amortization of capitalized software development and intangible assets from the MAI acquisition.</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(expense), net was income of approximately $468,000 for the nine months ended September 30, 2017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income of $465,000 for the nine months ended September 30, 2016.</w:t>
      </w:r>
    </w:p>
    <w:p>
      <w:pPr>
        <w:spacing w:after="0" w:line="17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i w:val="1"/>
          <w:iCs w:val="1"/>
          <w:color w:val="auto"/>
        </w:rPr>
        <w:t xml:space="preserve">Income Tax Provision. </w:t>
      </w:r>
      <w:r>
        <w:rPr>
          <w:rFonts w:ascii="Arial" w:cs="Arial" w:eastAsia="Arial" w:hAnsi="Arial"/>
          <w:sz w:val="17"/>
          <w:szCs w:val="17"/>
          <w:color w:val="auto"/>
        </w:rPr>
        <w:t>The Company recorded a provision for income taxes of approximately $3.1 million for the nine months ended September 30, 2017</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$2.5 million for the nine months ended September 30, 2016. The Company’s effective tax rate was approximately 34% for the nine months ended September 30, 2017 compared to approximately 38% for the nine months ended September 30, 2016. The decrease in the effective tax rate was primarily influenced by excess tax benefits from stock-based awards as well as lower state taxes.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increased approximately $2.0 million, or 49%, to $6.1 million for the nine months ended September 30, 2017 compared to</w:t>
      </w:r>
    </w:p>
    <w:p>
      <w:pPr>
        <w:spacing w:after="0" w:line="3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$4.1 million for the nine months ended September 30, 2016. Earnings per diluted share were $0.19 per share and $0.13 per share for the nine months ended September 30, 2017 and 2016, respectively.</w:t>
      </w:r>
    </w:p>
    <w:p>
      <w:pPr>
        <w:spacing w:after="0" w:line="18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Adjusted EBITDA (which we define as net income before interest, income taxes, stock based compensation, and depreciation and amortization) increased approximately $5.8 million, or 24%, to $29.5 million for the nine months ended September 30, 2017 compared to $23.7 million for the nine months ended September 30, 2016. This increase resulted from the factors mentioned above. See Reconciliation of Non-GAAP Financial Measures below for our reconciliation of this calculation to measures under US GAAP.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Developments</w:t>
      </w:r>
    </w:p>
    <w:p>
      <w:pPr>
        <w:spacing w:after="0" w:line="12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As previously announced, Laerdal Medical A/S, a Norwegian company (“Laerdal”), provided notice that, upon the December 31, 2018 expiration of our existing agreements with Laerdal regarding the HeartCode and Resuscitation Quality Improvement (“RQI”) products, Laerdal does not intend to continue these existing agreements or enter into new agreements with</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HealthStream in relation to such products. Our Joint Marketing and Licensing Agreements with Laerdal for HeartCode and for RQI, respectively, remain unaltered and continue in effect through December 31, 2018. Up to that expiration date, we retain the right to offer HeartCode and RQI licenses that extend through December 31, 2020. We retain exclusivity of RQI sales to our existing customer network through the agreement expiration date of December 31, 2018 and are prohibited from selling substantially similar products to HeartCode and RQI during that time.</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Revenues associated with the sales of HeartCode and RQI products have been significant in recent years, although margins on such products have been lower than HealthStream’s average margin. We are actively engaged in efforts to broaden the scope and utilization of our simulation-related offerings to include a range of clinical competencies that extend beyond resuscitation, and integrate with our platform in ways that HeartCode and RQI never have. We intend to bring to market a broadened scope of simulation-based offerings, including— following the December 31, 2018 expiration date of our agreements with Laerdal—resuscitation programs. We believe these efforts have the potential to give rise to additional and higher margin opportunities than currently exist under the Laerdal agreements for HeartCode and RQI, and will likely feature solutions with a lower price point than our current offerings. However, there is no assurance that we will be successful in these efforts, and to the extent that new simulation-based or other solutions do not generate revenue and/or earnings following the December 31, 2018 expiration date in a manner that supplants the impact of these agreements with Laerdal, our revenue and results of operations following this expiration date may be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contains certain non-GAAP financial measures, including non-GAAP net income, non-GAAP operating income, and adjusted EBITDA, which are used by management in analyzing its financial results and ongoing operational performance. These non-GAAP financial measures should not be considered as a substitute for, or superior to, measures of financial performance which are prepared in accordance with US GAAP and may be different from non-GAAP financial measures used by other companies.</w:t>
      </w:r>
    </w:p>
    <w:p>
      <w:pPr>
        <w:spacing w:after="0" w:line="18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order to better assess the Company’s financial results, management believes that adjusted EBITDA is an appropriate measure for evaluating the operating performance of the Company and provides useful information to investors because adjusted EBITDA reflects net income adjusted for certain non-cash and non-operating items. We believe that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 susceptible to varying calculations. Accordingly, adjusted EBITDA, as presented, may not be comparable to other similarly titled measures of other companies.</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understands that although adjusted EBITDA is frequently used by investors and securities analysts in their evaluation of companies, this measure has limitations as an analytical tool and you should not consider it in isolation or as a substitute for an analysis of the Company’s results as reported under US GAAP.</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recent years, including the August 2016 acquisition of MAI, the Company has acquired businesses whose net tangible assets include deferred revenue. In accordance with GAAP reporting requirements, following the completion of any such acquisition, the Company may record a write-down of deferred revenue to fair value as defined in GAAP. If the Company is required to record a write-down of deferred revenue, it may result in lower recognized revenue, operating income, and net income in subsequent periods.</w:t>
      </w:r>
    </w:p>
    <w:p>
      <w:pPr>
        <w:spacing w:after="0" w:line="18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connection therewith, this report presents below non-GAAP operating income and non-GAAP net income, which in each case reflects the corresponding GAAP figures adjusted to exclude the impact of the deferred revenue write-down associated with fair value accounting for acquired businesses as referenced above. Management believes that the presentation of these non-GAAP financial measures assists investors in understanding the Company’s performance between periods by excluding the impact of this deferred revenue write-down and provides a useful measure of the ongoing performance of the Company. As is typical for our business offerings, revenue for the acquired business is deferred and typically recognized over a one-to-two year period following the completion of any particular acquisition, so our GAAP revenues (and, thus, our GAAP operating income and net income) for this one-to-two year period will not reflect the full amount of revenues that would have been reported if the acquired deferred revenue was not written down to fair value. A reconciliation of these non-GAAP financial measures to the corresponding GAAP measures is set forth below.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jc w:val="right"/>
              <w:ind w:right="540"/>
              <w:spacing w:after="0"/>
              <w:rPr>
                <w:sz w:val="20"/>
                <w:szCs w:val="20"/>
                <w:color w:val="auto"/>
              </w:rPr>
            </w:pPr>
            <w:r>
              <w:rPr>
                <w:rFonts w:ascii="Arial" w:cs="Arial" w:eastAsia="Arial" w:hAnsi="Arial"/>
                <w:sz w:val="14"/>
                <w:szCs w:val="14"/>
                <w:color w:val="auto"/>
                <w:w w:val="96"/>
              </w:rPr>
              <w:t>Three Months Ended</w:t>
            </w:r>
          </w:p>
        </w:tc>
        <w:tc>
          <w:tcPr>
            <w:tcW w:w="100" w:type="dxa"/>
            <w:vAlign w:val="bottom"/>
          </w:tcPr>
          <w:p>
            <w:pPr>
              <w:spacing w:after="0"/>
              <w:rPr>
                <w:sz w:val="14"/>
                <w:szCs w:val="14"/>
                <w:color w:val="auto"/>
              </w:rPr>
            </w:pPr>
          </w:p>
        </w:tc>
        <w:tc>
          <w:tcPr>
            <w:tcW w:w="1600" w:type="dxa"/>
            <w:vAlign w:val="bottom"/>
            <w:gridSpan w:val="5"/>
          </w:tcPr>
          <w:p>
            <w:pPr>
              <w:jc w:val="right"/>
              <w:ind w:right="32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jc w:val="right"/>
              <w:ind w:right="740"/>
              <w:spacing w:after="0"/>
              <w:rPr>
                <w:sz w:val="20"/>
                <w:szCs w:val="20"/>
                <w:color w:val="auto"/>
              </w:rPr>
            </w:pPr>
            <w:r>
              <w:rPr>
                <w:rFonts w:ascii="Arial" w:cs="Arial" w:eastAsia="Arial" w:hAnsi="Arial"/>
                <w:sz w:val="14"/>
                <w:szCs w:val="14"/>
                <w:color w:val="auto"/>
              </w:rPr>
              <w:t>September 30,</w:t>
            </w:r>
          </w:p>
        </w:tc>
        <w:tc>
          <w:tcPr>
            <w:tcW w:w="100" w:type="dxa"/>
            <w:vAlign w:val="bottom"/>
          </w:tcPr>
          <w:p>
            <w:pPr>
              <w:spacing w:after="0"/>
              <w:rPr>
                <w:sz w:val="14"/>
                <w:szCs w:val="14"/>
                <w:color w:val="auto"/>
              </w:rPr>
            </w:pPr>
          </w:p>
        </w:tc>
        <w:tc>
          <w:tcPr>
            <w:tcW w:w="1600" w:type="dxa"/>
            <w:vAlign w:val="bottom"/>
            <w:gridSpan w:val="5"/>
          </w:tcPr>
          <w:p>
            <w:pPr>
              <w:jc w:val="right"/>
              <w:ind w:right="48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2017</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2017</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$1,162</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6,056</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Interest income</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(221)</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Income tax provision</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1,651</w:t>
            </w: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440</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1,358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6,570</w:t>
            </w: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5,755</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19,488</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15,976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10,979</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29,500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23,703</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GAAP operating income</w:t>
            </w: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3,982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$1,286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8,671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 for deferred revenue write-down</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1,539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1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2,469</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10,210</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2,504</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Adjustment for deferred revenue write-down, net of tax</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88</w:t>
            </w: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2,592</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Net cash provided by operating activities increased by $20.7 million to $35.7 million during the nine months ended September 30, 2017 from $15.0 million during the nine months ended September 30, 2016. The number of days sales outstanding (“DSO”) was 55 days for the third quarter of 2017 compared to 70 days for the third quarter of 2016. The decrease in DSO primarily relates to lower accounts receivable balances resulting from improved collections in the Workforce Development Solutions segment as compared to the prior year period.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167"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Net cash used in investing activities was approximately $24.7 million and $57.6 million for the nine months ended September 30, 2017 and 2016, respectively. During the nine months ended September 30, 2017, the Company purchased $5.3 million of property and equipment, spent $9.2 million for capitalized software development, acquired $500,000 in equity investments, and invested $79.3 million in marketable securities. These uses of cash were partially offset by maturities of marketable securities of $69.6 million. During the nine months ended September 30, 2016, the Company utilized</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$53.1 million (net of cash acquired) for acquisitions, purchased $82.8 million of marketable securities, purchased $3.9 million of property and equipment, and spent $7.1 million for capitalized software development. These uses of cash were partially offset by maturities of marketable securities of $88.2 million and the sale of long-lived assets of $975,000.</w:t>
      </w:r>
    </w:p>
    <w:p>
      <w:pPr>
        <w:spacing w:after="0" w:line="19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Net cash (used in) provided by financing activities was approximately ($88,000) and $444,000 for the nine months ended September 30, 2017 and 2016, respectively. The sources of cash from financing activities for the nine months ended September 30, 2017 resulted from the exercise of employee stock options. The sources of cash from financing activities for the nine months ended September 30, 2016 resulted from $661,000 of excess tax benefits from equity awards and $94,000 of proceeds from the exercise of employee stock options. The uses of cash for both 2017 and 2016 resulted from the payment of employee payroll taxes in relation to the vesting of RSUs. The Company net-share settled the employee RSUs by withholding shares with value equivalent to the employee’s minimum statutory obligation for the applicable income and other employment taxes.</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balance sheet reflects positive working capital of $94.5 million at September 30, 2017 compared to $82.5 million at December 31, 2016. The Company’s primary source of liquidity is $123.4 million of cash and cash equivalents and marketable securities. The Company also has a $50.0 million revolving credit facility, all of which was available for additional borrowing at September 30, 2017. The revolving credit facility expires on November 24, 2017, and we plan to renew the facility on similar terms as the current facility.</w:t>
      </w:r>
    </w:p>
    <w:p>
      <w:pPr>
        <w:spacing w:after="0" w:line="187"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We believe that our existing cash and cash equivalents, marketable securities, cash generated from operations, and available borrowings under our revolving credit facility will be sufficient to meet anticipated working capital needs, new product development and capital expenditures for at least the next 12 months.</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growth strategy includes acquiring businesses that provide complementary products and services. It is anticipated that future acquisitions,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Our revolving credit facility contains financial covenants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availability calculations designed to set a maximum leverage ratio of outstanding debt to adjusted EBITDA and an interest coverage ratio of adjusted EBITDA to interest expense. Therefore, the maximum borrowings against our revolving credit facility would be dependent on the covenant values at the time of borrowing. As of September 30, 2017, we were in material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3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is exposed to market risk from changes in interest rates. We do not have any foreign currency exchange rate risk or commodity price risk. As of September 30, 2017 and during the nine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approximated $123.4 million at September 30, 2017. Assuming a hypothetical 10% decrease in interest rates for invested balances, interest income from cash and investments would decrease on an annualized basis by approximately $134,000.</w:t>
      </w:r>
    </w:p>
    <w:p>
      <w:pPr>
        <w:spacing w:after="0" w:line="178"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2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third quarter of 2017 that has materially affected, or that is reasonably likely to materially affect, HealthStream’s internal control over financial reporting.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13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60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31.1 – Certification of the Chief Executive Officer Pursuant to Section 302 of the Sarbanes-Oxley Act of 2002</w:t>
        </w:r>
      </w:hyperlink>
    </w:p>
    <w:p>
      <w:pPr>
        <w:spacing w:after="0" w:line="23" w:lineRule="exact"/>
        <w:rPr>
          <w:sz w:val="20"/>
          <w:szCs w:val="20"/>
          <w:color w:val="auto"/>
        </w:rPr>
      </w:pPr>
    </w:p>
    <w:p>
      <w:pPr>
        <w:ind w:left="5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31.2 – Certification of the Principal Financial Officer Pursuant to Section 302 of the Sarbanes-Oxley Act of 2002</w:t>
        </w:r>
      </w:hyperlink>
    </w:p>
    <w:p>
      <w:pPr>
        <w:spacing w:after="0" w:line="9" w:lineRule="exact"/>
        <w:rPr>
          <w:sz w:val="20"/>
          <w:szCs w:val="20"/>
          <w:color w:val="auto"/>
        </w:rPr>
      </w:pPr>
    </w:p>
    <w:p>
      <w:pPr>
        <w:ind w:left="600"/>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32.1 – Certification Pursuant to 18 U.S.C. Section 1350, as Adopted Pursuant to Section 906 of the Sarbanes-Oxley Act of 2002</w:t>
        </w:r>
      </w:hyperlink>
    </w:p>
    <w:p>
      <w:pPr>
        <w:spacing w:after="0" w:line="32" w:lineRule="exact"/>
        <w:rPr>
          <w:sz w:val="20"/>
          <w:szCs w:val="20"/>
          <w:color w:val="auto"/>
        </w:rPr>
      </w:pPr>
    </w:p>
    <w:p>
      <w:pPr>
        <w:ind w:left="56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32.2 – Certification Pursuant to 18 U.S.C. Section 1350, as Adopted Pursuant to Section 906 of the Sarbanes-Oxley Act of 2002</w:t>
        </w:r>
      </w:hyperlink>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101.1 INS – XBRL Instance Document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101.1 SCH – XBRL Taxonomy Extension Schema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101.1 CAL – XBRL Taxonomy Extension Calculation Linkbase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101.1 DEF – XBRL Taxonomy Extension Definition Linkbase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101.1 LAB – XBRL Taxonomy Extension Label Linkbase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101.1 PRE – XBRL Taxonomy Extension Presentation Linkbase</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19"/>
          </w:cols>
          <w:pgMar w:left="240" w:top="45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HEALTHSTREAM, INC.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October 30, 2017</w:t>
      </w:r>
      <w:r>
        <w:rPr>
          <w:sz w:val="20"/>
          <w:szCs w:val="20"/>
          <w:color w:val="auto"/>
        </w:rPr>
        <w:tab/>
      </w:r>
      <w:r>
        <w:rPr>
          <w:rFonts w:ascii="Arial" w:cs="Arial" w:eastAsia="Arial" w:hAnsi="Arial"/>
          <w:sz w:val="17"/>
          <w:szCs w:val="17"/>
          <w:color w:val="auto"/>
        </w:rPr>
        <w:t>By: /s/ G</w:t>
      </w:r>
      <w:r>
        <w:rPr>
          <w:rFonts w:ascii="Arial" w:cs="Arial" w:eastAsia="Arial" w:hAnsi="Arial"/>
          <w:sz w:val="14"/>
          <w:szCs w:val="14"/>
          <w:color w:val="auto"/>
        </w:rPr>
        <w:t>ERARD</w:t>
      </w:r>
      <w:r>
        <w:rPr>
          <w:rFonts w:ascii="Arial" w:cs="Arial" w:eastAsia="Arial" w:hAnsi="Arial"/>
          <w:sz w:val="17"/>
          <w:szCs w:val="17"/>
          <w:color w:val="auto"/>
        </w:rPr>
        <w:t xml:space="preserve"> M. H</w:t>
      </w:r>
      <w:r>
        <w:rPr>
          <w:rFonts w:ascii="Arial" w:cs="Arial" w:eastAsia="Arial" w:hAnsi="Arial"/>
          <w:sz w:val="14"/>
          <w:szCs w:val="14"/>
          <w:color w:val="auto"/>
        </w:rPr>
        <w:t>AYDEN</w:t>
      </w:r>
      <w:r>
        <w:rPr>
          <w:rFonts w:ascii="Arial" w:cs="Arial" w:eastAsia="Arial" w:hAnsi="Arial"/>
          <w:sz w:val="17"/>
          <w:szCs w:val="17"/>
          <w:color w:val="auto"/>
        </w:rPr>
        <w:t>, J</w:t>
      </w:r>
      <w:r>
        <w:rPr>
          <w:rFonts w:ascii="Arial" w:cs="Arial" w:eastAsia="Arial" w:hAnsi="Arial"/>
          <w:sz w:val="14"/>
          <w:szCs w:val="14"/>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Gerard M. Hayden, Jr.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00"/>
          </w:cols>
          <w:pgMar w:left="240" w:top="459" w:right="85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225"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100" w:firstLine="4"/>
        <w:spacing w:after="0" w:line="264" w:lineRule="auto"/>
        <w:tabs>
          <w:tab w:leader="none" w:pos="655"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
        <w:spacing w:after="0" w:line="277" w:lineRule="auto"/>
        <w:tabs>
          <w:tab w:leader="none" w:pos="645"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60" w:firstLine="4"/>
        <w:spacing w:after="0" w:line="277" w:lineRule="auto"/>
        <w:tabs>
          <w:tab w:leader="none" w:pos="645"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October 30, 2017</w:t>
      </w:r>
      <w:r>
        <w:rPr>
          <w:sz w:val="20"/>
          <w:szCs w:val="20"/>
          <w:color w:val="auto"/>
        </w:rPr>
        <w:tab/>
      </w:r>
      <w:r>
        <w:rPr>
          <w:rFonts w:ascii="Arial" w:cs="Arial" w:eastAsia="Arial" w:hAnsi="Arial"/>
          <w:sz w:val="16"/>
          <w:szCs w:val="16"/>
          <w:color w:val="auto"/>
        </w:rPr>
        <w:t>/s/ R</w:t>
      </w:r>
      <w:r>
        <w:rPr>
          <w:rFonts w:ascii="Arial" w:cs="Arial" w:eastAsia="Arial" w:hAnsi="Arial"/>
          <w:sz w:val="13"/>
          <w:szCs w:val="13"/>
          <w:color w:val="auto"/>
        </w:rPr>
        <w:t>OBERT</w:t>
      </w:r>
      <w:r>
        <w:rPr>
          <w:rFonts w:ascii="Arial" w:cs="Arial" w:eastAsia="Arial" w:hAnsi="Arial"/>
          <w:sz w:val="16"/>
          <w:szCs w:val="16"/>
          <w:color w:val="auto"/>
        </w:rPr>
        <w:t xml:space="preserve"> A. F</w:t>
      </w:r>
      <w:r>
        <w:rPr>
          <w:rFonts w:ascii="Arial" w:cs="Arial" w:eastAsia="Arial" w:hAnsi="Arial"/>
          <w:sz w:val="13"/>
          <w:szCs w:val="13"/>
          <w:color w:val="auto"/>
        </w:rPr>
        <w:t>RIST</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Robert A. Frist, Jr.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22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100" w:firstLine="4"/>
        <w:spacing w:after="0" w:line="264" w:lineRule="auto"/>
        <w:tabs>
          <w:tab w:leader="none" w:pos="655"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
        <w:spacing w:after="0" w:line="277" w:lineRule="auto"/>
        <w:tabs>
          <w:tab w:leader="none" w:pos="645"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60" w:firstLine="4"/>
        <w:spacing w:after="0" w:line="277" w:lineRule="auto"/>
        <w:tabs>
          <w:tab w:leader="none" w:pos="645"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October 30, 2017</w:t>
      </w:r>
      <w:r>
        <w:rPr>
          <w:sz w:val="20"/>
          <w:szCs w:val="20"/>
          <w:color w:val="auto"/>
        </w:rPr>
        <w:tab/>
      </w:r>
      <w:r>
        <w:rPr>
          <w:rFonts w:ascii="Arial" w:cs="Arial" w:eastAsia="Arial" w:hAnsi="Arial"/>
          <w:sz w:val="17"/>
          <w:szCs w:val="17"/>
          <w:color w:val="auto"/>
        </w:rPr>
        <w:t>/s/ G</w:t>
      </w:r>
      <w:r>
        <w:rPr>
          <w:rFonts w:ascii="Arial" w:cs="Arial" w:eastAsia="Arial" w:hAnsi="Arial"/>
          <w:sz w:val="14"/>
          <w:szCs w:val="14"/>
          <w:color w:val="auto"/>
        </w:rPr>
        <w:t>ERARD</w:t>
      </w:r>
      <w:r>
        <w:rPr>
          <w:rFonts w:ascii="Arial" w:cs="Arial" w:eastAsia="Arial" w:hAnsi="Arial"/>
          <w:sz w:val="17"/>
          <w:szCs w:val="17"/>
          <w:color w:val="auto"/>
        </w:rPr>
        <w:t xml:space="preserve"> M. H</w:t>
      </w:r>
      <w:r>
        <w:rPr>
          <w:rFonts w:ascii="Arial" w:cs="Arial" w:eastAsia="Arial" w:hAnsi="Arial"/>
          <w:sz w:val="14"/>
          <w:szCs w:val="14"/>
          <w:color w:val="auto"/>
        </w:rPr>
        <w:t>AYDEN</w:t>
      </w:r>
      <w:r>
        <w:rPr>
          <w:rFonts w:ascii="Arial" w:cs="Arial" w:eastAsia="Arial" w:hAnsi="Arial"/>
          <w:sz w:val="17"/>
          <w:szCs w:val="17"/>
          <w:color w:val="auto"/>
        </w:rPr>
        <w:t>, J</w:t>
      </w:r>
      <w:r>
        <w:rPr>
          <w:rFonts w:ascii="Arial" w:cs="Arial" w:eastAsia="Arial" w:hAnsi="Arial"/>
          <w:sz w:val="14"/>
          <w:szCs w:val="14"/>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Gerard M. Hayden, Jr.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2017,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5"/>
          <w:szCs w:val="15"/>
          <w:color w:val="auto"/>
        </w:rPr>
        <w:t>OBERT</w:t>
      </w:r>
      <w:r>
        <w:rPr>
          <w:rFonts w:ascii="Arial" w:cs="Arial" w:eastAsia="Arial" w:hAnsi="Arial"/>
          <w:sz w:val="18"/>
          <w:szCs w:val="18"/>
          <w:color w:val="auto"/>
        </w:rPr>
        <w:t xml:space="preserve"> A. F</w:t>
      </w:r>
      <w:r>
        <w:rPr>
          <w:rFonts w:ascii="Arial" w:cs="Arial" w:eastAsia="Arial" w:hAnsi="Arial"/>
          <w:sz w:val="15"/>
          <w:szCs w:val="15"/>
          <w:color w:val="auto"/>
        </w:rPr>
        <w:t>RIST</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October 30, 2017</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2017,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5"/>
          <w:szCs w:val="15"/>
          <w:color w:val="auto"/>
        </w:rPr>
        <w:t>ERARD</w:t>
      </w:r>
      <w:r>
        <w:rPr>
          <w:rFonts w:ascii="Arial" w:cs="Arial" w:eastAsia="Arial" w:hAnsi="Arial"/>
          <w:sz w:val="18"/>
          <w:szCs w:val="18"/>
          <w:color w:val="auto"/>
        </w:rPr>
        <w:t xml:space="preserve"> M. H</w:t>
      </w:r>
      <w:r>
        <w:rPr>
          <w:rFonts w:ascii="Arial" w:cs="Arial" w:eastAsia="Arial" w:hAnsi="Arial"/>
          <w:sz w:val="15"/>
          <w:szCs w:val="15"/>
          <w:color w:val="auto"/>
        </w:rPr>
        <w:t>AYDEN</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30, 2017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2019-12-29T03:30:13Z</dcterms:created>
  <dcterms:modified xsi:type="dcterms:W3CDTF">2019-12-29T03:30:13Z</dcterms:modified>
</cp:coreProperties>
</file>