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3"/>
              </w:rPr>
              <w:t>Tennessee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62-1443555</w:t>
            </w:r>
          </w:p>
        </w:tc>
      </w:tr>
      <w:tr>
        <w:trPr>
          <w:trHeight w:val="149"/>
        </w:trPr>
        <w:tc>
          <w:tcPr>
            <w:tcW w:w="6100" w:type="dxa"/>
            <w:vAlign w:val="bottom"/>
          </w:tcPr>
          <w:p>
            <w:pPr>
              <w:jc w:val="center"/>
              <w:ind w:right="34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00" w:type="dxa"/>
            <w:vAlign w:val="bottom"/>
          </w:tcPr>
          <w:p>
            <w:pPr>
              <w:jc w:val="center"/>
              <w:ind w:right="3459"/>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8"/>
              </w:rPr>
              <w:t>209 10th Avenue South, Suite 450</w:t>
            </w:r>
          </w:p>
        </w:tc>
        <w:tc>
          <w:tcPr>
            <w:tcW w:w="1500" w:type="dxa"/>
            <w:vAlign w:val="bottom"/>
          </w:tcPr>
          <w:p>
            <w:pPr>
              <w:spacing w:after="0"/>
              <w:rPr>
                <w:sz w:val="24"/>
                <w:szCs w:val="24"/>
                <w:color w:val="auto"/>
              </w:rPr>
            </w:pPr>
          </w:p>
        </w:tc>
      </w:tr>
      <w:tr>
        <w:trPr>
          <w:trHeight w:val="225"/>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6"/>
              </w:rPr>
              <w:t>Nashville, Tennessee</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37203</w:t>
            </w:r>
          </w:p>
        </w:tc>
      </w:tr>
      <w:tr>
        <w:trPr>
          <w:trHeight w:val="186"/>
        </w:trPr>
        <w:tc>
          <w:tcPr>
            <w:tcW w:w="6100" w:type="dxa"/>
            <w:vAlign w:val="bottom"/>
          </w:tcPr>
          <w:p>
            <w:pPr>
              <w:jc w:val="center"/>
              <w:ind w:right="34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100" w:type="dxa"/>
            <w:vAlign w:val="bottom"/>
          </w:tcPr>
          <w:p>
            <w:pPr>
              <w:jc w:val="right"/>
              <w:ind w:right="1359"/>
              <w:spacing w:after="0"/>
              <w:rPr>
                <w:sz w:val="20"/>
                <w:szCs w:val="20"/>
                <w:color w:val="auto"/>
              </w:rPr>
            </w:pPr>
            <w:r>
              <w:rPr>
                <w:rFonts w:ascii="Arial" w:cs="Arial" w:eastAsia="Arial" w:hAnsi="Arial"/>
                <w:sz w:val="18"/>
                <w:szCs w:val="18"/>
                <w:b w:val="1"/>
                <w:bCs w:val="1"/>
                <w:color w:val="auto"/>
              </w:rPr>
              <w:t>(615) 301-3100</w:t>
            </w:r>
          </w:p>
        </w:tc>
        <w:tc>
          <w:tcPr>
            <w:tcW w:w="1500" w:type="dxa"/>
            <w:vAlign w:val="bottom"/>
          </w:tcPr>
          <w:p>
            <w:pPr>
              <w:spacing w:after="0"/>
              <w:rPr>
                <w:sz w:val="24"/>
                <w:szCs w:val="24"/>
                <w:color w:val="auto"/>
              </w:rPr>
            </w:pPr>
          </w:p>
        </w:tc>
      </w:tr>
      <w:tr>
        <w:trPr>
          <w:trHeight w:val="186"/>
        </w:trPr>
        <w:tc>
          <w:tcPr>
            <w:tcW w:w="6100" w:type="dxa"/>
            <w:vAlign w:val="bottom"/>
          </w:tcPr>
          <w:p>
            <w:pPr>
              <w:jc w:val="center"/>
              <w:ind w:left="199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48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Arial" w:cs="Arial" w:eastAsia="Arial" w:hAnsi="Arial"/>
                <w:sz w:val="18"/>
                <w:szCs w:val="18"/>
                <w:color w:val="auto"/>
              </w:rPr>
              <w:t>As of October 27, 2014, there were 27,634,449 shares of the registrant’s common stock outstanding.</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4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HEALTHSTREAM, INC.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r>
      <w:tr>
        <w:trPr>
          <w:trHeight w:val="171"/>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Part I.</w:t>
            </w:r>
          </w:p>
        </w:tc>
        <w:tc>
          <w:tcPr>
            <w:tcW w:w="97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500" w:type="dxa"/>
            <w:vAlign w:val="bottom"/>
          </w:tcPr>
          <w:p>
            <w:pPr>
              <w:spacing w:after="0"/>
              <w:rPr>
                <w:sz w:val="22"/>
                <w:szCs w:val="22"/>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1560" w:type="dxa"/>
            <w:vAlign w:val="bottom"/>
            <w:tcBorders>
              <w:top w:val="single" w:sz="8" w:color="0000EE"/>
            </w:tcBorders>
            <w:gridSpan w:val="7"/>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Financial Statements</w:t>
              </w:r>
            </w:hyperlink>
          </w:p>
        </w:tc>
        <w:tc>
          <w:tcPr>
            <w:tcW w:w="8140" w:type="dxa"/>
            <w:vAlign w:val="bottom"/>
            <w:gridSpan w:val="10"/>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1120" w:type="dxa"/>
            <w:vAlign w:val="bottom"/>
          </w:tcPr>
          <w:p>
            <w:pPr>
              <w:spacing w:after="0"/>
              <w:rPr>
                <w:sz w:val="24"/>
                <w:szCs w:val="24"/>
                <w:color w:val="auto"/>
              </w:rPr>
            </w:pPr>
          </w:p>
        </w:tc>
        <w:tc>
          <w:tcPr>
            <w:tcW w:w="72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September 30, 2014 (Unaudited) and December 31, 2013</w:t>
              </w:r>
            </w:hyperlink>
          </w:p>
        </w:tc>
        <w:tc>
          <w:tcPr>
            <w:tcW w:w="246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120" w:type="dxa"/>
            <w:vAlign w:val="bottom"/>
          </w:tcPr>
          <w:p>
            <w:pPr>
              <w:spacing w:after="0"/>
              <w:rPr>
                <w:sz w:val="24"/>
                <w:szCs w:val="24"/>
                <w:color w:val="auto"/>
              </w:rPr>
            </w:pPr>
          </w:p>
        </w:tc>
        <w:tc>
          <w:tcPr>
            <w:tcW w:w="88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(Unaudited) - Three and Nine Months ended September 30, 2014 and 2013</w:t>
              </w:r>
            </w:hyperlink>
          </w:p>
        </w:tc>
        <w:tc>
          <w:tcPr>
            <w:tcW w:w="84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120" w:type="dxa"/>
            <w:vAlign w:val="bottom"/>
          </w:tcPr>
          <w:p>
            <w:pPr>
              <w:spacing w:after="0"/>
              <w:rPr>
                <w:sz w:val="24"/>
                <w:szCs w:val="24"/>
                <w:color w:val="auto"/>
              </w:rPr>
            </w:pPr>
          </w:p>
        </w:tc>
        <w:tc>
          <w:tcPr>
            <w:tcW w:w="89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(Unaudited) - Three and Nine Months ended September 30,</w:t>
              </w:r>
            </w:hyperlink>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2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2014 and 2013</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1120" w:type="dxa"/>
            <w:vAlign w:val="bottom"/>
          </w:tcPr>
          <w:p>
            <w:pPr>
              <w:spacing w:after="0"/>
              <w:rPr>
                <w:sz w:val="24"/>
                <w:szCs w:val="24"/>
                <w:color w:val="auto"/>
              </w:rPr>
            </w:pPr>
          </w:p>
        </w:tc>
        <w:tc>
          <w:tcPr>
            <w:tcW w:w="83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 of Shareholders’ Equity (Unaudited) - Nine Months ended September 30, 2014</w:t>
              </w:r>
            </w:hyperlink>
          </w:p>
        </w:tc>
        <w:tc>
          <w:tcPr>
            <w:tcW w:w="140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120" w:type="dxa"/>
            <w:vAlign w:val="bottom"/>
          </w:tcPr>
          <w:p>
            <w:pPr>
              <w:spacing w:after="0"/>
              <w:rPr>
                <w:sz w:val="24"/>
                <w:szCs w:val="24"/>
                <w:color w:val="auto"/>
              </w:rPr>
            </w:pPr>
          </w:p>
        </w:tc>
        <w:tc>
          <w:tcPr>
            <w:tcW w:w="84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(Unaudited) - Nine Months ended September 30, 2014 and 2013</w:t>
              </w:r>
            </w:hyperlink>
          </w:p>
        </w:tc>
        <w:tc>
          <w:tcPr>
            <w:tcW w:w="130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120" w:type="dxa"/>
            <w:vAlign w:val="bottom"/>
          </w:tcPr>
          <w:p>
            <w:pPr>
              <w:spacing w:after="0"/>
              <w:rPr>
                <w:sz w:val="24"/>
                <w:szCs w:val="24"/>
                <w:color w:val="auto"/>
              </w:rPr>
            </w:pPr>
          </w:p>
        </w:tc>
        <w:tc>
          <w:tcPr>
            <w:tcW w:w="970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Management’s Discussion and Analysis of Financial Condition and Results of Operations</w:t>
              </w:r>
            </w:hyperlink>
          </w:p>
        </w:tc>
        <w:tc>
          <w:tcPr>
            <w:tcW w:w="324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Quantitative and Qualitative Disclosures About Market Risk</w:t>
              </w:r>
            </w:hyperlink>
          </w:p>
        </w:tc>
        <w:tc>
          <w:tcPr>
            <w:tcW w:w="534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9700" w:type="dxa"/>
            <w:vAlign w:val="bottom"/>
            <w:gridSpan w:val="1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Part II.</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7940" w:type="dxa"/>
            <w:vAlign w:val="bottom"/>
            <w:gridSpan w:val="9"/>
          </w:tcPr>
          <w:p>
            <w:pPr>
              <w:spacing w:after="0"/>
              <w:rPr>
                <w:sz w:val="24"/>
                <w:szCs w:val="24"/>
                <w:color w:val="auto"/>
              </w:rPr>
            </w:pPr>
          </w:p>
        </w:tc>
        <w:tc>
          <w:tcPr>
            <w:tcW w:w="500" w:type="dxa"/>
            <w:vAlign w:val="bottom"/>
          </w:tcPr>
          <w:p>
            <w:pPr>
              <w:spacing w:after="0"/>
              <w:rPr>
                <w:sz w:val="24"/>
                <w:szCs w:val="24"/>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24"/>
                <w:szCs w:val="24"/>
                <w:color w:val="auto"/>
              </w:rPr>
            </w:pPr>
          </w:p>
        </w:tc>
        <w:tc>
          <w:tcPr>
            <w:tcW w:w="8400" w:type="dxa"/>
            <w:vAlign w:val="bottom"/>
            <w:gridSpan w:val="1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120" w:type="dxa"/>
            <w:vAlign w:val="bottom"/>
          </w:tcPr>
          <w:p>
            <w:pPr>
              <w:spacing w:after="0"/>
              <w:rPr>
                <w:sz w:val="24"/>
                <w:szCs w:val="24"/>
                <w:color w:val="auto"/>
              </w:rPr>
            </w:pPr>
          </w:p>
        </w:tc>
        <w:tc>
          <w:tcPr>
            <w:tcW w:w="9700" w:type="dxa"/>
            <w:vAlign w:val="bottom"/>
            <w:gridSpan w:val="1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7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9080" w:type="dxa"/>
            <w:vAlign w:val="bottom"/>
            <w:gridSpan w:val="4"/>
          </w:tcPr>
          <w:p>
            <w:pPr>
              <w:spacing w:after="0"/>
              <w:rPr>
                <w:sz w:val="20"/>
                <w:szCs w:val="20"/>
                <w:color w:val="auto"/>
              </w:rPr>
            </w:pPr>
            <w:r>
              <w:rPr>
                <w:rFonts w:ascii="Arial" w:cs="Arial" w:eastAsia="Arial" w:hAnsi="Arial"/>
                <w:sz w:val="18"/>
                <w:szCs w:val="18"/>
                <w:b w:val="1"/>
                <w:bCs w:val="1"/>
                <w:color w:val="auto"/>
              </w:rPr>
              <w:t>PART I. FINANCIAL INFORMATION</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8540" w:type="dxa"/>
            <w:vAlign w:val="bottom"/>
            <w:gridSpan w:val="2"/>
          </w:tcPr>
          <w:p>
            <w:pPr>
              <w:ind w:left="380"/>
              <w:spacing w:after="0"/>
              <w:rPr>
                <w:sz w:val="20"/>
                <w:szCs w:val="20"/>
                <w:color w:val="auto"/>
              </w:rPr>
            </w:pPr>
            <w:r>
              <w:rPr>
                <w:rFonts w:ascii="Arial" w:cs="Arial" w:eastAsia="Arial" w:hAnsi="Arial"/>
                <w:sz w:val="18"/>
                <w:szCs w:val="18"/>
                <w:b w:val="1"/>
                <w:bCs w:val="1"/>
                <w:i w:val="1"/>
                <w:iCs w:val="1"/>
                <w:color w:val="auto"/>
              </w:rPr>
              <w:t>Financial Statements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720" w:type="dxa"/>
            <w:vAlign w:val="bottom"/>
          </w:tcPr>
          <w:p>
            <w:pPr>
              <w:jc w:val="center"/>
              <w:ind w:left="890"/>
              <w:spacing w:after="0"/>
              <w:rPr>
                <w:sz w:val="20"/>
                <w:szCs w:val="20"/>
                <w:color w:val="auto"/>
              </w:rPr>
            </w:pPr>
            <w:r>
              <w:rPr>
                <w:rFonts w:ascii="Arial" w:cs="Arial" w:eastAsia="Arial" w:hAnsi="Arial"/>
                <w:sz w:val="18"/>
                <w:szCs w:val="18"/>
                <w:b w:val="1"/>
                <w:bCs w:val="1"/>
                <w:color w:val="auto"/>
              </w:rPr>
              <w:t>HEALTHSTREAM, INC.</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720" w:type="dxa"/>
            <w:vAlign w:val="bottom"/>
          </w:tcPr>
          <w:p>
            <w:pPr>
              <w:jc w:val="center"/>
              <w:ind w:left="8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720" w:type="dxa"/>
            <w:vAlign w:val="bottom"/>
          </w:tcPr>
          <w:p>
            <w:pPr>
              <w:jc w:val="center"/>
              <w:ind w:left="91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54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720" w:type="dxa"/>
            <w:vAlign w:val="bottom"/>
            <w:shd w:val="clear" w:color="auto" w:fill="CCEEFF"/>
          </w:tcPr>
          <w:p>
            <w:pPr>
              <w:jc w:val="center"/>
              <w:ind w:right="1710"/>
              <w:spacing w:after="0"/>
              <w:rPr>
                <w:sz w:val="20"/>
                <w:szCs w:val="20"/>
                <w:color w:val="auto"/>
              </w:rPr>
            </w:pPr>
            <w:r>
              <w:rPr>
                <w:rFonts w:ascii="Arial" w:cs="Arial" w:eastAsia="Arial" w:hAnsi="Arial"/>
                <w:sz w:val="18"/>
                <w:szCs w:val="18"/>
                <w:b w:val="1"/>
                <w:bCs w:val="1"/>
                <w:color w:val="auto"/>
                <w:w w:val="94"/>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64,927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ind w:left="34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51,495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48,659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Accounts receivable, net of allowance for doubtful accounts of $269 and $211 at September 30, 2014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 respectively</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28,177</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ind w:left="340"/>
              <w:spacing w:after="0"/>
              <w:rPr>
                <w:sz w:val="20"/>
                <w:szCs w:val="20"/>
                <w:color w:val="auto"/>
              </w:rPr>
            </w:pPr>
            <w:r>
              <w:rPr>
                <w:rFonts w:ascii="Arial" w:cs="Arial" w:eastAsia="Arial" w:hAnsi="Arial"/>
                <w:sz w:val="18"/>
                <w:szCs w:val="18"/>
                <w:color w:val="auto"/>
              </w:rPr>
              <w:t>Accounts receivable - unbilled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1,938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Prepaid royalties, net of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12,832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3"/>
          </w:tcPr>
          <w:p>
            <w:pPr>
              <w:ind w:left="340"/>
              <w:spacing w:after="0"/>
              <w:rPr>
                <w:sz w:val="20"/>
                <w:szCs w:val="20"/>
                <w:color w:val="auto"/>
              </w:rPr>
            </w:pPr>
            <w:r>
              <w:rPr>
                <w:rFonts w:ascii="Arial" w:cs="Arial" w:eastAsia="Arial" w:hAnsi="Arial"/>
                <w:sz w:val="18"/>
                <w:szCs w:val="18"/>
                <w:color w:val="auto"/>
              </w:rPr>
              <w:t>Other prepaid expenses and other current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162,935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Equipment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23,850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ind w:left="340"/>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5,856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34,047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(25,040)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(21,968)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340" w:type="dxa"/>
            <w:vAlign w:val="bottom"/>
            <w:gridSpan w:val="2"/>
          </w:tcPr>
          <w:p>
            <w:pPr>
              <w:spacing w:after="0"/>
              <w:rPr>
                <w:sz w:val="9"/>
                <w:szCs w:val="9"/>
                <w:color w:val="auto"/>
              </w:rPr>
            </w:pPr>
          </w:p>
        </w:tc>
        <w:tc>
          <w:tcPr>
            <w:tcW w:w="7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Capitalized software development, net of accumulated amortization of $16,884 and $13,910 at September 30, 2014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December 31, 2013, respectively</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12,303</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42,654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35,746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6"/>
              </w:rPr>
              <w:t>Intangible assets, net of accumulated amortization of $13,179 and $11,389 at September 30, 2014 and December 31,</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2013, respectively</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15,450</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5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243,333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720" w:type="dxa"/>
            <w:vAlign w:val="bottom"/>
            <w:vMerge w:val="restart"/>
          </w:tcPr>
          <w:p>
            <w:pPr>
              <w:jc w:val="center"/>
              <w:ind w:right="1690"/>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799</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royalties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6,622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ind w:left="34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11,762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compensation and related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ind w:left="340"/>
              <w:spacing w:after="0"/>
              <w:rPr>
                <w:sz w:val="20"/>
                <w:szCs w:val="20"/>
                <w:color w:val="auto"/>
              </w:rPr>
            </w:pPr>
            <w:r>
              <w:rPr>
                <w:rFonts w:ascii="Arial" w:cs="Arial" w:eastAsia="Arial" w:hAnsi="Arial"/>
                <w:sz w:val="18"/>
                <w:szCs w:val="18"/>
                <w:color w:val="auto"/>
              </w:rPr>
              <w:t>Deferred tax liabilities, current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53,303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38,168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540" w:type="dxa"/>
            <w:vAlign w:val="bottom"/>
            <w:gridSpan w:val="2"/>
          </w:tcPr>
          <w:p>
            <w:pPr>
              <w:ind w:left="54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74,437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340" w:type="dxa"/>
            <w:vAlign w:val="bottom"/>
            <w:gridSpan w:val="2"/>
          </w:tcPr>
          <w:p>
            <w:pPr>
              <w:spacing w:after="0"/>
              <w:rPr>
                <w:sz w:val="9"/>
                <w:szCs w:val="9"/>
                <w:color w:val="auto"/>
              </w:rPr>
            </w:pPr>
          </w:p>
        </w:tc>
        <w:tc>
          <w:tcPr>
            <w:tcW w:w="7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liabilities, noncurrent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tcPr>
          <w:p>
            <w:pPr>
              <w:spacing w:after="0"/>
              <w:rPr>
                <w:sz w:val="20"/>
                <w:szCs w:val="20"/>
                <w:color w:val="auto"/>
              </w:rPr>
            </w:pPr>
            <w:r>
              <w:rPr>
                <w:rFonts w:ascii="Arial" w:cs="Arial" w:eastAsia="Arial" w:hAnsi="Arial"/>
                <w:sz w:val="18"/>
                <w:szCs w:val="18"/>
                <w:color w:val="auto"/>
              </w:rPr>
              <w:t>Deferred revenue, noncurrent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1,507</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340" w:type="dxa"/>
            <w:vAlign w:val="bottom"/>
            <w:gridSpan w:val="2"/>
          </w:tcPr>
          <w:p>
            <w:pPr>
              <w:spacing w:after="0"/>
              <w:rPr>
                <w:sz w:val="8"/>
                <w:szCs w:val="8"/>
                <w:color w:val="auto"/>
              </w:rPr>
            </w:pPr>
          </w:p>
        </w:tc>
        <w:tc>
          <w:tcPr>
            <w:tcW w:w="7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9"/>
              </w:rPr>
              <w:t>Common stock, no par value, 75,000 shares authorized; 27,634 and 27,327 shares issued and outstanding at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September 30, 2014 and December 31, 2013, respectively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170,940</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166,888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(9,677)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5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161,242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540" w:type="dxa"/>
            <w:vAlign w:val="bottom"/>
            <w:gridSpan w:val="2"/>
          </w:tcPr>
          <w:p>
            <w:pPr>
              <w:ind w:left="54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243,333</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446"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446"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44,525</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125,351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 (excluding depreciation and amortization)</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19,115</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54,778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Product development</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4,211</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3,210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12,052</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7,585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21,783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6,058</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4,551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16,651</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2,815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7,938</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tcPr>
          <w:p>
            <w:pPr>
              <w:ind w:left="700"/>
              <w:spacing w:after="0"/>
              <w:rPr>
                <w:sz w:val="20"/>
                <w:szCs w:val="20"/>
                <w:color w:val="auto"/>
              </w:rPr>
            </w:pPr>
            <w:r>
              <w:rPr>
                <w:rFonts w:ascii="Arial" w:cs="Arial" w:eastAsia="Arial" w:hAnsi="Arial"/>
                <w:sz w:val="18"/>
                <w:szCs w:val="18"/>
                <w:color w:val="auto"/>
              </w:rPr>
              <w:t>Total operating costs and expenses</w:t>
            </w:r>
          </w:p>
        </w:tc>
        <w:tc>
          <w:tcPr>
            <w:tcW w:w="8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39,784</w:t>
            </w: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29,780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113,202</w:t>
            </w: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4,741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12,149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5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12,266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1,629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4,519</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3,436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2,296</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7,747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Basic</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27,605</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27,085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27,542</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28,047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27,999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3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5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20" w:type="dxa"/>
            <w:vAlign w:val="bottom"/>
          </w:tcPr>
          <w:p>
            <w:pPr>
              <w:spacing w:after="0"/>
              <w:rPr>
                <w:sz w:val="10"/>
                <w:szCs w:val="10"/>
                <w:color w:val="auto"/>
              </w:rPr>
            </w:pPr>
          </w:p>
        </w:tc>
        <w:tc>
          <w:tcPr>
            <w:tcW w:w="11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comprehensive income, net of taxes: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marketable securities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w:t>
            </w:r>
          </w:p>
        </w:tc>
        <w:tc>
          <w:tcPr>
            <w:tcW w:w="1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2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3,423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2,302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7,757</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6,611</w:t>
            </w: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218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Common Stock</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2180" w:type="dxa"/>
            <w:vAlign w:val="bottom"/>
            <w:gridSpan w:val="5"/>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27,327</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$166,888</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(17,424)</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7,747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Issuance of common stock in acquisition</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2,247</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1,222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Tax benefits from equity awards</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2"/>
        </w:trPr>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under stock plans, net of shares withheld for</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taxes</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3"/>
              </w:rPr>
              <w:t>225</w:t>
            </w:r>
          </w:p>
        </w:tc>
        <w:tc>
          <w:tcPr>
            <w:tcW w:w="1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712</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Balance at September 30, 2014</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27,634</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170,940</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(9,677</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40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71"/>
        </w:trPr>
        <w:tc>
          <w:tcPr>
            <w:tcW w:w="20" w:type="dxa"/>
            <w:vAlign w:val="bottom"/>
          </w:tcPr>
          <w:p>
            <w:pPr>
              <w:spacing w:after="0"/>
              <w:rPr>
                <w:sz w:val="14"/>
                <w:szCs w:val="14"/>
                <w:color w:val="auto"/>
              </w:rPr>
            </w:pPr>
          </w:p>
        </w:tc>
        <w:tc>
          <w:tcPr>
            <w:tcW w:w="90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7,747</w:t>
            </w:r>
          </w:p>
        </w:tc>
        <w:tc>
          <w:tcPr>
            <w:tcW w:w="180" w:type="dxa"/>
            <w:vAlign w:val="bottom"/>
          </w:tcPr>
          <w:p>
            <w:pPr>
              <w:spacing w:after="0"/>
              <w:rPr>
                <w:sz w:val="18"/>
                <w:szCs w:val="18"/>
                <w:color w:val="auto"/>
              </w:rPr>
            </w:pP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6,658</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7,938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5,812</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 based compensation expense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w:t>
            </w: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4,519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4,560</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Excess tax benefits from equity awards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non-marketable equity investments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1060"/>
              <w:spacing w:after="0"/>
              <w:rPr>
                <w:sz w:val="20"/>
                <w:szCs w:val="20"/>
                <w:color w:val="auto"/>
              </w:rPr>
            </w:pPr>
            <w:r>
              <w:rPr>
                <w:rFonts w:ascii="Arial" w:cs="Arial" w:eastAsia="Arial" w:hAnsi="Arial"/>
                <w:sz w:val="18"/>
                <w:szCs w:val="18"/>
                <w:color w:val="auto"/>
              </w:rPr>
              <w:t>Accounts and unbilled receivables</w:t>
            </w:r>
          </w:p>
        </w:tc>
        <w:tc>
          <w:tcPr>
            <w:tcW w:w="22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(1,891)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(7,312)</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royalties</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(3,975)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(4,509)</w:t>
            </w:r>
          </w:p>
        </w:tc>
      </w:tr>
      <w:tr>
        <w:trPr>
          <w:trHeight w:val="216"/>
        </w:trPr>
        <w:tc>
          <w:tcPr>
            <w:tcW w:w="20" w:type="dxa"/>
            <w:vAlign w:val="bottom"/>
          </w:tcPr>
          <w:p>
            <w:pPr>
              <w:spacing w:after="0"/>
              <w:rPr>
                <w:sz w:val="18"/>
                <w:szCs w:val="18"/>
                <w:color w:val="auto"/>
              </w:rPr>
            </w:pPr>
          </w:p>
        </w:tc>
        <w:tc>
          <w:tcPr>
            <w:tcW w:w="9000" w:type="dxa"/>
            <w:vAlign w:val="bottom"/>
          </w:tcPr>
          <w:p>
            <w:pPr>
              <w:ind w:left="1060"/>
              <w:spacing w:after="0"/>
              <w:rPr>
                <w:sz w:val="20"/>
                <w:szCs w:val="20"/>
                <w:color w:val="auto"/>
              </w:rPr>
            </w:pPr>
            <w:r>
              <w:rPr>
                <w:rFonts w:ascii="Arial" w:cs="Arial" w:eastAsia="Arial" w:hAnsi="Arial"/>
                <w:sz w:val="18"/>
                <w:szCs w:val="18"/>
                <w:color w:val="auto"/>
              </w:rPr>
              <w:t>Other prepaid expenses and other current assets</w:t>
            </w:r>
          </w:p>
        </w:tc>
        <w:tc>
          <w:tcPr>
            <w:tcW w:w="22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(908)</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9000" w:type="dxa"/>
            <w:vAlign w:val="bottom"/>
          </w:tcPr>
          <w:p>
            <w:pPr>
              <w:ind w:left="106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(1,511)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royalties</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(1,814)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3,037</w:t>
            </w:r>
          </w:p>
        </w:tc>
      </w:tr>
      <w:tr>
        <w:trPr>
          <w:trHeight w:val="216"/>
        </w:trPr>
        <w:tc>
          <w:tcPr>
            <w:tcW w:w="20" w:type="dxa"/>
            <w:vAlign w:val="bottom"/>
          </w:tcPr>
          <w:p>
            <w:pPr>
              <w:spacing w:after="0"/>
              <w:rPr>
                <w:sz w:val="18"/>
                <w:szCs w:val="18"/>
                <w:color w:val="auto"/>
              </w:rPr>
            </w:pPr>
          </w:p>
        </w:tc>
        <w:tc>
          <w:tcPr>
            <w:tcW w:w="9000" w:type="dxa"/>
            <w:vAlign w:val="bottom"/>
          </w:tcPr>
          <w:p>
            <w:pPr>
              <w:ind w:left="1060"/>
              <w:spacing w:after="0"/>
              <w:rPr>
                <w:sz w:val="20"/>
                <w:szCs w:val="20"/>
                <w:color w:val="auto"/>
              </w:rPr>
            </w:pPr>
            <w:r>
              <w:rPr>
                <w:rFonts w:ascii="Arial" w:cs="Arial" w:eastAsia="Arial" w:hAnsi="Arial"/>
                <w:sz w:val="18"/>
                <w:szCs w:val="18"/>
                <w:color w:val="auto"/>
              </w:rPr>
              <w:t>Accrued liabilities and accrued compensation and related expenses and other long-term liabilities</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11,904</w:t>
            </w:r>
          </w:p>
        </w:tc>
      </w:tr>
      <w:tr>
        <w:trPr>
          <w:trHeight w:val="230"/>
        </w:trPr>
        <w:tc>
          <w:tcPr>
            <w:tcW w:w="20" w:type="dxa"/>
            <w:vAlign w:val="bottom"/>
          </w:tcPr>
          <w:p>
            <w:pPr>
              <w:spacing w:after="0"/>
              <w:rPr>
                <w:sz w:val="20"/>
                <w:szCs w:val="20"/>
                <w:color w:val="auto"/>
              </w:rPr>
            </w:pPr>
          </w:p>
        </w:tc>
        <w:tc>
          <w:tcPr>
            <w:tcW w:w="9000" w:type="dxa"/>
            <w:vAlign w:val="bottom"/>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28,675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Business combinations, net of cash acquired</w:t>
            </w:r>
          </w:p>
        </w:tc>
        <w:tc>
          <w:tcPr>
            <w:tcW w:w="22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(12,298)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(7,362)</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investments in marketable securities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63,722</w:t>
            </w: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Proceeds from sales of investments in marketable securities</w:t>
            </w:r>
          </w:p>
        </w:tc>
        <w:tc>
          <w:tcPr>
            <w:tcW w:w="22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5,062</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 in marketable securities</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(44,324)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(67,634)</w:t>
            </w: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Investments in non-marketable equity investments</w:t>
            </w:r>
          </w:p>
        </w:tc>
        <w:tc>
          <w:tcPr>
            <w:tcW w:w="22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(4,025)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(3,017)</w:t>
            </w: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(3,044)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(2,414)</w:t>
            </w: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(23,598)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(11,943)</w:t>
            </w: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3,057</w:t>
            </w: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22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equity awards</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Payment of earn-outs related to acquisitions</w:t>
            </w:r>
          </w:p>
        </w:tc>
        <w:tc>
          <w:tcPr>
            <w:tcW w:w="220" w:type="dxa"/>
            <w:vAlign w:val="bottom"/>
          </w:tcPr>
          <w:p>
            <w:pPr>
              <w:spacing w:after="0"/>
              <w:rPr>
                <w:sz w:val="19"/>
                <w:szCs w:val="19"/>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(357)</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100" w:type="dxa"/>
            <w:vAlign w:val="bottom"/>
            <w:shd w:val="clear" w:color="auto" w:fill="CCEEFF"/>
          </w:tcPr>
          <w:p>
            <w:pPr>
              <w:spacing w:after="0"/>
              <w:rPr>
                <w:sz w:val="18"/>
                <w:szCs w:val="18"/>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5,390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41,365</w:t>
            </w: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64,927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55,103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Issuance of common stock in connection with acquisition</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2,247</w:t>
            </w:r>
          </w:p>
        </w:tc>
        <w:tc>
          <w:tcPr>
            <w:tcW w:w="180" w:type="dxa"/>
            <w:vAlign w:val="bottom"/>
          </w:tcPr>
          <w:p>
            <w:pPr>
              <w:spacing w:after="0"/>
              <w:rPr>
                <w:sz w:val="18"/>
                <w:szCs w:val="18"/>
                <w:color w:val="auto"/>
              </w:rPr>
            </w:pP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and nine months ended September 30, 2014 are not necessarily indicative of the results that may be expected for the year ending December 31, 2014.</w:t>
      </w:r>
    </w:p>
    <w:p>
      <w:pPr>
        <w:spacing w:after="0" w:line="17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balance sheet at December 31, 2013 is consistent with the audited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2013 (included in the Company’s Annual Report on Form 10-K, filed with the Securities and Exchange Commission on March 4,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(Topic 606)</w:t>
      </w:r>
      <w:r>
        <w:rPr>
          <w:rFonts w:ascii="Arial" w:cs="Arial" w:eastAsia="Arial" w:hAnsi="Arial"/>
          <w:sz w:val="16"/>
          <w:szCs w:val="16"/>
          <w:color w:val="auto"/>
        </w:rPr>
        <w:t>, which supersedes the revenue recognition requirements in Topic 605,</w:t>
      </w:r>
      <w:r>
        <w:rPr>
          <w:rFonts w:ascii="Arial" w:cs="Arial" w:eastAsia="Arial" w:hAnsi="Arial"/>
          <w:sz w:val="16"/>
          <w:szCs w:val="16"/>
          <w:i w:val="1"/>
          <w:iCs w:val="1"/>
          <w:color w:val="auto"/>
        </w:rPr>
        <w:t xml:space="preserve"> Revenue Recognition</w:t>
      </w:r>
      <w:r>
        <w:rPr>
          <w:rFonts w:ascii="Arial" w:cs="Arial" w:eastAsia="Arial" w:hAnsi="Arial"/>
          <w:sz w:val="16"/>
          <w:szCs w:val="16"/>
          <w:color w:val="auto"/>
        </w:rPr>
        <w:t>, and most industry-specific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guidance throughout the Industry Topics of the Accounting Standards Codification. The updated guidance states that an entity should recognize revenue to depict the transfer of promised goods or services to customers in an amount that reflects the consideration to which the entity expects to be entitled in exchange for those goods or services. The guidance also provides for additional disclosures with respect to revenues and cash flows arising from contracts with customers. The standard will be effective for the first interim period within annual reporting periods beginning after December 15, 2016, and early adoption is not permitted. The Company is currently reviewing this standard to assess the impact on its future consolidated financial statements.</w:t>
      </w:r>
    </w:p>
    <w:p>
      <w:pPr>
        <w:spacing w:after="0" w:line="16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 - Going Concern (Subtopic 205-40); Disclosure of Uncertainties about</w:t>
      </w:r>
      <w:r>
        <w:rPr>
          <w:rFonts w:ascii="Arial" w:cs="Arial" w:eastAsia="Arial" w:hAnsi="Arial"/>
          <w:sz w:val="16"/>
          <w:szCs w:val="16"/>
          <w:color w:val="auto"/>
        </w:rPr>
        <w:t xml:space="preserve"> </w:t>
      </w:r>
      <w:r>
        <w:rPr>
          <w:rFonts w:ascii="Arial" w:cs="Arial" w:eastAsia="Arial" w:hAnsi="Arial"/>
          <w:sz w:val="16"/>
          <w:szCs w:val="16"/>
          <w:i w:val="1"/>
          <w:iCs w:val="1"/>
          <w:color w:val="auto"/>
        </w:rPr>
        <w:t>an Entity’s Ability to Continue as a Going Concern</w:t>
      </w:r>
      <w:r>
        <w:rPr>
          <w:rFonts w:ascii="Arial" w:cs="Arial" w:eastAsia="Arial" w:hAnsi="Arial"/>
          <w:sz w:val="16"/>
          <w:szCs w:val="16"/>
          <w:color w:val="auto"/>
        </w:rPr>
        <w:t>, which requires management of the Company to evaluate whether there is substantial doubt about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ability to continue as a going concern. The standard will be effective for the annual reporting period ending after December 15, 2016, with early adoption permitted. The Company does not expect the adoption of the standard to have a material impact on the Company’s consolidated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21"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8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During the nine months ended September 30, 2014 and 2013, the Company recorded a provision for income taxes of approximately $4.5 million and $4.6 million respectively. The Company’s effective tax rate for the nine months ended September 30, 2014 and 2013 was 36.8% and 41.0%, respectively. The Company’s effective tax rate primarily reflects the statutory corporate income tax rate, the net effect of state taxes, and the effect of various permanent tax differences. During the three months ended September 30, 2014, the Company recognized approximately $670,000 of tax benefits primarily from research and development tax credits, which resulted in a lower effective tax rate for both the three and nine months ended September 30, 2014.</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maintains two stock incentive plans. The Company accounts for its stock based compensation plans using the fair-value based method for costs related to share-based payments, including stock options and restricted share units (RSUs). During the nine months ended September 30, 2014, the Company issued 70,080 RSUs with a weighted average grant date fair value of $28.71 per share, measured based on the closing fair market value of the Company’s stock on the date of grant. During the nine months ended September 30, 2013, the Company issued 80,250 RSUs with a weighted average grant date fair value of $22.02 per share, measured based on the closing fair market value of the Company’s stock on the date of grant.</w:t>
      </w:r>
    </w:p>
    <w:p>
      <w:pPr>
        <w:spacing w:after="0" w:line="15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stock based compensation expense recorded for the three and nine months ended September 30, 2014 and 2013, which is recorded in the condensed consolidated statements of income, is as follows (in thousands):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280"/>
              <w:spacing w:after="0"/>
              <w:rPr>
                <w:sz w:val="20"/>
                <w:szCs w:val="20"/>
                <w:color w:val="auto"/>
              </w:rPr>
            </w:pPr>
            <w:r>
              <w:rPr>
                <w:rFonts w:ascii="Arial" w:cs="Arial" w:eastAsia="Arial" w:hAnsi="Arial"/>
                <w:sz w:val="14"/>
                <w:szCs w:val="14"/>
                <w:color w:val="auto"/>
                <w:w w:val="91"/>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5"/>
          </w:tcPr>
          <w:p>
            <w:pPr>
              <w:jc w:val="right"/>
              <w:ind w:right="200"/>
              <w:spacing w:after="0"/>
              <w:rPr>
                <w:sz w:val="20"/>
                <w:szCs w:val="20"/>
                <w:color w:val="auto"/>
              </w:rPr>
            </w:pPr>
            <w:r>
              <w:rPr>
                <w:rFonts w:ascii="Arial" w:cs="Arial" w:eastAsia="Arial" w:hAnsi="Arial"/>
                <w:sz w:val="14"/>
                <w:szCs w:val="14"/>
                <w:color w:val="auto"/>
                <w:w w:val="95"/>
              </w:rPr>
              <w:t>Nine Months Ended</w:t>
            </w:r>
          </w:p>
        </w:tc>
      </w:tr>
      <w:tr>
        <w:trPr>
          <w:trHeight w:val="167"/>
        </w:trPr>
        <w:tc>
          <w:tcPr>
            <w:tcW w:w="5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280"/>
              <w:spacing w:after="0"/>
              <w:rPr>
                <w:sz w:val="20"/>
                <w:szCs w:val="20"/>
                <w:color w:val="auto"/>
              </w:rPr>
            </w:pPr>
            <w:r>
              <w:rPr>
                <w:rFonts w:ascii="Arial" w:cs="Arial" w:eastAsia="Arial" w:hAnsi="Arial"/>
                <w:sz w:val="14"/>
                <w:szCs w:val="14"/>
                <w:color w:val="auto"/>
                <w:w w:val="91"/>
              </w:rPr>
              <w:t>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5"/>
          </w:tcPr>
          <w:p>
            <w:pPr>
              <w:jc w:val="right"/>
              <w:ind w:right="380"/>
              <w:spacing w:after="0"/>
              <w:rPr>
                <w:sz w:val="20"/>
                <w:szCs w:val="20"/>
                <w:color w:val="auto"/>
              </w:rPr>
            </w:pPr>
            <w:r>
              <w:rPr>
                <w:rFonts w:ascii="Arial" w:cs="Arial" w:eastAsia="Arial" w:hAnsi="Arial"/>
                <w:sz w:val="14"/>
                <w:szCs w:val="14"/>
                <w:color w:val="auto"/>
              </w:rPr>
              <w:t>September 30,</w:t>
            </w:r>
          </w:p>
        </w:tc>
      </w:tr>
      <w:tr>
        <w:trPr>
          <w:trHeight w:val="142"/>
        </w:trPr>
        <w:tc>
          <w:tcPr>
            <w:tcW w:w="576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w w:val="83"/>
              </w:rPr>
              <w:t>2014</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2013</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w w:val="89"/>
              </w:rPr>
              <w:t>2014</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Product development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779</w:t>
            </w:r>
          </w:p>
        </w:tc>
      </w:tr>
      <w:tr>
        <w:trPr>
          <w:trHeight w:val="27"/>
        </w:trPr>
        <w:tc>
          <w:tcPr>
            <w:tcW w:w="5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 based compensation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1,222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1,088</w:t>
            </w:r>
          </w:p>
        </w:tc>
      </w:tr>
      <w:tr>
        <w:trPr>
          <w:trHeight w:val="20"/>
        </w:trPr>
        <w:tc>
          <w:tcPr>
            <w:tcW w:w="5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12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Basic earnings per share is computed by dividing the net income available to common shareholders for the period by the weighted-average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restricted share units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was approximately 41,000 and 6,000 for the three months ended September 30, 2014 and 2013, respectively, and approximately 93,000 and 92,000 for the nine months ended September 30, 2014 and 2013, respectively.</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and nine months ended September 30, 2014 and 2013 (in thousands, except per share data):</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center"/>
              <w:ind w:right="560"/>
              <w:spacing w:after="0"/>
              <w:rPr>
                <w:sz w:val="20"/>
                <w:szCs w:val="20"/>
                <w:color w:val="auto"/>
              </w:rPr>
            </w:pPr>
            <w:r>
              <w:rPr>
                <w:rFonts w:ascii="Arial" w:cs="Arial" w:eastAsia="Arial" w:hAnsi="Arial"/>
                <w:sz w:val="14"/>
                <w:szCs w:val="14"/>
                <w:color w:val="auto"/>
                <w:w w:val="91"/>
              </w:rPr>
              <w:t>Three Months Ended</w:t>
            </w:r>
          </w:p>
        </w:tc>
        <w:tc>
          <w:tcPr>
            <w:tcW w:w="100" w:type="dxa"/>
            <w:vAlign w:val="bottom"/>
          </w:tcPr>
          <w:p>
            <w:pPr>
              <w:spacing w:after="0"/>
              <w:rPr>
                <w:sz w:val="14"/>
                <w:szCs w:val="14"/>
                <w:color w:val="auto"/>
              </w:rPr>
            </w:pPr>
          </w:p>
        </w:tc>
        <w:tc>
          <w:tcPr>
            <w:tcW w:w="1660" w:type="dxa"/>
            <w:vAlign w:val="bottom"/>
            <w:gridSpan w:val="6"/>
          </w:tcPr>
          <w:p>
            <w:pPr>
              <w:jc w:val="right"/>
              <w:ind w:right="3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4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center"/>
              <w:ind w:right="560"/>
              <w:spacing w:after="0"/>
              <w:rPr>
                <w:sz w:val="20"/>
                <w:szCs w:val="20"/>
                <w:color w:val="auto"/>
              </w:rPr>
            </w:pPr>
            <w:r>
              <w:rPr>
                <w:rFonts w:ascii="Arial" w:cs="Arial" w:eastAsia="Arial" w:hAnsi="Arial"/>
                <w:sz w:val="14"/>
                <w:szCs w:val="14"/>
                <w:color w:val="auto"/>
                <w:w w:val="91"/>
              </w:rPr>
              <w:t>September 30,</w:t>
            </w:r>
          </w:p>
        </w:tc>
        <w:tc>
          <w:tcPr>
            <w:tcW w:w="100" w:type="dxa"/>
            <w:vAlign w:val="bottom"/>
          </w:tcPr>
          <w:p>
            <w:pPr>
              <w:spacing w:after="0"/>
              <w:rPr>
                <w:sz w:val="14"/>
                <w:szCs w:val="14"/>
                <w:color w:val="auto"/>
              </w:rPr>
            </w:pPr>
          </w:p>
        </w:tc>
        <w:tc>
          <w:tcPr>
            <w:tcW w:w="1660" w:type="dxa"/>
            <w:vAlign w:val="bottom"/>
            <w:gridSpan w:val="6"/>
          </w:tcPr>
          <w:p>
            <w:pPr>
              <w:jc w:val="right"/>
              <w:ind w:right="50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rPr>
              <w:t>2014</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2013</w:t>
            </w: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2014</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3,436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2,296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7,747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6,658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720"/>
              <w:spacing w:after="0"/>
              <w:rPr>
                <w:sz w:val="20"/>
                <w:szCs w:val="20"/>
                <w:color w:val="auto"/>
              </w:rPr>
            </w:pPr>
            <w:r>
              <w:rPr>
                <w:rFonts w:ascii="Arial" w:cs="Arial" w:eastAsia="Arial" w:hAnsi="Arial"/>
                <w:sz w:val="18"/>
                <w:szCs w:val="18"/>
                <w:color w:val="auto"/>
              </w:rPr>
              <w:t>Weighted-average shares outstanding</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27,605</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27,085</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27,542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26,716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Effect of dilutive shares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23"/>
        </w:trPr>
        <w:tc>
          <w:tcPr>
            <w:tcW w:w="4320" w:type="dxa"/>
            <w:vAlign w:val="bottom"/>
          </w:tcPr>
          <w:p>
            <w:pPr>
              <w:ind w:left="720"/>
              <w:spacing w:after="0"/>
              <w:rPr>
                <w:sz w:val="20"/>
                <w:szCs w:val="20"/>
                <w:color w:val="auto"/>
              </w:rPr>
            </w:pPr>
            <w:r>
              <w:rPr>
                <w:rFonts w:ascii="Arial" w:cs="Arial" w:eastAsia="Arial" w:hAnsi="Arial"/>
                <w:sz w:val="18"/>
                <w:szCs w:val="18"/>
                <w:color w:val="auto"/>
              </w:rPr>
              <w:t>Weighted-average diluted shares</w:t>
            </w:r>
          </w:p>
        </w:tc>
        <w:tc>
          <w:tcPr>
            <w:tcW w:w="23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28,047</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27,735</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27,999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share</w:t>
            </w: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300" w:type="dxa"/>
            <w:vAlign w:val="bottom"/>
            <w:vMerge w:val="restart"/>
          </w:tcPr>
          <w:p>
            <w:pPr>
              <w:jc w:val="right"/>
              <w:ind w:right="1230"/>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2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September 30, 2014 and December 31, 2013, the fair value of marketable securities, which were all classified as available for sale, included the following (in thousands):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color w:val="auto"/>
              </w:rPr>
              <w:t>September 30, 2014</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120" w:type="dxa"/>
            <w:vAlign w:val="bottom"/>
            <w:gridSpan w:val="3"/>
          </w:tcPr>
          <w:p>
            <w:pPr>
              <w:jc w:val="center"/>
              <w:ind w:right="520"/>
              <w:spacing w:after="0" w:line="123" w:lineRule="exact"/>
              <w:rPr>
                <w:sz w:val="20"/>
                <w:szCs w:val="20"/>
                <w:color w:val="auto"/>
              </w:rPr>
            </w:pPr>
            <w:r>
              <w:rPr>
                <w:rFonts w:ascii="Arial" w:cs="Arial" w:eastAsia="Arial" w:hAnsi="Arial"/>
                <w:sz w:val="14"/>
                <w:szCs w:val="14"/>
                <w:color w:val="auto"/>
                <w:w w:val="95"/>
              </w:rPr>
              <w:t>Adjusted</w:t>
            </w:r>
          </w:p>
        </w:tc>
        <w:tc>
          <w:tcPr>
            <w:tcW w:w="118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94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spacing w:after="0" w:line="123" w:lineRule="exact"/>
              <w:rPr>
                <w:sz w:val="20"/>
                <w:szCs w:val="20"/>
                <w:color w:val="auto"/>
              </w:rPr>
            </w:pPr>
            <w:r>
              <w:rPr>
                <w:rFonts w:ascii="Arial" w:cs="Arial" w:eastAsia="Arial" w:hAnsi="Arial"/>
                <w:sz w:val="14"/>
                <w:szCs w:val="14"/>
                <w:color w:val="auto"/>
                <w:w w:val="91"/>
              </w:rPr>
              <w:t>Fair</w:t>
            </w:r>
          </w:p>
        </w:tc>
        <w:tc>
          <w:tcPr>
            <w:tcW w:w="1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color w:val="auto"/>
                <w:w w:val="90"/>
              </w:rPr>
              <w:t>Cost</w:t>
            </w:r>
          </w:p>
        </w:tc>
        <w:tc>
          <w:tcPr>
            <w:tcW w:w="12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Gains</w:t>
            </w: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Losses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Value</w:t>
            </w:r>
          </w:p>
        </w:tc>
      </w:tr>
      <w:tr>
        <w:trPr>
          <w:trHeight w:val="196"/>
        </w:trPr>
        <w:tc>
          <w:tcPr>
            <w:tcW w:w="20" w:type="dxa"/>
            <w:vAlign w:val="bottom"/>
          </w:tcPr>
          <w:p>
            <w:pPr>
              <w:spacing w:after="0"/>
              <w:rPr>
                <w:sz w:val="17"/>
                <w:szCs w:val="17"/>
                <w:color w:val="auto"/>
              </w:rPr>
            </w:pPr>
          </w:p>
        </w:tc>
        <w:tc>
          <w:tcPr>
            <w:tcW w:w="6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Certificates of deposit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6,271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6,271</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45,245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45,224</w:t>
            </w:r>
          </w:p>
        </w:tc>
      </w:tr>
      <w:tr>
        <w:trPr>
          <w:trHeight w:val="230"/>
        </w:trPr>
        <w:tc>
          <w:tcPr>
            <w:tcW w:w="20" w:type="dxa"/>
            <w:vAlign w:val="bottom"/>
          </w:tcPr>
          <w:p>
            <w:pPr>
              <w:spacing w:after="0"/>
              <w:rPr>
                <w:sz w:val="20"/>
                <w:szCs w:val="20"/>
                <w:color w:val="auto"/>
              </w:rPr>
            </w:pPr>
          </w:p>
        </w:tc>
        <w:tc>
          <w:tcPr>
            <w:tcW w:w="6300" w:type="dxa"/>
            <w:vAlign w:val="bottom"/>
          </w:tcPr>
          <w:p>
            <w:pPr>
              <w:ind w:left="700"/>
              <w:spacing w:after="0"/>
              <w:rPr>
                <w:sz w:val="20"/>
                <w:szCs w:val="20"/>
                <w:color w:val="auto"/>
              </w:rPr>
            </w:pPr>
            <w:r>
              <w:rPr>
                <w:rFonts w:ascii="Arial" w:cs="Arial" w:eastAsia="Arial" w:hAnsi="Arial"/>
                <w:sz w:val="18"/>
                <w:szCs w:val="18"/>
                <w:color w:val="auto"/>
              </w:rPr>
              <w:t>Subtotal</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51,516</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5"/>
                <w:szCs w:val="15"/>
                <w:color w:val="auto"/>
                <w:w w:val="71"/>
              </w:rPr>
              <w:t>2</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7"/>
                <w:szCs w:val="17"/>
                <w:color w:val="auto"/>
                <w:w w:val="72"/>
              </w:rPr>
              <w:t>(23)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51,495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51,516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51,495</w:t>
            </w: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color w:val="auto"/>
              </w:rPr>
              <w:t>December 31, 2013</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120" w:type="dxa"/>
            <w:vAlign w:val="bottom"/>
            <w:gridSpan w:val="3"/>
          </w:tcPr>
          <w:p>
            <w:pPr>
              <w:jc w:val="center"/>
              <w:ind w:right="520"/>
              <w:spacing w:after="0" w:line="123" w:lineRule="exact"/>
              <w:rPr>
                <w:sz w:val="20"/>
                <w:szCs w:val="20"/>
                <w:color w:val="auto"/>
              </w:rPr>
            </w:pPr>
            <w:r>
              <w:rPr>
                <w:rFonts w:ascii="Arial" w:cs="Arial" w:eastAsia="Arial" w:hAnsi="Arial"/>
                <w:sz w:val="14"/>
                <w:szCs w:val="14"/>
                <w:color w:val="auto"/>
                <w:w w:val="95"/>
              </w:rPr>
              <w:t>Adjusted</w:t>
            </w:r>
          </w:p>
        </w:tc>
        <w:tc>
          <w:tcPr>
            <w:tcW w:w="118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94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spacing w:after="0" w:line="123" w:lineRule="exact"/>
              <w:rPr>
                <w:sz w:val="20"/>
                <w:szCs w:val="20"/>
                <w:color w:val="auto"/>
              </w:rPr>
            </w:pPr>
            <w:r>
              <w:rPr>
                <w:rFonts w:ascii="Arial" w:cs="Arial" w:eastAsia="Arial" w:hAnsi="Arial"/>
                <w:sz w:val="14"/>
                <w:szCs w:val="14"/>
                <w:color w:val="auto"/>
                <w:w w:val="91"/>
              </w:rPr>
              <w:t>Fair</w:t>
            </w:r>
          </w:p>
        </w:tc>
        <w:tc>
          <w:tcPr>
            <w:tcW w:w="1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color w:val="auto"/>
                <w:w w:val="90"/>
              </w:rPr>
              <w:t>Cost</w:t>
            </w:r>
          </w:p>
        </w:tc>
        <w:tc>
          <w:tcPr>
            <w:tcW w:w="12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Gains</w:t>
            </w: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Losses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Value</w:t>
            </w:r>
          </w:p>
        </w:tc>
      </w:tr>
      <w:tr>
        <w:trPr>
          <w:trHeight w:val="196"/>
        </w:trPr>
        <w:tc>
          <w:tcPr>
            <w:tcW w:w="20" w:type="dxa"/>
            <w:vAlign w:val="bottom"/>
          </w:tcPr>
          <w:p>
            <w:pPr>
              <w:spacing w:after="0"/>
              <w:rPr>
                <w:sz w:val="17"/>
                <w:szCs w:val="17"/>
                <w:color w:val="auto"/>
              </w:rPr>
            </w:pPr>
          </w:p>
        </w:tc>
        <w:tc>
          <w:tcPr>
            <w:tcW w:w="6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Certificates of deposit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2,260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2,260</w:t>
            </w: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46,430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46,399</w:t>
            </w:r>
          </w:p>
        </w:tc>
      </w:tr>
      <w:tr>
        <w:trPr>
          <w:trHeight w:val="230"/>
        </w:trPr>
        <w:tc>
          <w:tcPr>
            <w:tcW w:w="20" w:type="dxa"/>
            <w:vAlign w:val="bottom"/>
          </w:tcPr>
          <w:p>
            <w:pPr>
              <w:spacing w:after="0"/>
              <w:rPr>
                <w:sz w:val="20"/>
                <w:szCs w:val="20"/>
                <w:color w:val="auto"/>
              </w:rPr>
            </w:pPr>
          </w:p>
        </w:tc>
        <w:tc>
          <w:tcPr>
            <w:tcW w:w="6300" w:type="dxa"/>
            <w:vAlign w:val="bottom"/>
          </w:tcPr>
          <w:p>
            <w:pPr>
              <w:ind w:left="700"/>
              <w:spacing w:after="0"/>
              <w:rPr>
                <w:sz w:val="20"/>
                <w:szCs w:val="20"/>
                <w:color w:val="auto"/>
              </w:rPr>
            </w:pPr>
            <w:r>
              <w:rPr>
                <w:rFonts w:ascii="Arial" w:cs="Arial" w:eastAsia="Arial" w:hAnsi="Arial"/>
                <w:sz w:val="18"/>
                <w:szCs w:val="18"/>
                <w:color w:val="auto"/>
              </w:rPr>
              <w:t>Subtotal</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48,690</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7"/>
                <w:szCs w:val="17"/>
                <w:color w:val="auto"/>
                <w:w w:val="72"/>
              </w:rPr>
              <w:t>(31)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48,659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48,690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48,659</w:t>
            </w: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carrying amounts reported in the condensed consolidated balance sheet approximate the fair value based on quoted market prices or alternative pricing sources and models utilizing market observable inputs. As of September 30, 2014, the Company does not consider any of its marketable securities to be other than temporarily impaired. During the nine months ended September 30, 2014 and 2013, the Company did not reclassify any material items out of accumulated other comprehensive income to net income. All investments in marketable securities are classified as a current asset on the balance sheet because the underlying securities mature within one year from the balance sheet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w:t>
      </w:r>
    </w:p>
    <w:p>
      <w:pPr>
        <w:spacing w:after="0" w:line="121"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On March 3, 2014, the Company acquired all of the stock of Health Care Compliance Strategies, Inc. (HCCS), a Jericho, New York based company that specializes in healthcare compliance solutions and services. The Company acquired HCCS to further advance its suite of workforce development solutions, including its offering of compliance solutions. The consideration paid for HCCS consisted of approximately $12.8 million in cash (taking into account a working capital adjustment) and 81,614 shares of our common stock. The Company may make additional payments of up to $750,000, contingent upon the achievement of certain performance milestones within one year post-closing. The Company incurred approximately $515,000 in transaction costs associated with the acquisition, of which $365,000 were incurred during the nine months ended September 30, 2014 and $150,000 were incurred during the year ended December 31, 2013. The transaction costs were recorded in other general and administrative expenses in the condensed consolidated statement of income. In allocating the purchase price, the Company has preliminarily recorded approximately $6.9 million of goodwill, $8.4 million of identifiable intangible assets, $2.4 million of tangible assets, and $2.1 million of liabilities. The goodwill balance is primarily attributed to assembled workforce, additional market opportunities of HCCS’s compliance solutions, and expected synergies from integrating HCCS’s products into our platform. The goodwill balance is deductible for U.S. income tax purposes. The allocation of purchase price is preliminary and may be subject to change within the measurement period of one year from the acquisition date. The primary area of the preliminary purchase price allocation that is not finalized includes goodwill associated with final working capital adjustments. The net tangible assets include deferred revenue, which was adjusted down from a book value at the acquisition date of $3.2 million to an estimated fair value of $1.7 million. The $1.5 million write-down of deferred revenue will result in lower revenues than would have otherwise been recognized for such services. The results of operations for HCCS have been included in the Company’s condensed consolidated financial statements from the date of acquisition, and are also included in the HealthStream Workforce Development Solutions segment.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 (continued)</w:t>
      </w:r>
    </w:p>
    <w:p>
      <w:pPr>
        <w:spacing w:after="0" w:line="16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During the second quarter of 2014, the Company determined the presentation of contingent consideration payments, or earn-outs, in connection with business combinations should be classified as a financing activity within the statement of cash flows. The Company previously classified such payments as an operating activity within the statement of cash flows. The Company has adjusted the statement of cash flows for the nine-month period ended September 30, 2013 and will adjust the statement of cash flows for the year ended December 31, 2013 when those financial statements are presented comparatively for the corresponding periods in 2014. The Company considers the adjustments to all aforementioned periods to be immaterial corrections of errors.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effect of the immaterial adjustments on the consolidated statement of cash flows for the respective periods listed below is as follows (in thousands):</w:t>
      </w:r>
    </w:p>
    <w:p>
      <w:pPr>
        <w:spacing w:after="0" w:line="24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Previously</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Reported</w:t>
            </w:r>
          </w:p>
        </w:tc>
        <w:tc>
          <w:tcPr>
            <w:tcW w:w="96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2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w w:val="95"/>
              </w:rPr>
              <w:t>Adjusted</w:t>
            </w: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 three months ended March 31, 2013</w:t>
            </w:r>
          </w:p>
        </w:tc>
        <w:tc>
          <w:tcPr>
            <w:tcW w:w="4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3,855</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cash provided by financing activities, three months ended March 31, 2013</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742</w:t>
            </w:r>
          </w:p>
        </w:tc>
        <w:tc>
          <w:tcPr>
            <w:tcW w:w="2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697</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six months ended June 30, 2013</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11,041</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11,359</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cash provided by financing activities, six months ended June 30, 2013</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1,524</w:t>
            </w:r>
          </w:p>
        </w:tc>
        <w:tc>
          <w:tcPr>
            <w:tcW w:w="2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(318)</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1,206</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w w:val="95"/>
              </w:rPr>
              <w:t>Net cash provided by operating activities, nine months ended September 30, 2013</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22,854</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23,211</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w w:val="96"/>
              </w:rPr>
              <w:t>Net cash provided by financing activities, nine months ended September 30, 2013</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2,827</w:t>
            </w:r>
          </w:p>
        </w:tc>
        <w:tc>
          <w:tcPr>
            <w:tcW w:w="2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(357)</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2,470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year ended December 31, 2013</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26,283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27,054</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cash provided by financing activities, year ended December 31, 2013</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6,876</w:t>
            </w:r>
          </w:p>
        </w:tc>
        <w:tc>
          <w:tcPr>
            <w:tcW w:w="2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(771)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6,105</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three months ended March 31, 2014</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9,189</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9,194</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Net cash provided by financing activities, three months ended March 31, 2014</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292</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primarily provides services to healthcare organizations and other members within the healthcare industry. The Company’s services are primarily focused on the delivery of workforce development products and services (HealthStream Workforce Development Solutions), as well as survey and research services (HealthStream Research/Patient Experience Solutions). The accounting policies of the segments are the same as those described in the summary of significant accounting policies in the Company’s Annual Report on Form 10-K for the year ended December 31, 2013.</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as of and for the three and nine months ended September 30, 2014 and 2013 (in thousands).</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tcPr>
          <w:p>
            <w:pPr>
              <w:jc w:val="center"/>
              <w:ind w:right="500"/>
              <w:spacing w:after="0"/>
              <w:rPr>
                <w:sz w:val="20"/>
                <w:szCs w:val="20"/>
                <w:color w:val="auto"/>
              </w:rPr>
            </w:pPr>
            <w:r>
              <w:rPr>
                <w:rFonts w:ascii="Arial" w:cs="Arial" w:eastAsia="Arial" w:hAnsi="Arial"/>
                <w:sz w:val="14"/>
                <w:szCs w:val="14"/>
                <w:color w:val="auto"/>
                <w:w w:val="93"/>
              </w:rPr>
              <w:t>Three Months Ended</w:t>
            </w:r>
          </w:p>
        </w:tc>
        <w:tc>
          <w:tcPr>
            <w:tcW w:w="80" w:type="dxa"/>
            <w:vAlign w:val="bottom"/>
          </w:tcPr>
          <w:p>
            <w:pPr>
              <w:spacing w:after="0"/>
              <w:rPr>
                <w:sz w:val="14"/>
                <w:szCs w:val="14"/>
                <w:color w:val="auto"/>
              </w:rPr>
            </w:pP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color w:val="auto"/>
                <w:w w:val="94"/>
              </w:rPr>
              <w:t>Nine Months Ended</w:t>
            </w: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tcPr>
          <w:p>
            <w:pPr>
              <w:jc w:val="center"/>
              <w:ind w:right="500"/>
              <w:spacing w:after="0"/>
              <w:rPr>
                <w:sz w:val="20"/>
                <w:szCs w:val="20"/>
                <w:color w:val="auto"/>
              </w:rPr>
            </w:pPr>
            <w:r>
              <w:rPr>
                <w:rFonts w:ascii="Arial" w:cs="Arial" w:eastAsia="Arial" w:hAnsi="Arial"/>
                <w:sz w:val="14"/>
                <w:szCs w:val="14"/>
                <w:color w:val="auto"/>
                <w:w w:val="89"/>
              </w:rPr>
              <w:t>September 30,</w:t>
            </w:r>
          </w:p>
        </w:tc>
        <w:tc>
          <w:tcPr>
            <w:tcW w:w="80" w:type="dxa"/>
            <w:vAlign w:val="bottom"/>
          </w:tcPr>
          <w:p>
            <w:pPr>
              <w:spacing w:after="0"/>
              <w:rPr>
                <w:sz w:val="14"/>
                <w:szCs w:val="14"/>
                <w:color w:val="auto"/>
              </w:rPr>
            </w:pP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color w:val="auto"/>
                <w:w w:val="91"/>
              </w:rPr>
              <w:t>September 30,</w:t>
            </w:r>
          </w:p>
        </w:tc>
        <w:tc>
          <w:tcPr>
            <w:tcW w:w="0" w:type="dxa"/>
            <w:vAlign w:val="bottom"/>
          </w:tcPr>
          <w:p>
            <w:pPr>
              <w:spacing w:after="0"/>
              <w:rPr>
                <w:sz w:val="1"/>
                <w:szCs w:val="1"/>
                <w:color w:val="auto"/>
              </w:rPr>
            </w:pPr>
          </w:p>
        </w:tc>
      </w:tr>
      <w:tr>
        <w:trPr>
          <w:trHeight w:val="142"/>
        </w:trPr>
        <w:tc>
          <w:tcPr>
            <w:tcW w:w="404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2013</w:t>
            </w:r>
          </w:p>
        </w:tc>
        <w:tc>
          <w:tcPr>
            <w:tcW w:w="4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Workforce Development</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36,288</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26,574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101,632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74,841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Research/Patient Experience</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7,085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23,719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20,383</w:t>
            </w:r>
          </w:p>
        </w:tc>
        <w:tc>
          <w:tcPr>
            <w:tcW w:w="0" w:type="dxa"/>
            <w:vAlign w:val="bottom"/>
          </w:tcPr>
          <w:p>
            <w:pPr>
              <w:spacing w:after="0"/>
              <w:rPr>
                <w:sz w:val="1"/>
                <w:szCs w:val="1"/>
                <w:color w:val="auto"/>
              </w:rPr>
            </w:pPr>
          </w:p>
        </w:tc>
      </w:tr>
      <w:tr>
        <w:trPr>
          <w:trHeight w:val="223"/>
        </w:trPr>
        <w:tc>
          <w:tcPr>
            <w:tcW w:w="4040" w:type="dxa"/>
            <w:vAlign w:val="bottom"/>
          </w:tcPr>
          <w:p>
            <w:pPr>
              <w:ind w:left="720"/>
              <w:spacing w:after="0"/>
              <w:rPr>
                <w:sz w:val="20"/>
                <w:szCs w:val="20"/>
                <w:color w:val="auto"/>
              </w:rPr>
            </w:pPr>
            <w:r>
              <w:rPr>
                <w:rFonts w:ascii="Arial" w:cs="Arial" w:eastAsia="Arial" w:hAnsi="Arial"/>
                <w:sz w:val="18"/>
                <w:szCs w:val="18"/>
                <w:color w:val="auto"/>
              </w:rPr>
              <w:t>Total net revenue</w:t>
            </w:r>
          </w:p>
        </w:tc>
        <w:tc>
          <w:tcPr>
            <w:tcW w:w="2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44,525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33,659</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125,351</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0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7"/>
          </w:tcPr>
          <w:p>
            <w:pPr>
              <w:jc w:val="center"/>
              <w:ind w:right="500"/>
              <w:spacing w:after="0"/>
              <w:rPr>
                <w:sz w:val="20"/>
                <w:szCs w:val="20"/>
                <w:color w:val="auto"/>
              </w:rPr>
            </w:pPr>
            <w:r>
              <w:rPr>
                <w:rFonts w:ascii="Arial" w:cs="Arial" w:eastAsia="Arial" w:hAnsi="Arial"/>
                <w:sz w:val="14"/>
                <w:szCs w:val="14"/>
                <w:color w:val="auto"/>
                <w:w w:val="93"/>
              </w:rPr>
              <w:t>Three Months Ended</w:t>
            </w:r>
          </w:p>
        </w:tc>
        <w:tc>
          <w:tcPr>
            <w:tcW w:w="80" w:type="dxa"/>
            <w:vAlign w:val="bottom"/>
          </w:tcPr>
          <w:p>
            <w:pPr>
              <w:spacing w:after="0"/>
              <w:rPr>
                <w:sz w:val="24"/>
                <w:szCs w:val="24"/>
                <w:color w:val="auto"/>
              </w:rPr>
            </w:pP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color w:val="auto"/>
                <w:w w:val="94"/>
              </w:rPr>
              <w:t>Nine Months Ended</w:t>
            </w: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tcPr>
          <w:p>
            <w:pPr>
              <w:jc w:val="center"/>
              <w:ind w:right="500"/>
              <w:spacing w:after="0"/>
              <w:rPr>
                <w:sz w:val="20"/>
                <w:szCs w:val="20"/>
                <w:color w:val="auto"/>
              </w:rPr>
            </w:pPr>
            <w:r>
              <w:rPr>
                <w:rFonts w:ascii="Arial" w:cs="Arial" w:eastAsia="Arial" w:hAnsi="Arial"/>
                <w:sz w:val="14"/>
                <w:szCs w:val="14"/>
                <w:color w:val="auto"/>
                <w:w w:val="89"/>
              </w:rPr>
              <w:t>September 30,</w:t>
            </w:r>
          </w:p>
        </w:tc>
        <w:tc>
          <w:tcPr>
            <w:tcW w:w="80" w:type="dxa"/>
            <w:vAlign w:val="bottom"/>
          </w:tcPr>
          <w:p>
            <w:pPr>
              <w:spacing w:after="0"/>
              <w:rPr>
                <w:sz w:val="14"/>
                <w:szCs w:val="14"/>
                <w:color w:val="auto"/>
              </w:rPr>
            </w:pP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color w:val="auto"/>
                <w:w w:val="91"/>
              </w:rPr>
              <w:t>September 30,</w:t>
            </w:r>
          </w:p>
        </w:tc>
        <w:tc>
          <w:tcPr>
            <w:tcW w:w="0" w:type="dxa"/>
            <w:vAlign w:val="bottom"/>
          </w:tcPr>
          <w:p>
            <w:pPr>
              <w:spacing w:after="0"/>
              <w:rPr>
                <w:sz w:val="1"/>
                <w:szCs w:val="1"/>
                <w:color w:val="auto"/>
              </w:rPr>
            </w:pPr>
          </w:p>
        </w:tc>
      </w:tr>
      <w:tr>
        <w:trPr>
          <w:trHeight w:val="142"/>
        </w:trPr>
        <w:tc>
          <w:tcPr>
            <w:tcW w:w="404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2013</w:t>
            </w:r>
          </w:p>
        </w:tc>
        <w:tc>
          <w:tcPr>
            <w:tcW w:w="4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from operations</w:t>
            </w:r>
          </w:p>
        </w:tc>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Workforce Development</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9,811</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7,355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26,555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21,685</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Research/Patient Experience</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Unallocated</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(5,355)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(4,231)</w:t>
            </w: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(15,016)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(12,492)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income from operations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640" w:type="dxa"/>
            <w:vAlign w:val="bottom"/>
            <w:vMerge w:val="restart"/>
          </w:tcPr>
          <w:p>
            <w:pPr>
              <w:jc w:val="right"/>
              <w:ind w:right="1290"/>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 (continued)</w:t>
      </w:r>
    </w:p>
    <w:p>
      <w:pPr>
        <w:spacing w:after="0" w:line="157"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3920" w:type="dxa"/>
            <w:vAlign w:val="bottom"/>
          </w:tcPr>
          <w:p>
            <w:pPr>
              <w:spacing w:after="0"/>
              <w:rPr>
                <w:sz w:val="14"/>
                <w:szCs w:val="14"/>
                <w:color w:val="auto"/>
              </w:rPr>
            </w:pPr>
          </w:p>
        </w:tc>
        <w:tc>
          <w:tcPr>
            <w:tcW w:w="2680" w:type="dxa"/>
            <w:vAlign w:val="bottom"/>
            <w:gridSpan w:val="3"/>
          </w:tcPr>
          <w:p>
            <w:pPr>
              <w:ind w:left="1520"/>
              <w:spacing w:after="0"/>
              <w:rPr>
                <w:sz w:val="20"/>
                <w:szCs w:val="20"/>
                <w:color w:val="auto"/>
              </w:rPr>
            </w:pPr>
            <w:r>
              <w:rPr>
                <w:rFonts w:ascii="Arial" w:cs="Arial" w:eastAsia="Arial" w:hAnsi="Arial"/>
                <w:sz w:val="14"/>
                <w:szCs w:val="14"/>
                <w:color w:val="auto"/>
                <w:w w:val="89"/>
              </w:rPr>
              <w:t>September 30, 2014</w:t>
            </w:r>
          </w:p>
        </w:tc>
        <w:tc>
          <w:tcPr>
            <w:tcW w:w="2080" w:type="dxa"/>
            <w:vAlign w:val="bottom"/>
            <w:gridSpan w:val="4"/>
          </w:tcPr>
          <w:p>
            <w:pPr>
              <w:ind w:left="840"/>
              <w:spacing w:after="0"/>
              <w:rPr>
                <w:sz w:val="20"/>
                <w:szCs w:val="20"/>
                <w:color w:val="auto"/>
              </w:rPr>
            </w:pPr>
            <w:r>
              <w:rPr>
                <w:rFonts w:ascii="Arial" w:cs="Arial" w:eastAsia="Arial" w:hAnsi="Arial"/>
                <w:sz w:val="14"/>
                <w:szCs w:val="14"/>
                <w:color w:val="auto"/>
                <w:w w:val="99"/>
              </w:rPr>
              <w:t>December 31, 2013</w:t>
            </w:r>
          </w:p>
        </w:tc>
      </w:tr>
      <w:tr>
        <w:trPr>
          <w:trHeight w:val="196"/>
        </w:trPr>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Segment assets *</w:t>
            </w:r>
          </w:p>
        </w:tc>
        <w:tc>
          <w:tcPr>
            <w:tcW w:w="1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Workforce Development</w:t>
            </w:r>
          </w:p>
        </w:tc>
        <w:tc>
          <w:tcPr>
            <w:tcW w:w="184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82,795</w:t>
            </w: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60,013</w:t>
            </w: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Research/Patient Experience</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34,478</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34,727</w:t>
            </w:r>
          </w:p>
        </w:tc>
        <w:tc>
          <w:tcPr>
            <w:tcW w:w="100" w:type="dxa"/>
            <w:vAlign w:val="bottom"/>
            <w:shd w:val="clear" w:color="auto" w:fill="CCEEFF"/>
          </w:tcPr>
          <w:p>
            <w:pPr>
              <w:spacing w:after="0"/>
              <w:rPr>
                <w:sz w:val="18"/>
                <w:szCs w:val="18"/>
                <w:color w:val="auto"/>
              </w:rPr>
            </w:pPr>
          </w:p>
        </w:tc>
      </w:tr>
      <w:tr>
        <w:trPr>
          <w:trHeight w:val="223"/>
        </w:trPr>
        <w:tc>
          <w:tcPr>
            <w:tcW w:w="3920" w:type="dxa"/>
            <w:vAlign w:val="bottom"/>
          </w:tcPr>
          <w:p>
            <w:pPr>
              <w:ind w:left="360"/>
              <w:spacing w:after="0"/>
              <w:rPr>
                <w:sz w:val="20"/>
                <w:szCs w:val="20"/>
                <w:color w:val="auto"/>
              </w:rPr>
            </w:pPr>
            <w:r>
              <w:rPr>
                <w:rFonts w:ascii="Arial" w:cs="Arial" w:eastAsia="Arial" w:hAnsi="Arial"/>
                <w:sz w:val="18"/>
                <w:szCs w:val="18"/>
                <w:color w:val="auto"/>
              </w:rPr>
              <w:t>Unallocated</w:t>
            </w:r>
          </w:p>
        </w:tc>
        <w:tc>
          <w:tcPr>
            <w:tcW w:w="1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126,060</w:t>
            </w:r>
          </w:p>
        </w:tc>
        <w:tc>
          <w:tcPr>
            <w:tcW w:w="8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117,854</w:t>
            </w:r>
          </w:p>
        </w:tc>
        <w:tc>
          <w:tcPr>
            <w:tcW w:w="100" w:type="dxa"/>
            <w:vAlign w:val="bottom"/>
          </w:tcPr>
          <w:p>
            <w:pPr>
              <w:spacing w:after="0"/>
              <w:rPr>
                <w:sz w:val="19"/>
                <w:szCs w:val="19"/>
                <w:color w:val="auto"/>
              </w:rPr>
            </w:pPr>
          </w:p>
        </w:tc>
      </w:tr>
      <w:tr>
        <w:trPr>
          <w:trHeight w:val="216"/>
        </w:trPr>
        <w:tc>
          <w:tcPr>
            <w:tcW w:w="3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8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243,333</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212,594</w:t>
            </w:r>
          </w:p>
        </w:tc>
        <w:tc>
          <w:tcPr>
            <w:tcW w:w="100" w:type="dxa"/>
            <w:vAlign w:val="bottom"/>
            <w:shd w:val="clear" w:color="auto" w:fill="CCEEFF"/>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20" w:hanging="212"/>
        <w:spacing w:after="0" w:line="286" w:lineRule="auto"/>
        <w:tabs>
          <w:tab w:leader="none" w:pos="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Segment assets include accounts and unbilled receivables,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1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2013, appearing in our Annual Report on Form 10-K that was filed with the Securities and Exchange Commission (“SEC”) on March 4, 2014, (the “2013 Form 10-K”). Statements contained in this Quarterly Report on Form 10-Q that are not historical fact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16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and the information set forth under the caption “Item 1A. Risk Factors” in our 2013 Form 10-K and the information regarding forward-looking statements in our earnings releases,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expect.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HealthStream provides workforce development and research/patient experience solutions for healthcare organizations—all designed to assess and develop the people that deliver patient care which, in turn, supports the improvement of business and clinical outcomes. Our workforce development products are used by healthcare organizations to meet a broad range of their training, certification, competency assessment, performance appraisal, and development needs, while our research/patient experience products provide our customers information about patients’ experiences and how to improve them, workforce engagement, physician relations, and community perceptions of their services. HealthStream’s customers include healthcare organizations, pharmaceutical and medical device companies, and other participants in the healthcare industry.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Key financial indicators for the third quarter of 2014 include:</w:t>
      </w:r>
    </w:p>
    <w:p>
      <w:pPr>
        <w:spacing w:after="0" w:line="131"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Revenues of $44.5 million in the third quarter of 2014, up 32% from $33.7 million in the third quarter of 2013</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income of $4.7 million in the third quarter of 2014, up 22% from $3.9 million in the third quarter of 2013</w:t>
      </w:r>
    </w:p>
    <w:p>
      <w:pPr>
        <w:spacing w:after="0" w:line="130" w:lineRule="exact"/>
        <w:rPr>
          <w:rFonts w:ascii="Arial" w:cs="Arial" w:eastAsia="Arial" w:hAnsi="Arial"/>
          <w:sz w:val="18"/>
          <w:szCs w:val="18"/>
          <w:color w:val="auto"/>
        </w:rPr>
      </w:pPr>
    </w:p>
    <w:p>
      <w:pPr>
        <w:ind w:left="440" w:right="220" w:hanging="324"/>
        <w:spacing w:after="0" w:line="27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of $3.4 million in the third quarter of 2014, up 50% from $2.3 million in the third quarter of 2013, and earnings per share (EPS) of $0.12 per share (diluted) in the third quarter of 2014 compared to EPS of $0.08 per share (diluted) in the third quarter of 2013</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15"/>
          <w:szCs w:val="15"/>
          <w:color w:val="auto"/>
        </w:rPr>
        <w:t>(1)</w:t>
      </w:r>
      <w:r>
        <w:rPr>
          <w:rFonts w:ascii="Arial" w:cs="Arial" w:eastAsia="Arial" w:hAnsi="Arial"/>
          <w:sz w:val="18"/>
          <w:szCs w:val="18"/>
          <w:color w:val="auto"/>
        </w:rPr>
        <w:t xml:space="preserve"> of $7.9 million in the third quarter of 2014, up 26% from $6.3 million in the third quarter of 2013</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Annualized revenue per implemented subscriber</w:t>
      </w:r>
      <w:r>
        <w:rPr>
          <w:rFonts w:ascii="Arial" w:cs="Arial" w:eastAsia="Arial" w:hAnsi="Arial"/>
          <w:sz w:val="15"/>
          <w:szCs w:val="15"/>
          <w:color w:val="auto"/>
        </w:rPr>
        <w:t>(2)</w:t>
      </w:r>
      <w:r>
        <w:rPr>
          <w:rFonts w:ascii="Arial" w:cs="Arial" w:eastAsia="Arial" w:hAnsi="Arial"/>
          <w:sz w:val="18"/>
          <w:szCs w:val="18"/>
          <w:color w:val="auto"/>
        </w:rPr>
        <w:t xml:space="preserve"> of $35.91 in the third quarter of 2014, up 16% from $30.95 in the third quarter of 2013</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Adjusted EBITDA is a non-GAAP financial measure. A reconciliation of adjusted EBITDA to net income is included in this report.</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Annualized revenue per implemented subscriber represents the quarter’s revenue for internet-based subscription products, annualized, then divided by the quarter’s average total implemented subscribers.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On March 3, 2014, the Company acquired all of the stock of Health Care Compliance Strategies, Inc. (HCCS), a Jericho, New York based company that specializes in healthcare compliance solutions and services. The Company acquired HCCS to further advance its suite of workforce development solutions, including its offering of compliance solutions. The consideration paid for HCCS consisted of approximately $12.8 million in cash (taking into account a working capital adjustment) and 81,614 shares of our common stock. The Company may make additional payments of up to $750,000, contingent upon the achievement of certain performance milestones within one year post-closing. The Company incurred approximately $515,000 in transaction costs associated with the acquisition, of which $365,000 were incurred during the nine months ended September 30, 2014 and $150,000 were incurred during the year ended December 31, 2013. The transaction costs were recorded in other general and administrative expenses in the condensed consolidated statement of income. In allocating the purchase price, the Company has preliminarily recorded approximately $6.9 million of goodwill, $8.4 million of identifiable intangible assets, $2.4 million of tangible assets, and $2.1 million of liabilities. The goodwill balance is primarily attributed to assembled workforce, additional market opportunities of HCCS’s compliance solutions, and expected synergies from integrating HCCS’s products into our platform. The goodwill balance is deductible for U.S. income tax purposes. The allocation of purchase price is preliminary and may be subject to change within the measurement period of one year from the acquisition date. The primary area of the preliminary purchase price allocation that is not finalized includes goodwill associated with final working capital adjustments. The net tangible assets include deferred revenue, which was adjusted down from a book value at the acquisition date of $3.2 million to an estimated fair value of $1.7 million. The $1.5 million write-down of deferred revenue will result in lower revenues than would have otherwise been recognized for such services. The results of operations for HCCS have been included in the Company’s condensed consolidated financial statements from the date of acquisition, and are also included in the HealthStream Workforce Development Solutions segment.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7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based compensation</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Consolidated Financial Statements in our 2013 Form 10-K, which contains additional information regarding our accounting policies and other disclosures required by US GAAP. There have been no changes in our critical accounting policies and estimates from those reported in our 2013 Form 10-K.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2014 Compared to Three Months Ended September 30, 2013</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$10.9 million, or 32.3%, to $44.5 million for the three months ended September 30, 2014 from $33.6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2013. Revenues for the 2014 period consisted of $36.3 million, or 82% of total revenue, for HealthStream Workforce Development Solutions and $8.2 million, or 18% of total revenue, for HealthStream Research/Patient Experience Solutions. In the 2013 period, revenues consisted of $26.6 million, or 79% of total revenue, for HealthStream Workforce Development Solutions and $7.1 million, or 21% of total revenue, for HealthStream Research/Patient Experience Solutions.</w:t>
      </w:r>
    </w:p>
    <w:p>
      <w:pPr>
        <w:spacing w:after="0" w:line="188"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Revenues for HealthStream Workforce Development Solutions increased approximately $9.7 million, or 36.6%, over the third quarter of 2013. Revenues from our subscription-based workforce development products increased approximately $9.3 million, or 38.2%, over the prior year third quarter due to a higher number of subscribers and more courseware consumption by subscribers. Annualized revenue per implemented subscriber increased by 16.0% to $35.91 per subscriber for the third quarter of 2014 compared to $30.95 per subscriber for the third quarter of 2013. Our implemented subscriber base increased by 19.7% over the prior year third quarter to 3.83 million</w:t>
      </w:r>
    </w:p>
    <w:p>
      <w:pPr>
        <w:sectPr>
          <w:pgSz w:w="11900" w:h="16838" w:orient="portrait"/>
          <w:cols w:equalWidth="0" w:num="1">
            <w:col w:w="11360"/>
          </w:cols>
          <w:pgMar w:left="240" w:top="459" w:right="299" w:bottom="1440" w:gutter="0" w:footer="0" w:header="0"/>
        </w:sectPr>
      </w:pP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60"/>
          </w:cols>
          <w:pgMar w:left="240" w:top="459" w:right="2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implemented subscribers at September 30, 2014 compared to 3.20 million implemented subscribers at September 30, 2013. Additionally, we had a 21.1% increase in total subscribers over the prior year third quarter, with 4.13 million total subscribers at September 30, 2014 compared to 3.41 million total subscribers at September 30, 2013. Total subscribers include those already implemented and those in the process of implementation. Revenues in the third quarter of 2014 were positively influenced by courseware subscriptions associated with, among other products, ICD-10 training. Revenues from ICD-10 training were approximately $7.4 million for the third quarter of 2014, compared to $3.9 million for the third quarter of 2013. Revenues from the HCCS acquisition, consummated on March 3, 2014, were approximately $1.9 million during the third quarter of 2014.</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Revenues for HealthStream Research/Patient Experience Solutions increased approximately $1.2 million, or 16.3%, over the third quarter of 2013. Revenues from Patient Insights™ surveys, our survey research product that generates recurring revenues, increased by $378,000, or 6.7%, over the prior year third quarter. Revenues from other surveys, which are conducted on annual or bi-annual cycles, increased by $156,000 compared to the prior year third quarter. Revenues from the Baptist Leadership Group (BLG) acquisition, consummated on September 9, 2013, were approximately $870,000 during the third quarter of 2014 compared to $252,000 during the third quarter of 2013.</w:t>
      </w:r>
    </w:p>
    <w:p>
      <w:pPr>
        <w:spacing w:after="0" w:line="18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$5.0 million, or 35.6%, to $19.1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2014 from $14.1 million for the three months ended September 30, 2013. Cost of revenues as a percentage of revenues was</w:t>
      </w:r>
    </w:p>
    <w:p>
      <w:pPr>
        <w:ind w:right="20"/>
        <w:spacing w:after="0" w:line="287" w:lineRule="auto"/>
        <w:rPr>
          <w:sz w:val="20"/>
          <w:szCs w:val="20"/>
          <w:color w:val="auto"/>
        </w:rPr>
      </w:pPr>
      <w:r>
        <w:rPr>
          <w:rFonts w:ascii="Arial" w:cs="Arial" w:eastAsia="Arial" w:hAnsi="Arial"/>
          <w:sz w:val="16"/>
          <w:szCs w:val="16"/>
          <w:color w:val="auto"/>
        </w:rPr>
        <w:t>42.9% of revenues for the three months ended September 30, 2014 compared to 41.9% of revenues for the three months ended September 30, 2013. Cost of revenues for HealthStream Workforce Development Solutions increased approximately $3.6 million to $13.8 million and approximated 38.1% and 38.5% of revenues for HealthStream Workforce Development Solutions for the three months ended September 30, 2014 and 2013, respectively. The increase in amount is primarily associated with increased royalties paid by us resulting from growth in courseware subscription revenues and increased personnel costs. Cost of revenues for HealthStream Research/Patient Experience Solutions increased approximately $1.4 million to $5.3 million and approximated 64.0% and 54.4% of revenues for HealthStream Research/Patient Experience Solutions for the three months ended September 30, 2014 and 2013, respectively. The increase in both amount and as a percentage of revenues is primarily the result of increased personnel costs from the BLG acquisition as well as additional costs associated with the growth in patient survey volume over the prior year third quarter.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increased approximately $1.0 million, or 31.2%, to $4.2 million for the three months ended</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September 30, 2014 from $3.2 million for the three months ended September 30, 2013. Product development expenses as a percentage of revenues were 9.5% of revenues for both the three months ended September 30, 2014 and 2013.</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Product development expenses for HealthStream Workforce Development Solutions increased approximately $1.1 million and approximated 10.7% and</w:t>
      </w:r>
    </w:p>
    <w:p>
      <w:pPr>
        <w:spacing w:after="0" w:line="3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10.5% of revenues for HealthStream Workforce Development Solutions for the three months ended September 30, 2014 and 2013, respectively. The increase in both amount and as a percentage of revenues is due to additional personnel expenses associated with new product development initiatives for our subscription-based products. Product development expenses for HealthStream Research/Patient Experience Solutions decreased approximately $103,000 and approximated 3.8% and 5.9% of revenues for HealthStream Research/Patient Experience Solutions for the three months ended September 30, 2014 and 2013, respectively. The decrease in both amount and as a percentage of revenues is due to lower personnel expenses.</w:t>
      </w:r>
    </w:p>
    <w:p>
      <w:pPr>
        <w:spacing w:after="0" w:line="16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$1.7 million, or 28.8%, to $7.6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2014 from $5.9 million for the three months ended September 30, 2013. Sales and marketing expenses were 17.0% and 17.5% of revenues for the three months ended September 30, 2014 and 2013, respectively.</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Sales and marketing expenses for HealthStream Workforce Development Solutions increased approximately $1.5 million and approximated 16.3% and 16.5% of revenues for HealthStream Workforce Development Solutions for the three months ended September 30, 2014 and 2013, respectively. The increase in amount is primarily due to additional personnel and related expenses, increased commissions associated with higher sales performance over the prior year third quarter, and increased marketing spending. Sales and marketing expenses for HealthStream Research/Patient Experience Solutions increased approximately $106,000, and approximated 18.6% and 20.1% of revenues for HealthStream Research/Patient Experience Solutions for the three months ended September 30, 2014 and 2013, respectively. The increase in amount was primarily a result of additional personnel associated with the BLG acquisition.</w:t>
      </w:r>
    </w:p>
    <w:p>
      <w:pPr>
        <w:spacing w:after="0" w:line="165"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i w:val="1"/>
          <w:iCs w:val="1"/>
          <w:color w:val="auto"/>
        </w:rPr>
        <w:t xml:space="preserve">Other General and Administrative Expenses. </w:t>
      </w:r>
      <w:r>
        <w:rPr>
          <w:rFonts w:ascii="Arial" w:cs="Arial" w:eastAsia="Arial" w:hAnsi="Arial"/>
          <w:sz w:val="16"/>
          <w:szCs w:val="16"/>
          <w:color w:val="auto"/>
        </w:rPr>
        <w:t>Other general and administrative expenses increased approximately $1.5 million, or 33.1%, to $6.1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September 30, 2014 from $4.6 million for the three months ended September 30, 2013. Other general and administrative expenses as a percentage of revenues were 13.6% and 13.5% of revenues for the three months ended September 30, 2014 and 2013, respectively.</w:t>
      </w:r>
    </w:p>
    <w:p>
      <w:pPr>
        <w:spacing w:after="0" w:line="14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Other general and administrative expenses for HealthStream Workforce Development Solutions increased approximately $540,000 over the prior year third quarter primarily due to the HCCS acquisition, while other general and administrative expenses for HealthStream Research/Patient Experience Solutions increased approximately $144,000 compared to the prior year third quarter primarily due to the BLG acquisition. The unallocated corporate portion of other general and administrative expenses increased approximately $824,000 over the prior year third quarter, primarily associated with additional personnel, professional fees, business taxes, rent, and other general expenses.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$776,000, or 38.1%, to $2.8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2014 from $2.0 million for the three months ended September 30, 2013. The increase primarily resulted from amortization of capitalized software development, amortization of intangible assets, and depreciation expense associated with capital expenditures, including leasehold improvements to our Nashville, Tennessee office space.</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was approximately $49,000 for the three months ended September 30, 2014 compared to $46,000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2013.</w:t>
      </w:r>
    </w:p>
    <w:p>
      <w:pPr>
        <w:spacing w:after="0" w:line="17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of approximately $1.4 million for the three months ended September 30, 2014</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$1.6 million for the three months ended September 30, 2013. The Company’s effective tax rate was 28.3% for the three months ended September 30, 2014 compared to 41.5% for the three months ended September 30, 2013. The decrease in the effective tax rate resulted primarily from the recognition of approximately $670,000 in tax benefits associated with research and development tax credits during the three months ended September 30, 2014.</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approximately $1.1 million, or 49.7%, to $3.4 million for the three months ended September 30, 2014 from $2.3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September 30, 2013. Earnings per diluted share was $0.12 per share for the three months ended September 30, 2014 compared to $0.08 per diluted share for the three months ended September 30, 2013.</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Adjusted EBITDA (which we define as net income before interest, income taxes, stock based compensation, and depreciation and amortization) increased by 26.2% to approximately $7.9 million for the three months ended September 30, 2014 compared to $6.3 million for the three months ended September 30, 2013. This improvement is consistent with the factors mentioned above. See Reconciliation of Non-GAAP Financial Measures below for our reconciliation of this calculation to measures under US GAAP.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2014 Compared to Nine Months Ended September 30, 2013</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$30.1 million, or 31.6%, to $125.3 million for the nine months ended September 30, 2014 from $95.2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2013. Revenues for the 2014 period consisted of $101.6 million, or 81% of total revenue, for HealthStream Workforce Development Solutions and $23.7 million, or 19% of total revenue, for HealthStream Research/Patient Experience Solutions. In the 2013 period, revenues consisted of $74.8 million, or 79% of total revenue, for HealthStream Workforce Development Solutions and $20.4 million, or 21% of total revenue, for HealthStream Research/Patient Experience Solutions.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Revenues for HealthStream Workforce Development Solutions increased approximately $26.8 million, or 35.8%, over the first nine months of 2013. Revenues from our subscription-based workforce development products increased approximately $26.7 million, or 39.1%, over the prior year period due to a higher number of subscribers and more courseware consumption by subscribers. Revenues in the 2014 period were positively influenced by courseware subscriptions associated with, among other products, ICD-10 training. Revenues from ICD-10 training were approximately $21.2 million during the first nine months of 2014, compared to $8.8 million during the first nine months of 2013. Revenues from the HCCS acquisition were approximately $3.1 million during the first nine months of 2014.</w:t>
      </w:r>
    </w:p>
    <w:p>
      <w:pPr>
        <w:spacing w:after="0" w:line="19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Revenues for HealthStream Research/Patient Experience Solutions increased approximately $3.3 million, or 16.4%, over the first nine months of 2013. Revenues from Patient Insights™ surveys, our survey research product that generates recurring revenues, increased approximately $1.4 million, or 8.3%, over the prior year period. Revenues from other surveys, which are conducted on annual or bi-annual cycles, were comparable to the prior year period. Revenues from the BLG acquisition were approximately $2.2 million during the first nine months of 2014 compared to $252,000 during the first nine months of 2013.</w:t>
      </w:r>
    </w:p>
    <w:p>
      <w:pPr>
        <w:spacing w:after="0" w:line="15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$15.3 million, or 38.7%, to $54.8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2014 from $39.5 million for the nine months ended September 30, 2013. Cost of revenues as a percentage of revenues was</w:t>
      </w:r>
    </w:p>
    <w:p>
      <w:pPr>
        <w:ind w:right="60"/>
        <w:spacing w:after="0" w:line="287" w:lineRule="auto"/>
        <w:rPr>
          <w:sz w:val="20"/>
          <w:szCs w:val="20"/>
          <w:color w:val="auto"/>
        </w:rPr>
      </w:pPr>
      <w:r>
        <w:rPr>
          <w:rFonts w:ascii="Arial" w:cs="Arial" w:eastAsia="Arial" w:hAnsi="Arial"/>
          <w:sz w:val="16"/>
          <w:szCs w:val="16"/>
          <w:color w:val="auto"/>
        </w:rPr>
        <w:t>43.7% of revenues for the nine months ended September 30, 2014 compared to 41.5% of revenues for the nine months ended September 30, 2013. Cost of revenues for HealthStream Workforce Development Solutions increased approximately $11.7 million to $39.7 million and approximated 39.1% and 37.5% of revenues for HealthStream Workforce Development Solutions for the nine months ended September 30, 2014 and 2013, respectively. The increase in both amount and as a percentage of revenues is primarily associated with increased royalties paid by us resulting from growth in courseware subscription revenues and increased personnel costs. Cost of revenues for HealthStream Research/Patient Experience Solutions increased approximately $3.6 million to $15.1 million and approximated 63.6% and 56.1% of revenues for HealthStream Research/Patient Experience Solutions for the nine months ended September 30, 2014 and 2013, respectively. The increase in both amount and as a percentage of revenues is primarily the result of increased personnel costs from the BLG acquisition as well as additional costs associated with the growth in patient survey volume over the prior year period.</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$3.5 million, or 40.2%, to $12.1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2014 from $8.6 million for the nine months ended September 30, 2013. Product development expenses as a percentage of revenues were 9.6% and 9.0% of revenues for the nine months ended September 30, 2014 and 2013, respectively.</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Product development expenses for HealthStream Workforce Development Solutions increased approximately $3.5 million and approximated 10.8% and 10.0% of revenues for HealthStream Workforce Development Solutions for the nine months ended September 30, 2014 and 2013, respectively. The increase in both amount and as a percentage of revenues is due to additional personnel expenses associated with new product development initiatives for our subscription-based products. Product development expenses for HealthStream Research/Patient Experience Solutions decreased approximately $57,000 and approximated 4.4% and 5.4% of revenues for HealthStream Research/Patient Experience Solutions for the nine months ended September 30, 2014 and 2013, respectively.</w:t>
      </w:r>
    </w:p>
    <w:p>
      <w:pPr>
        <w:spacing w:after="0" w:line="19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$5.2 million, or 31.7%, to $21.8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2014 from $16.5 million for the nine months ended September 30, 2013. Sales and marketing expenses were 17.4% of revenues for both the nine months ended September 30, 2014 and 2013.</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Sales and marketing expenses for HealthStream Workforce Development Solutions increased approximately $4.7 million and approximated 16.6% and 16.3% of revenues for HealthStream Workforce Development Solutions for the nine months ended September 30, 2014 and 2013, respectively. The increase in both amount and as a percentage of revenues is primarily due to additional personnel and related expenses, increased commissions associated with higher sales performance over the prior year, and increased marketing spending. Sales and marketing expenses for HealthStream Research/Patient Experience Solutions increased approximately $467,000, and approximated 19.2% and 20.0% of revenues for HealthStream Research/Patient Experience Solutions for the nine months ended September 30, 2014 and 2013, respectively. The increase in amount was a result of additional personnel associated with the BLG acquisition and increased commissions.</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Other General and Administrative Expenses. </w:t>
      </w:r>
      <w:r>
        <w:rPr>
          <w:rFonts w:ascii="Arial" w:cs="Arial" w:eastAsia="Arial" w:hAnsi="Arial"/>
          <w:sz w:val="16"/>
          <w:szCs w:val="16"/>
          <w:color w:val="auto"/>
        </w:rPr>
        <w:t>Other general and administrative expenses increased approximately $3.0 million, or 22.1%, to $16.6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nine months ended September 30, 2014 from $13.6 million for the nine months ended September 30, 2013. Other general and administrative expenses as a percentage of revenues were 13.3% and 14.3% of revenues for the nine months ended September 30, 2014 and 2013, respectively.</w:t>
      </w:r>
    </w:p>
    <w:p>
      <w:pPr>
        <w:spacing w:after="0" w:line="14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Other general and administrative expenses for HealthStream Workforce Development Solutions increased approximately $834,000 over the prior year period primarily due to additional personnel and other support costs associated with the HCCS acquisition, while other general and administrative expenses for HealthStream Research/Patient Experience Solutions increased approximately $444,000 compared to the prior year period primarily due to the BLG acquisition. The unallocated corporate portion of other general and administrative expenses increased approximately $1.7 million over the prior year period, primarily associated with additional personnel, professional fees, rent, and other general expenses, as well as approximately $365,000 of one-time expenses associated with the acquisition of HCCS.</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$2.1 million, or 36.6%, to $7.9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2014 from $5.8 million for the nine months ended September 30, 2013. The increase primarily resulted from amortization of capitalized software development, amortization of intangible assets, and depreciation expense associated with capital expenditures, including leasehold improvements to our Nashville, Tennessee office space.</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was approximately $117,000 for the nine months ended September 30, 2014 compared to $121,000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2013.</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Income Tax Provision. </w:t>
      </w:r>
      <w:r>
        <w:rPr>
          <w:rFonts w:ascii="Arial" w:cs="Arial" w:eastAsia="Arial" w:hAnsi="Arial"/>
          <w:sz w:val="17"/>
          <w:szCs w:val="17"/>
          <w:color w:val="auto"/>
        </w:rPr>
        <w:t>The Company recorded a provision for income taxes of approximately $4.5 million for the nine months ended September 30, 2014</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$4.6 million for the nine months ended September 30, 2013. The Company’s effective tax rate was 36.8% for the first nine months of 2014 compared to 41.0% for the first nine months of 2013. The decrease in the effective tax rate resulted primarily from the recognition of approximately $670,000 in tax benefits during the third quarter of 2014 associated with research and development tax credits.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approximately $1.1 million, or 16.4%, to $7.7 million for the nine months ended September 30, 2014 from $6.6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2013. Earnings per diluted share was $0.28 per diluted share for the nine months ended September 30, 2014 compared to $0.24 per diluted share for the nine months ended September 30, 2013.</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Adjusted EBITDA (which we define as net income before interest, income taxes, stock based compensation, and depreciation and amortization) increased by 18.0% to approximately $21.3 million for the nine months ended September 30, 2014 compared to $18.0 million for the nine months ended September 30, 2013. This improvement is consistent with the factors mentioned above. See Reconciliation of Non-GAAP Financial Measures below for our reconciliation of this calculation to measures under US GAAP.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report contains certain non-GAAP financial measures, including, non-GAAP net income, non-GAAP operating income, non-GAAP revenue and adjusted EBITDA, which are used by management in analyzing our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order to better assess the Company’s financial results, management believes that adjusted EBITDA is an appropriate measure for evaluating the operating performance of the Company because adjusted EBITDA reflects net income adjusted for non-cash and non-operating items.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 For example, adjusted EBITDA does not reflect cash expenditures, or future requirements for capital expenditures or contractual commitments; it does not reflect non-cash components of employee compensation; it does not reflect changes in, or cash requirements for, our working capital needs; and due to the Company’s utilization of federal and state net operating loss carryforwards and other available deductions in 2013 and 2014, actual cash income tax payments have been significantly less than the tax provision recorded in accordance with US GAAP, and income tax payments will continue to be less than the income tax provision until our existing federal and state net operating loss carryforwards have been fully utilized or have expired.</w:t>
      </w:r>
    </w:p>
    <w:p>
      <w:pPr>
        <w:spacing w:after="0" w:line="16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Management compensates for the inherent limitations associated with using adjusted EBITDA through disclosure of such limitations, presentation of our financial statements in accordance with US GAAP, and reconciliation of adjusted EBITDA to net income, the most directly comparable US GAAP measure.</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completed the acquisitions of Decision Critical, Inc. (DCI) in June 2012, Sy.Med Development, Inc. (Sy.Med) in October 2012, BLG in September 2013, and HCCS in March 2014. In accordance with US GAAP reporting requirements for fair value, we recorded a deferred revenue write-down of $192,000 for DCI, $916,000 for Sy.Med, $254,000 for BLG, and approximately $1.5 million for HCCS. These write-downs result in lower revenues than would have otherwise been recognized for such services.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order to provide more accurate trends and comparisons of the Company’s revenues, operating income, and net income, management believes that adding back the deferred revenue write-down associated with fair value accounting for acquired businesses provides a better indication of the ongoing performance of the Company. The revenue for the acquired contracts is deferred and typically recognized over a one year period, so our US GAAP revenues for the one year period after the acquisition will not reflect the full amount of revenues that would have been reported if the acquired deferred revenue was not written down to fair value.</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580"/>
              <w:spacing w:after="0"/>
              <w:rPr>
                <w:sz w:val="20"/>
                <w:szCs w:val="20"/>
                <w:color w:val="auto"/>
              </w:rPr>
            </w:pPr>
            <w:r>
              <w:rPr>
                <w:rFonts w:ascii="Arial" w:cs="Arial" w:eastAsia="Arial" w:hAnsi="Arial"/>
                <w:sz w:val="14"/>
                <w:szCs w:val="14"/>
                <w:color w:val="auto"/>
                <w:w w:val="97"/>
              </w:rPr>
              <w:t>Three Months Ended</w:t>
            </w:r>
          </w:p>
        </w:tc>
        <w:tc>
          <w:tcPr>
            <w:tcW w:w="100" w:type="dxa"/>
            <w:vAlign w:val="bottom"/>
          </w:tcPr>
          <w:p>
            <w:pPr>
              <w:spacing w:after="0"/>
              <w:rPr>
                <w:sz w:val="14"/>
                <w:szCs w:val="14"/>
                <w:color w:val="auto"/>
              </w:rPr>
            </w:pPr>
          </w:p>
        </w:tc>
        <w:tc>
          <w:tcPr>
            <w:tcW w:w="1700" w:type="dxa"/>
            <w:vAlign w:val="bottom"/>
            <w:gridSpan w:val="5"/>
          </w:tcPr>
          <w:p>
            <w:pPr>
              <w:jc w:val="right"/>
              <w:ind w:right="38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780"/>
              <w:spacing w:after="0"/>
              <w:rPr>
                <w:sz w:val="20"/>
                <w:szCs w:val="20"/>
                <w:color w:val="auto"/>
              </w:rPr>
            </w:pPr>
            <w:r>
              <w:rPr>
                <w:rFonts w:ascii="Arial" w:cs="Arial" w:eastAsia="Arial" w:hAnsi="Arial"/>
                <w:sz w:val="14"/>
                <w:szCs w:val="14"/>
                <w:color w:val="auto"/>
              </w:rPr>
              <w:t>September 30,</w:t>
            </w:r>
          </w:p>
        </w:tc>
        <w:tc>
          <w:tcPr>
            <w:tcW w:w="100" w:type="dxa"/>
            <w:vAlign w:val="bottom"/>
          </w:tcPr>
          <w:p>
            <w:pPr>
              <w:spacing w:after="0"/>
              <w:rPr>
                <w:sz w:val="14"/>
                <w:szCs w:val="14"/>
                <w:color w:val="auto"/>
              </w:rPr>
            </w:pPr>
          </w:p>
        </w:tc>
        <w:tc>
          <w:tcPr>
            <w:tcW w:w="1700" w:type="dxa"/>
            <w:vAlign w:val="bottom"/>
            <w:gridSpan w:val="5"/>
          </w:tcPr>
          <w:p>
            <w:pPr>
              <w:jc w:val="right"/>
              <w:ind w:right="54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2014</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2013</w:t>
            </w:r>
          </w:p>
        </w:tc>
        <w:tc>
          <w:tcPr>
            <w:tcW w:w="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 income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tax provision</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1,629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4,519</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21,274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18,027</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GAAP revenues</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44,525</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33,659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125,351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95,224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for deferred revenue write-down</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Non-GAAP revenues</w:t>
            </w:r>
          </w:p>
        </w:tc>
        <w:tc>
          <w:tcPr>
            <w:tcW w:w="1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44,675</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33,826</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126,573</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95,891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income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Adjustment for deferred revenue write-down</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income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13,371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11,824</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GAAP net income</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3,436</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2,296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7,747</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for deferred revenue write-down, net of tax</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Non-GAAP net income</w:t>
            </w:r>
          </w:p>
        </w:tc>
        <w:tc>
          <w:tcPr>
            <w:tcW w:w="1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3,544</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8,519</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960" w:type="dxa"/>
            <w:vAlign w:val="bottom"/>
            <w:vMerge w:val="restart"/>
          </w:tcPr>
          <w:p>
            <w:pPr>
              <w:jc w:val="right"/>
              <w:ind w:right="129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Net cash provided by operating activities increased approximately 23.5% and approximated $28.7 million and $23.2 million during the nine months ended September 30, 2014 and 2013, respectively. This improvement primarily resulted from increased cash receipts from the sales of our products and services. The number of days sales outstanding (DSO) was 60 days for the third quarter of 2014 compared to 61 days for the third quarter of 2013. The Company calculates DSO by dividing the average accounts receivable balance for the quarter, excluding unbilled and other receivables, by average daily revenues for the quarter. The Company’s primary source of cash was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was approximately $23.6 million and $11.9 million for the nine months ended September 30, 2014 and 2013,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respectively. During the nine months ended September 30, 2014, the Company purchased $44.3 million of marketable securities, utilized $12.3 million (net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cash acquired) for acquisitions, spent $4.0 million for capitalized software development, purchased $3.0 million of property and equipment, and made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$325,000 in non-marketable equity investments. These uses of cash were partially offset by maturities of marketable securities of $40.4 million. During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nine months ended September 30, 2013, the Company purchased $67.6 million of marketable securities, spent $3.0 million for capitalized software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development, purchased $2.4 million of property and equipment, made $300,000 in non-marketable equity investments, and utilized $7.4 million for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acquisitions. These uses of cash were partially offset by sales and maturities of marketable securities of $68.8 million.</w:t>
      </w:r>
    </w:p>
    <w:p>
      <w:pPr>
        <w:spacing w:after="0" w:line="21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Cash provided by financing activities was approximately $313,000 and $2.5 million for the nine months ended September 30, 2014 and 2013, respectively. The primary source of cash from financing activities for 2014 and 2013 resulted from proceeds from the exercise of employee stock options. The primary uses of cash for the nine months ended September 30, 2014 and 2013 resulted from earn-out payments associated with the acquisitions of DCI and Sy.Med, and the payment of payroll taxes associated with the issuance of shares from the vesting of RSUs.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balance sheet reflects positive working capital of $88.5 million at September 30, 2014 compared to $90.9 million at December 31, 2013. The decrease in working capital was primarily due to the use of cash for the HCCS acquisition, but was partially offset by cash generated from operations. The Company’s primary source of liquidity is $116.4 million of cash and cash equivalents and marketable securities. As of September 30, 2014, the Company maintained full availability under a $20.0 million revolving credit facility. The revolving credit facility expires on November 19, 2014, and the Company intends to renew the facility on terms equal to or better than the previous agreement.</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believe that our existing cash and cash equivalents, marketable securities, cash generated from operations, and available borrowings under our revolving credit facility will be sufficient to meet anticipated cash needs for working capital, new product development and capital expenditures for at least the next 12 months. Over the past nine years, we have utilized our federal and state net operating loss carryforwards to offset taxable income, therefore reducing our tax liabilities. We anticipate our remaining net operating loss carryforwards will become fully utilized within the next 12 months. Our actual tax payments are expected to increase significantly once the net operating loss carryforwards are fully utilized. As part of our growth strategy, we have recently completed several acquisitions and we continue to review possible acquisitions that complement our products and services. We anticipate that future acquisitions, if any, would be effected through a combination of stock and cash consideration.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equity. Therefore, if we were to borrow against our revolving credit facility, our debt capacity would be dependent on the covenant values at the time of borrowing. As of September 30, 2014, we were in compliance with all covenants. The credit and capital markets have been experiencing extreme volatility and disruption.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Company’s off-balance sheet arrangements primarily consist of operating leases, contractual obligations, and our revolving credit facility. During the nine months ended September 30, 2014, the Company entered into an office lease agreement for a new patient interview center in Nashville, Tennessee, and in connection with the acquisition of HCCS, we have an office lease in Jericho, New York. There have been no other material changes in the Company’s contractual obligations or commercial commitments during the nine months ended September 30, 2014 from those disclosed in our 2013 Form 10-K.</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exposed to market risk from changes in interest rates. We do not have any foreign currency exchange rate risk or commodity price risk. As of September 30, 2014, the Company had no outstanding debt. We may become subject to interest rate market risk associated with any future borrowings under our revolving credit facility. The interest rate under the revolving credit facility is based on 30 Day LIBOR plus a margin of either 175 or 200 basis points determined in accordance with a pricing grid. We are exposed to market risk with respect to our cash and investment balances, which approximated $116.4 million at September 30, 2014. Assuming a hypothetical 10% decrease in interest rates, interest income from cash and investments would decrease on an annualized basis by approximately $54,000.</w:t>
      </w:r>
    </w:p>
    <w:p>
      <w:pPr>
        <w:spacing w:after="0" w:line="193"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2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and principal financial officer, or persons performing similar functions, as appropriate to allow timely decisions regarding required disclosure.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135"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31.1 – Certification of the Chief Executive Officer Pursuant to Section 302 of the Sarbanes-Oxley Act of 2002</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31.2 – Certification of the Principal Financial Officer Pursuant to Section 302 of the Sarbanes-Oxley Act of 2002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32.1 – Certification Pursuant to 18 U.S.C. Section 1350, as Adopted Pursuant to Section 906 of the Sarbanes-Oxley Act of 2002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32.2 – Certification Pursuant to 18 U.S.C. Section 1350, as Adopted Pursuant to Section 906 of the Sarbanes-Oxley Act of 2002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INS – XBRL Instance Document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SCH – XBRL Taxonomy Extension Schema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CAL – XBRL Taxonomy Extension Calculation Linkbase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DEF – XBRL Taxonomy Extension Definition Linkbase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LAB – XBRL Taxonomy Extension Label Linkbase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PRE – XBRL Taxonomy Extension Presentation Linkbase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HEALTHSTREAM,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October 30, 2014</w:t>
      </w:r>
      <w:r>
        <w:rPr>
          <w:sz w:val="20"/>
          <w:szCs w:val="20"/>
          <w:color w:val="auto"/>
        </w:rPr>
        <w:tab/>
      </w:r>
      <w:r>
        <w:rPr>
          <w:rFonts w:ascii="Arial" w:cs="Arial" w:eastAsia="Arial" w:hAnsi="Arial"/>
          <w:sz w:val="17"/>
          <w:szCs w:val="17"/>
          <w:color w:val="auto"/>
        </w:rPr>
        <w:t>By: /</w:t>
      </w:r>
      <w:r>
        <w:rPr>
          <w:rFonts w:ascii="Arial" w:cs="Arial" w:eastAsia="Arial" w:hAnsi="Arial"/>
          <w:sz w:val="14"/>
          <w:szCs w:val="14"/>
          <w:color w:val="auto"/>
        </w:rPr>
        <w:t>S</w:t>
      </w:r>
      <w:r>
        <w:rPr>
          <w:rFonts w:ascii="Arial" w:cs="Arial" w:eastAsia="Arial" w:hAnsi="Arial"/>
          <w:sz w:val="17"/>
          <w:szCs w:val="17"/>
          <w:color w:val="auto"/>
        </w:rPr>
        <w:t>/ G</w:t>
      </w:r>
      <w:r>
        <w:rPr>
          <w:rFonts w:ascii="Arial" w:cs="Arial" w:eastAsia="Arial" w:hAnsi="Arial"/>
          <w:sz w:val="14"/>
          <w:szCs w:val="14"/>
          <w:color w:val="auto"/>
        </w:rPr>
        <w:t>ERARD</w:t>
      </w:r>
      <w:r>
        <w:rPr>
          <w:rFonts w:ascii="Arial" w:cs="Arial" w:eastAsia="Arial" w:hAnsi="Arial"/>
          <w:sz w:val="17"/>
          <w:szCs w:val="17"/>
          <w:color w:val="auto"/>
        </w:rPr>
        <w:t xml:space="preserve"> M. H</w:t>
      </w:r>
      <w:r>
        <w:rPr>
          <w:rFonts w:ascii="Arial" w:cs="Arial" w:eastAsia="Arial" w:hAnsi="Arial"/>
          <w:sz w:val="14"/>
          <w:szCs w:val="14"/>
          <w:color w:val="auto"/>
        </w:rPr>
        <w:t>AYDEN</w:t>
      </w:r>
      <w:r>
        <w:rPr>
          <w:rFonts w:ascii="Arial" w:cs="Arial" w:eastAsia="Arial" w:hAnsi="Arial"/>
          <w:sz w:val="17"/>
          <w:szCs w:val="17"/>
          <w:color w:val="auto"/>
        </w:rPr>
        <w:t>, J</w:t>
      </w:r>
      <w:r>
        <w:rPr>
          <w:rFonts w:ascii="Arial" w:cs="Arial" w:eastAsia="Arial" w:hAnsi="Arial"/>
          <w:sz w:val="14"/>
          <w:szCs w:val="14"/>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Gerard M. Hayden, Jr.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00"/>
          </w:cols>
          <w:pgMar w:left="240" w:top="459" w:right="8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40" w:type="dxa"/>
            <w:vAlign w:val="bottom"/>
          </w:tcPr>
          <w:p>
            <w:pPr>
              <w:ind w:left="3780"/>
              <w:spacing w:after="0"/>
              <w:rPr>
                <w:sz w:val="20"/>
                <w:szCs w:val="20"/>
                <w:color w:val="auto"/>
              </w:rPr>
            </w:pPr>
            <w:r>
              <w:rPr>
                <w:rFonts w:ascii="Arial" w:cs="Arial" w:eastAsia="Arial" w:hAnsi="Arial"/>
                <w:sz w:val="18"/>
                <w:szCs w:val="18"/>
                <w:b w:val="1"/>
                <w:bCs w:val="1"/>
                <w:color w:val="auto"/>
              </w:rPr>
              <w:t>HEALTHSTREAM, INC.</w:t>
            </w:r>
          </w:p>
        </w:tc>
      </w:tr>
      <w:tr>
        <w:trPr>
          <w:trHeight w:val="432"/>
        </w:trPr>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40" w:type="dxa"/>
            <w:vAlign w:val="bottom"/>
          </w:tcPr>
          <w:p>
            <w:pPr>
              <w:ind w:left="408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440" w:type="dxa"/>
            <w:vAlign w:val="bottom"/>
          </w:tcPr>
          <w:p>
            <w:pPr>
              <w:jc w:val="right"/>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24"/>
                <w:szCs w:val="24"/>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rPr>
              <w:t>31.2</w:t>
            </w:r>
          </w:p>
        </w:tc>
        <w:tc>
          <w:tcPr>
            <w:tcW w:w="500" w:type="dxa"/>
            <w:vAlign w:val="bottom"/>
          </w:tcPr>
          <w:p>
            <w:pPr>
              <w:spacing w:after="0"/>
              <w:rPr>
                <w:sz w:val="24"/>
                <w:szCs w:val="24"/>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24"/>
                <w:szCs w:val="24"/>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rPr>
              <w:t>32.2</w:t>
            </w:r>
          </w:p>
        </w:tc>
        <w:tc>
          <w:tcPr>
            <w:tcW w:w="500" w:type="dxa"/>
            <w:vAlign w:val="bottom"/>
          </w:tcPr>
          <w:p>
            <w:pPr>
              <w:spacing w:after="0"/>
              <w:rPr>
                <w:sz w:val="24"/>
                <w:szCs w:val="24"/>
                <w:color w:val="auto"/>
              </w:rPr>
            </w:pPr>
          </w:p>
        </w:tc>
        <w:tc>
          <w:tcPr>
            <w:tcW w:w="8840" w:type="dxa"/>
            <w:vAlign w:val="bottom"/>
          </w:tcPr>
          <w:p>
            <w:pPr>
              <w:ind w:left="10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101.1 INS</w:t>
            </w:r>
          </w:p>
        </w:tc>
        <w:tc>
          <w:tcPr>
            <w:tcW w:w="884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101.1 SCH</w:t>
            </w:r>
          </w:p>
        </w:tc>
        <w:tc>
          <w:tcPr>
            <w:tcW w:w="8840" w:type="dxa"/>
            <w:vAlign w:val="bottom"/>
          </w:tcPr>
          <w:p>
            <w:pPr>
              <w:ind w:left="1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w w:val="88"/>
              </w:rPr>
              <w:t>101.1</w:t>
            </w:r>
          </w:p>
        </w:tc>
        <w:tc>
          <w:tcPr>
            <w:tcW w:w="500" w:type="dxa"/>
            <w:vAlign w:val="bottom"/>
          </w:tcPr>
          <w:p>
            <w:pPr>
              <w:ind w:left="20"/>
              <w:spacing w:after="0"/>
              <w:rPr>
                <w:sz w:val="20"/>
                <w:szCs w:val="20"/>
                <w:color w:val="auto"/>
              </w:rPr>
            </w:pPr>
            <w:r>
              <w:rPr>
                <w:rFonts w:ascii="Arial" w:cs="Arial" w:eastAsia="Arial" w:hAnsi="Arial"/>
                <w:sz w:val="18"/>
                <w:szCs w:val="18"/>
                <w:color w:val="auto"/>
              </w:rPr>
              <w:t>CAL</w:t>
            </w:r>
          </w:p>
        </w:tc>
        <w:tc>
          <w:tcPr>
            <w:tcW w:w="884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w w:val="88"/>
              </w:rPr>
              <w:t>101.1</w:t>
            </w:r>
          </w:p>
        </w:tc>
        <w:tc>
          <w:tcPr>
            <w:tcW w:w="500" w:type="dxa"/>
            <w:vAlign w:val="bottom"/>
          </w:tcPr>
          <w:p>
            <w:pPr>
              <w:ind w:left="20"/>
              <w:spacing w:after="0"/>
              <w:rPr>
                <w:sz w:val="20"/>
                <w:szCs w:val="20"/>
                <w:color w:val="auto"/>
              </w:rPr>
            </w:pPr>
            <w:r>
              <w:rPr>
                <w:rFonts w:ascii="Arial" w:cs="Arial" w:eastAsia="Arial" w:hAnsi="Arial"/>
                <w:sz w:val="18"/>
                <w:szCs w:val="18"/>
                <w:color w:val="auto"/>
              </w:rPr>
              <w:t>DEF</w:t>
            </w:r>
          </w:p>
        </w:tc>
        <w:tc>
          <w:tcPr>
            <w:tcW w:w="884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101.1 LAB</w:t>
            </w:r>
          </w:p>
        </w:tc>
        <w:tc>
          <w:tcPr>
            <w:tcW w:w="8840" w:type="dxa"/>
            <w:vAlign w:val="bottom"/>
          </w:tcPr>
          <w:p>
            <w:pPr>
              <w:ind w:left="1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w w:val="88"/>
              </w:rPr>
              <w:t>101.1</w:t>
            </w:r>
          </w:p>
        </w:tc>
        <w:tc>
          <w:tcPr>
            <w:tcW w:w="500" w:type="dxa"/>
            <w:vAlign w:val="bottom"/>
          </w:tcPr>
          <w:p>
            <w:pPr>
              <w:ind w:left="20"/>
              <w:spacing w:after="0"/>
              <w:rPr>
                <w:sz w:val="20"/>
                <w:szCs w:val="20"/>
                <w:color w:val="auto"/>
              </w:rPr>
            </w:pPr>
            <w:r>
              <w:rPr>
                <w:rFonts w:ascii="Arial" w:cs="Arial" w:eastAsia="Arial" w:hAnsi="Arial"/>
                <w:sz w:val="18"/>
                <w:szCs w:val="18"/>
                <w:color w:val="auto"/>
              </w:rPr>
              <w:t>PRE</w:t>
            </w:r>
          </w:p>
        </w:tc>
        <w:tc>
          <w:tcPr>
            <w:tcW w:w="884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w:t>
            </w:r>
          </w:p>
        </w:tc>
      </w:tr>
    </w:tbl>
    <w:p>
      <w:pPr>
        <w:sectPr>
          <w:pgSz w:w="11900" w:h="16838" w:orient="portrait"/>
          <w:cols w:equalWidth="0" w:num="1">
            <w:col w:w="10219"/>
          </w:cols>
          <w:pgMar w:left="240" w:top="459" w:right="1440"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60" w:firstLine="4"/>
        <w:spacing w:after="0" w:line="277" w:lineRule="auto"/>
        <w:tabs>
          <w:tab w:leader="none" w:pos="645"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October 30, 2014</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xml:space="preserve">/ </w:t>
      </w:r>
      <w:r>
        <w:rPr>
          <w:rFonts w:ascii="Arial" w:cs="Arial" w:eastAsia="Arial" w:hAnsi="Arial"/>
          <w:sz w:val="13"/>
          <w:szCs w:val="13"/>
          <w:color w:val="auto"/>
        </w:rPr>
        <w:t>ROBERT A</w:t>
      </w:r>
      <w:r>
        <w:rPr>
          <w:rFonts w:ascii="Arial" w:cs="Arial" w:eastAsia="Arial" w:hAnsi="Arial"/>
          <w:sz w:val="16"/>
          <w:szCs w:val="16"/>
          <w:color w:val="auto"/>
        </w:rPr>
        <w:t xml:space="preserve">. </w:t>
      </w:r>
      <w:r>
        <w:rPr>
          <w:rFonts w:ascii="Arial" w:cs="Arial" w:eastAsia="Arial" w:hAnsi="Arial"/>
          <w:sz w:val="13"/>
          <w:szCs w:val="13"/>
          <w:color w:val="auto"/>
        </w:rPr>
        <w:t>FRIST</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22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60" w:firstLine="4"/>
        <w:spacing w:after="0" w:line="277" w:lineRule="auto"/>
        <w:tabs>
          <w:tab w:leader="none" w:pos="645"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October 30, 2014</w:t>
      </w:r>
      <w:r>
        <w:rPr>
          <w:sz w:val="20"/>
          <w:szCs w:val="20"/>
          <w:color w:val="auto"/>
        </w:rPr>
        <w:tab/>
      </w: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G</w:t>
      </w:r>
      <w:r>
        <w:rPr>
          <w:rFonts w:ascii="Arial" w:cs="Arial" w:eastAsia="Arial" w:hAnsi="Arial"/>
          <w:sz w:val="14"/>
          <w:szCs w:val="14"/>
          <w:color w:val="auto"/>
        </w:rPr>
        <w:t>ERARD</w:t>
      </w:r>
      <w:r>
        <w:rPr>
          <w:rFonts w:ascii="Arial" w:cs="Arial" w:eastAsia="Arial" w:hAnsi="Arial"/>
          <w:sz w:val="17"/>
          <w:szCs w:val="17"/>
          <w:color w:val="auto"/>
        </w:rPr>
        <w:t xml:space="preserve"> M. H</w:t>
      </w:r>
      <w:r>
        <w:rPr>
          <w:rFonts w:ascii="Arial" w:cs="Arial" w:eastAsia="Arial" w:hAnsi="Arial"/>
          <w:sz w:val="14"/>
          <w:szCs w:val="14"/>
          <w:color w:val="auto"/>
        </w:rPr>
        <w:t>AYDEN</w:t>
      </w:r>
      <w:r>
        <w:rPr>
          <w:rFonts w:ascii="Arial" w:cs="Arial" w:eastAsia="Arial" w:hAnsi="Arial"/>
          <w:sz w:val="17"/>
          <w:szCs w:val="17"/>
          <w:color w:val="auto"/>
        </w:rPr>
        <w:t>, J</w:t>
      </w:r>
      <w:r>
        <w:rPr>
          <w:rFonts w:ascii="Arial" w:cs="Arial" w:eastAsia="Arial" w:hAnsi="Arial"/>
          <w:sz w:val="14"/>
          <w:szCs w:val="14"/>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Gerard M. Hayden, Jr.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2014,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xml:space="preserve">/ </w:t>
      </w:r>
      <w:r>
        <w:rPr>
          <w:rFonts w:ascii="Arial" w:cs="Arial" w:eastAsia="Arial" w:hAnsi="Arial"/>
          <w:sz w:val="15"/>
          <w:szCs w:val="15"/>
          <w:color w:val="auto"/>
        </w:rPr>
        <w:t>ROBERT A</w:t>
      </w:r>
      <w:r>
        <w:rPr>
          <w:rFonts w:ascii="Arial" w:cs="Arial" w:eastAsia="Arial" w:hAnsi="Arial"/>
          <w:sz w:val="18"/>
          <w:szCs w:val="18"/>
          <w:color w:val="auto"/>
        </w:rPr>
        <w:t xml:space="preserve">. </w:t>
      </w:r>
      <w:r>
        <w:rPr>
          <w:rFonts w:ascii="Arial" w:cs="Arial" w:eastAsia="Arial" w:hAnsi="Arial"/>
          <w:sz w:val="15"/>
          <w:szCs w:val="15"/>
          <w:color w:val="auto"/>
        </w:rPr>
        <w:t>FRIST</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2014</w:t>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2014,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G</w:t>
      </w:r>
      <w:r>
        <w:rPr>
          <w:rFonts w:ascii="Arial" w:cs="Arial" w:eastAsia="Arial" w:hAnsi="Arial"/>
          <w:sz w:val="15"/>
          <w:szCs w:val="15"/>
          <w:color w:val="auto"/>
        </w:rPr>
        <w:t>ERARD</w:t>
      </w:r>
      <w:r>
        <w:rPr>
          <w:rFonts w:ascii="Arial" w:cs="Arial" w:eastAsia="Arial" w:hAnsi="Arial"/>
          <w:sz w:val="18"/>
          <w:szCs w:val="18"/>
          <w:color w:val="auto"/>
        </w:rPr>
        <w:t xml:space="preserve"> M. H</w:t>
      </w:r>
      <w:r>
        <w:rPr>
          <w:rFonts w:ascii="Arial" w:cs="Arial" w:eastAsia="Arial" w:hAnsi="Arial"/>
          <w:sz w:val="15"/>
          <w:szCs w:val="15"/>
          <w:color w:val="auto"/>
        </w:rPr>
        <w:t>AYDEN</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2)"/>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2019-12-06T21:47:31Z</dcterms:created>
  <dcterms:modified xsi:type="dcterms:W3CDTF">2019-12-06T21:47:31Z</dcterms:modified>
</cp:coreProperties>
</file>