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400" w:hanging="393"/>
        <w:spacing w:after="0"/>
        <w:tabs>
          <w:tab w:leader="none" w:pos="4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March 31, 2021</w:t>
      </w:r>
    </w:p>
    <w:p>
      <w:pPr>
        <w:spacing w:after="0" w:line="186" w:lineRule="exact"/>
        <w:rPr>
          <w:sz w:val="24"/>
          <w:szCs w:val="24"/>
          <w:color w:val="auto"/>
        </w:rPr>
      </w:pPr>
    </w:p>
    <w:p>
      <w:pPr>
        <w:ind w:left="380" w:hanging="373"/>
        <w:spacing w:after="0"/>
        <w:tabs>
          <w:tab w:leader="none" w:pos="3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8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4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20" w:type="dxa"/>
            <w:vAlign w:val="bottom"/>
            <w:gridSpan w:val="6"/>
          </w:tcPr>
          <w:p>
            <w:pPr>
              <w:jc w:val="center"/>
              <w:ind w:left="1541"/>
              <w:spacing w:after="0" w:line="145" w:lineRule="exact"/>
              <w:rPr>
                <w:sz w:val="20"/>
                <w:szCs w:val="20"/>
                <w:color w:val="auto"/>
              </w:rPr>
            </w:pPr>
            <w:r>
              <w:rPr>
                <w:rFonts w:ascii="Arial" w:cs="Arial" w:eastAsia="Arial" w:hAnsi="Arial"/>
                <w:sz w:val="14"/>
                <w:szCs w:val="14"/>
                <w:b w:val="1"/>
                <w:bCs w:val="1"/>
                <w:color w:val="auto"/>
                <w:w w:val="89"/>
              </w:rPr>
              <w:t>(State or other jurisdiction of</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40" w:type="dxa"/>
            <w:vAlign w:val="bottom"/>
            <w:gridSpan w:val="5"/>
          </w:tcPr>
          <w:p>
            <w:pPr>
              <w:jc w:val="center"/>
              <w:ind w:right="1760"/>
              <w:spacing w:after="0" w:line="145"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5"/>
        </w:trPr>
        <w:tc>
          <w:tcPr>
            <w:tcW w:w="4020" w:type="dxa"/>
            <w:vAlign w:val="bottom"/>
            <w:gridSpan w:val="6"/>
          </w:tcPr>
          <w:p>
            <w:pPr>
              <w:jc w:val="center"/>
              <w:ind w:left="1541"/>
              <w:spacing w:after="0"/>
              <w:rPr>
                <w:sz w:val="20"/>
                <w:szCs w:val="20"/>
                <w:color w:val="auto"/>
              </w:rPr>
            </w:pPr>
            <w:r>
              <w:rPr>
                <w:rFonts w:ascii="Arial" w:cs="Arial" w:eastAsia="Arial" w:hAnsi="Arial"/>
                <w:sz w:val="14"/>
                <w:szCs w:val="14"/>
                <w:b w:val="1"/>
                <w:bCs w:val="1"/>
                <w:color w:val="auto"/>
                <w:w w:val="90"/>
              </w:rPr>
              <w:t>incorporation or organization)</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4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7400" w:type="dxa"/>
            <w:vAlign w:val="bottom"/>
            <w:gridSpan w:val="12"/>
          </w:tcPr>
          <w:p>
            <w:pPr>
              <w:jc w:val="center"/>
              <w:ind w:right="1760"/>
              <w:spacing w:after="0"/>
              <w:rPr>
                <w:sz w:val="20"/>
                <w:szCs w:val="20"/>
                <w:color w:val="auto"/>
              </w:rPr>
            </w:pPr>
            <w:r>
              <w:rPr>
                <w:rFonts w:ascii="Arial" w:cs="Arial" w:eastAsia="Arial" w:hAnsi="Arial"/>
                <w:sz w:val="18"/>
                <w:szCs w:val="18"/>
                <w:b w:val="1"/>
                <w:bCs w:val="1"/>
                <w:color w:val="auto"/>
                <w:w w:val="86"/>
              </w:rPr>
              <w:t>500 11th Avenue North, Suite 1000,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960" w:type="dxa"/>
            <w:vAlign w:val="bottom"/>
            <w:gridSpan w:val="5"/>
          </w:tcPr>
          <w:p>
            <w:pPr>
              <w:jc w:val="center"/>
              <w:ind w:right="440"/>
              <w:spacing w:after="0" w:line="193" w:lineRule="exact"/>
              <w:rPr>
                <w:sz w:val="20"/>
                <w:szCs w:val="20"/>
                <w:color w:val="auto"/>
              </w:rPr>
            </w:pPr>
            <w:r>
              <w:rPr>
                <w:rFonts w:ascii="Arial" w:cs="Arial" w:eastAsia="Arial" w:hAnsi="Arial"/>
                <w:sz w:val="18"/>
                <w:szCs w:val="18"/>
                <w:b w:val="1"/>
                <w:bCs w:val="1"/>
                <w:color w:val="auto"/>
                <w:w w:val="83"/>
              </w:rPr>
              <w:t>Nashville, Tennessee</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4"/>
          </w:tcPr>
          <w:p>
            <w:pPr>
              <w:jc w:val="right"/>
              <w:ind w:right="200"/>
              <w:spacing w:after="0" w:line="193"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gridSpan w:val="6"/>
          </w:tcPr>
          <w:p>
            <w:pPr>
              <w:jc w:val="center"/>
              <w:ind w:left="15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20" w:type="dxa"/>
            <w:vAlign w:val="bottom"/>
            <w:gridSpan w:val="4"/>
          </w:tcPr>
          <w:p>
            <w:pPr>
              <w:jc w:val="center"/>
              <w:ind w:right="238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86"/>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(615) 301-3100</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40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7"/>
              </w:rPr>
              <w:t>Title of each class</w:t>
            </w:r>
          </w:p>
        </w:tc>
        <w:tc>
          <w:tcPr>
            <w:tcW w:w="700" w:type="dxa"/>
            <w:vAlign w:val="bottom"/>
          </w:tcPr>
          <w:p>
            <w:pPr>
              <w:spacing w:after="0"/>
              <w:rPr>
                <w:sz w:val="24"/>
                <w:szCs w:val="24"/>
                <w:color w:val="auto"/>
              </w:rPr>
            </w:pPr>
          </w:p>
        </w:tc>
        <w:tc>
          <w:tcPr>
            <w:tcW w:w="2680" w:type="dxa"/>
            <w:vAlign w:val="bottom"/>
            <w:gridSpan w:val="5"/>
          </w:tcPr>
          <w:p>
            <w:pPr>
              <w:jc w:val="center"/>
              <w:ind w:right="1400"/>
              <w:spacing w:after="0"/>
              <w:rPr>
                <w:sz w:val="20"/>
                <w:szCs w:val="20"/>
                <w:color w:val="auto"/>
              </w:rPr>
            </w:pPr>
            <w:r>
              <w:rPr>
                <w:rFonts w:ascii="Arial" w:cs="Arial" w:eastAsia="Arial" w:hAnsi="Arial"/>
                <w:sz w:val="16"/>
                <w:szCs w:val="16"/>
                <w:b w:val="1"/>
                <w:bCs w:val="1"/>
                <w:color w:val="auto"/>
                <w:w w:val="91"/>
              </w:rPr>
              <w:t>Trading Symbol(s)</w:t>
            </w:r>
          </w:p>
        </w:tc>
        <w:tc>
          <w:tcPr>
            <w:tcW w:w="38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vMerge w:val="restart"/>
          </w:tcPr>
          <w:p>
            <w:pPr>
              <w:jc w:val="center"/>
              <w:ind w:right="231"/>
              <w:spacing w:after="0"/>
              <w:rPr>
                <w:sz w:val="20"/>
                <w:szCs w:val="20"/>
                <w:color w:val="auto"/>
              </w:rPr>
            </w:pPr>
            <w:r>
              <w:rPr>
                <w:rFonts w:ascii="Arial" w:cs="Arial" w:eastAsia="Arial" w:hAnsi="Arial"/>
                <w:sz w:val="18"/>
                <w:szCs w:val="18"/>
                <w:color w:val="auto"/>
                <w:w w:val="97"/>
              </w:rPr>
              <w:t>HSTM</w:t>
            </w:r>
          </w:p>
        </w:tc>
        <w:tc>
          <w:tcPr>
            <w:tcW w:w="980" w:type="dxa"/>
            <w:vAlign w:val="bottom"/>
            <w:gridSpan w:val="2"/>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740" w:type="dxa"/>
            <w:vAlign w:val="bottom"/>
            <w:gridSpan w:val="5"/>
          </w:tcPr>
          <w:p>
            <w:pPr>
              <w:jc w:val="center"/>
              <w:spacing w:after="0"/>
              <w:rPr>
                <w:sz w:val="20"/>
                <w:szCs w:val="20"/>
                <w:color w:val="auto"/>
              </w:rPr>
            </w:pPr>
            <w:r>
              <w:rPr>
                <w:rFonts w:ascii="Arial" w:cs="Arial" w:eastAsia="Arial" w:hAnsi="Arial"/>
                <w:sz w:val="18"/>
                <w:szCs w:val="18"/>
                <w:color w:val="auto"/>
                <w:w w:val="89"/>
              </w:rPr>
              <w:t>Common Stock (Par Value $0.00)</w:t>
            </w:r>
          </w:p>
        </w:tc>
        <w:tc>
          <w:tcPr>
            <w:tcW w:w="2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20" w:type="dxa"/>
            <w:vAlign w:val="bottom"/>
            <w:gridSpan w:val="4"/>
          </w:tcPr>
          <w:p>
            <w:pPr>
              <w:jc w:val="center"/>
              <w:ind w:right="1040"/>
              <w:spacing w:after="0"/>
              <w:rPr>
                <w:sz w:val="20"/>
                <w:szCs w:val="20"/>
                <w:color w:val="auto"/>
              </w:rPr>
            </w:pPr>
            <w:r>
              <w:rPr>
                <w:rFonts w:ascii="Arial" w:cs="Arial" w:eastAsia="Arial" w:hAnsi="Arial"/>
                <w:sz w:val="18"/>
                <w:szCs w:val="18"/>
                <w:color w:val="auto"/>
                <w:w w:val="89"/>
              </w:rPr>
              <w:t>Nasdaq 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1"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3"/>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8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01"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2280"/>
        <w:spacing w:after="0" w:line="32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2021, there were 31,552,579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137795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915670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 w:name="page2"/>
    <w:bookmarkEnd w:id="1"/>
    <w:p>
      <w:pPr>
        <w:jc w:val="center"/>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Page</w:t>
            </w:r>
          </w:p>
        </w:tc>
      </w:tr>
      <w:tr>
        <w:trPr>
          <w:trHeight w:val="170"/>
        </w:trPr>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Number</w:t>
            </w:r>
          </w:p>
        </w:tc>
      </w:tr>
      <w:tr>
        <w:trPr>
          <w:trHeight w:val="288"/>
        </w:trPr>
        <w:tc>
          <w:tcPr>
            <w:tcW w:w="980" w:type="dxa"/>
            <w:vAlign w:val="bottom"/>
          </w:tcPr>
          <w:p>
            <w:pPr>
              <w:spacing w:after="0"/>
              <w:rPr>
                <w:sz w:val="20"/>
                <w:szCs w:val="20"/>
                <w:color w:val="auto"/>
              </w:rPr>
            </w:pPr>
            <w:r>
              <w:rPr>
                <w:rFonts w:ascii="Arial" w:cs="Arial" w:eastAsia="Arial" w:hAnsi="Arial"/>
                <w:sz w:val="18"/>
                <w:szCs w:val="18"/>
                <w:color w:val="auto"/>
              </w:rPr>
              <w:t>Part I.</w:t>
            </w:r>
          </w:p>
        </w:tc>
        <w:tc>
          <w:tcPr>
            <w:tcW w:w="9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76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March 31, 2021 and December 31, 20</w:t>
              </w:r>
            </w:hyperlink>
            <w:r>
              <w:rPr>
                <w:rFonts w:ascii="Arial" w:cs="Arial" w:eastAsia="Arial" w:hAnsi="Arial"/>
                <w:sz w:val="18"/>
                <w:szCs w:val="18"/>
                <w:color w:val="000000"/>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2021 and 20</w:t>
              </w:r>
            </w:hyperlink>
            <w:r>
              <w:rPr>
                <w:rFonts w:ascii="Arial" w:cs="Arial" w:eastAsia="Arial" w:hAnsi="Arial"/>
                <w:sz w:val="18"/>
                <w:szCs w:val="18"/>
                <w:color w:val="000000"/>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(Unaudited) – Three Months ended March 31, 2021 and 20</w:t>
              </w:r>
            </w:hyperlink>
            <w:r>
              <w:rPr>
                <w:rFonts w:ascii="Arial" w:cs="Arial" w:eastAsia="Arial" w:hAnsi="Arial"/>
                <w:sz w:val="18"/>
                <w:szCs w:val="18"/>
                <w:color w:val="000000"/>
                <w:w w:val="91"/>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5"/>
        </w:trPr>
        <w:tc>
          <w:tcPr>
            <w:tcW w:w="980" w:type="dxa"/>
            <w:vAlign w:val="bottom"/>
          </w:tcPr>
          <w:p>
            <w:pPr>
              <w:spacing w:after="0"/>
              <w:rPr>
                <w:sz w:val="24"/>
                <w:szCs w:val="24"/>
                <w:color w:val="auto"/>
              </w:rPr>
            </w:pPr>
          </w:p>
        </w:tc>
        <w:tc>
          <w:tcPr>
            <w:tcW w:w="8620" w:type="dxa"/>
            <w:vAlign w:val="bottom"/>
            <w:tcBorders>
              <w:top w:val="single" w:sz="8" w:color="0000EE"/>
            </w:tcBorders>
            <w:gridSpan w:val="2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 of Shareholders' Equity (Unaudited) – Three Months ended March 31, 2021 and 20</w:t>
              </w:r>
            </w:hyperlink>
            <w:r>
              <w:rPr>
                <w:rFonts w:ascii="Arial" w:cs="Arial" w:eastAsia="Arial" w:hAnsi="Arial"/>
                <w:sz w:val="18"/>
                <w:szCs w:val="18"/>
                <w:color w:val="000000"/>
                <w:w w:val="88"/>
              </w:rPr>
              <w:t>20</w:t>
            </w:r>
          </w:p>
        </w:tc>
        <w:tc>
          <w:tcPr>
            <w:tcW w:w="1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5"/>
        </w:trPr>
        <w:tc>
          <w:tcPr>
            <w:tcW w:w="980" w:type="dxa"/>
            <w:vAlign w:val="bottom"/>
          </w:tcPr>
          <w:p>
            <w:pPr>
              <w:spacing w:after="0"/>
              <w:rPr>
                <w:sz w:val="24"/>
                <w:szCs w:val="24"/>
                <w:color w:val="auto"/>
              </w:rPr>
            </w:pPr>
          </w:p>
        </w:tc>
        <w:tc>
          <w:tcPr>
            <w:tcW w:w="8340" w:type="dxa"/>
            <w:vAlign w:val="bottom"/>
            <w:tcBorders>
              <w:top w:val="single" w:sz="8" w:color="0000EE"/>
            </w:tcBorders>
            <w:gridSpan w:val="18"/>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(Unaudited) – Three Months ended March 31, 2021 and 20</w:t>
              </w:r>
            </w:hyperlink>
            <w:r>
              <w:rPr>
                <w:rFonts w:ascii="Arial" w:cs="Arial" w:eastAsia="Arial" w:hAnsi="Arial"/>
                <w:sz w:val="18"/>
                <w:szCs w:val="18"/>
                <w:color w:val="000000"/>
                <w:w w:val="91"/>
              </w:rPr>
              <w:t>20</w:t>
            </w:r>
          </w:p>
        </w:tc>
        <w:tc>
          <w:tcPr>
            <w:tcW w:w="160" w:type="dxa"/>
            <w:vAlign w:val="bottom"/>
            <w:tcBorders>
              <w:top w:val="single" w:sz="8" w:color="auto"/>
            </w:tcBorders>
          </w:tcPr>
          <w:p>
            <w:pPr>
              <w:spacing w:after="0"/>
              <w:rPr>
                <w:sz w:val="24"/>
                <w:szCs w:val="24"/>
                <w:color w:val="auto"/>
              </w:rPr>
            </w:pPr>
          </w:p>
        </w:tc>
        <w:tc>
          <w:tcPr>
            <w:tcW w:w="7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5"/>
        </w:trPr>
        <w:tc>
          <w:tcPr>
            <w:tcW w:w="98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 (Unaudited)</w:t>
              </w:r>
            </w:hyperlink>
          </w:p>
        </w:tc>
        <w:tc>
          <w:tcPr>
            <w:tcW w:w="3020" w:type="dxa"/>
            <w:vAlign w:val="bottom"/>
            <w:tcBorders>
              <w:top w:val="single" w:sz="8" w:color="0000EE"/>
            </w:tcBorders>
            <w:gridSpan w:val="6"/>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1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04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Controls and Procedures</w:t>
              </w:r>
            </w:hyperlink>
          </w:p>
        </w:tc>
        <w:tc>
          <w:tcPr>
            <w:tcW w:w="756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Part II.</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Other Information</w:t>
              </w:r>
            </w:hyperlink>
          </w:p>
        </w:tc>
        <w:tc>
          <w:tcPr>
            <w:tcW w:w="800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06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42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Unregistered Sales of Equity Securities and Use of Proceeds</w:t>
              </w:r>
            </w:hyperlink>
          </w:p>
        </w:tc>
        <w:tc>
          <w:tcPr>
            <w:tcW w:w="506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28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714"/>
        </w:trPr>
        <w:tc>
          <w:tcPr>
            <w:tcW w:w="9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78"/>
        </w:trPr>
        <w:tc>
          <w:tcPr>
            <w:tcW w:w="6580" w:type="dxa"/>
            <w:vAlign w:val="bottom"/>
            <w:tcBorders>
              <w:bottom w:val="single" w:sz="8" w:color="CFF0FC"/>
            </w:tcBorders>
          </w:tcPr>
          <w:p>
            <w:pPr>
              <w:spacing w:after="0"/>
              <w:rPr>
                <w:sz w:val="15"/>
                <w:szCs w:val="15"/>
                <w:color w:val="auto"/>
              </w:rPr>
            </w:pPr>
          </w:p>
        </w:tc>
        <w:tc>
          <w:tcPr>
            <w:tcW w:w="1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jc w:val="right"/>
              <w:ind w:right="2444"/>
              <w:spacing w:after="0" w:line="167" w:lineRule="exact"/>
              <w:rPr>
                <w:sz w:val="20"/>
                <w:szCs w:val="20"/>
                <w:color w:val="auto"/>
              </w:rPr>
            </w:pPr>
            <w:r>
              <w:rPr>
                <w:rFonts w:ascii="Arial" w:cs="Arial" w:eastAsia="Arial" w:hAnsi="Arial"/>
                <w:sz w:val="15"/>
                <w:szCs w:val="15"/>
                <w:b w:val="1"/>
                <w:bCs w:val="1"/>
                <w:color w:val="auto"/>
              </w:rPr>
              <w:t>ASSETS</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Current assets: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45,348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36,566</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10,622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9,928</w:t>
            </w: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Accounts receivable, net of allowance for doubtful accounts of $519 and</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$549 at March 31, 2021 and December 31, 2020,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33,195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40,726</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3,988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5,374</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11,786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9,571</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10,038</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12,560</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ind w:left="500"/>
              <w:spacing w:after="0" w:line="168" w:lineRule="exact"/>
              <w:rPr>
                <w:sz w:val="20"/>
                <w:szCs w:val="20"/>
                <w:color w:val="auto"/>
              </w:rPr>
            </w:pPr>
            <w:r>
              <w:rPr>
                <w:rFonts w:ascii="Arial" w:cs="Arial" w:eastAsia="Arial" w:hAnsi="Arial"/>
                <w:sz w:val="15"/>
                <w:szCs w:val="15"/>
                <w:color w:val="auto"/>
              </w:rPr>
              <w:t>Total current assets</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114,977</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114,725</w:t>
            </w:r>
          </w:p>
        </w:tc>
        <w:tc>
          <w:tcPr>
            <w:tcW w:w="100" w:type="dxa"/>
            <w:vAlign w:val="bottom"/>
            <w:shd w:val="clear" w:color="auto" w:fill="CFF0FC"/>
          </w:tcPr>
          <w:p>
            <w:pPr>
              <w:spacing w:after="0"/>
              <w:rPr>
                <w:sz w:val="14"/>
                <w:szCs w:val="14"/>
                <w:color w:val="auto"/>
              </w:rPr>
            </w:pPr>
          </w:p>
        </w:tc>
      </w:tr>
      <w:tr>
        <w:trPr>
          <w:trHeight w:val="174"/>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Property and equipment, net of accumulated depreciation of $20,968 and</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jc w:val="right"/>
              <w:ind w:right="2444"/>
              <w:spacing w:after="0"/>
              <w:rPr>
                <w:sz w:val="20"/>
                <w:szCs w:val="20"/>
                <w:color w:val="auto"/>
              </w:rPr>
            </w:pPr>
            <w:r>
              <w:rPr>
                <w:rFonts w:ascii="Arial" w:cs="Arial" w:eastAsia="Arial" w:hAnsi="Arial"/>
                <w:sz w:val="15"/>
                <w:szCs w:val="15"/>
                <w:color w:val="auto"/>
                <w:w w:val="93"/>
              </w:rPr>
              <w:t>$19,237 at March 31, 2021 and December 31, 2020,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20,653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22,218</w:t>
            </w:r>
          </w:p>
        </w:tc>
        <w:tc>
          <w:tcPr>
            <w:tcW w:w="100" w:type="dxa"/>
            <w:vAlign w:val="bottom"/>
            <w:shd w:val="clear" w:color="auto" w:fill="CFF0FC"/>
          </w:tcPr>
          <w:p>
            <w:pPr>
              <w:spacing w:after="0"/>
              <w:rPr>
                <w:sz w:val="15"/>
                <w:szCs w:val="15"/>
                <w:color w:val="auto"/>
              </w:rPr>
            </w:pPr>
          </w:p>
        </w:tc>
      </w:tr>
      <w:tr>
        <w:trPr>
          <w:trHeight w:val="161"/>
        </w:trPr>
        <w:tc>
          <w:tcPr>
            <w:tcW w:w="6580" w:type="dxa"/>
            <w:vAlign w:val="bottom"/>
          </w:tcPr>
          <w:p>
            <w:pPr>
              <w:spacing w:after="0" w:line="161" w:lineRule="exact"/>
              <w:rPr>
                <w:sz w:val="20"/>
                <w:szCs w:val="20"/>
                <w:color w:val="auto"/>
              </w:rPr>
            </w:pPr>
            <w:r>
              <w:rPr>
                <w:rFonts w:ascii="Arial" w:cs="Arial" w:eastAsia="Arial" w:hAnsi="Arial"/>
                <w:sz w:val="15"/>
                <w:szCs w:val="15"/>
                <w:color w:val="auto"/>
              </w:rPr>
              <w:t>Capitalized software development, net of accumulated amortization of $74,095 and</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tcPr>
          <w:p>
            <w:pPr>
              <w:jc w:val="right"/>
              <w:ind w:right="2444"/>
              <w:spacing w:after="0"/>
              <w:rPr>
                <w:sz w:val="20"/>
                <w:szCs w:val="20"/>
                <w:color w:val="auto"/>
              </w:rPr>
            </w:pPr>
            <w:r>
              <w:rPr>
                <w:rFonts w:ascii="Arial" w:cs="Arial" w:eastAsia="Arial" w:hAnsi="Arial"/>
                <w:sz w:val="15"/>
                <w:szCs w:val="15"/>
                <w:color w:val="auto"/>
                <w:w w:val="93"/>
              </w:rPr>
              <w:t>$70,516 at March 31, 2021 and December 31, 2020, respectively</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27,190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26,631</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27,276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28,081</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Goodwill</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181,161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178,440</w:t>
            </w: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Customer-related intangibles, net of accumulated amortization of $38,938 and</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jc w:val="right"/>
              <w:ind w:right="2444"/>
              <w:spacing w:after="0"/>
              <w:rPr>
                <w:sz w:val="20"/>
                <w:szCs w:val="20"/>
                <w:color w:val="auto"/>
              </w:rPr>
            </w:pPr>
            <w:r>
              <w:rPr>
                <w:rFonts w:ascii="Arial" w:cs="Arial" w:eastAsia="Arial" w:hAnsi="Arial"/>
                <w:sz w:val="15"/>
                <w:szCs w:val="15"/>
                <w:color w:val="auto"/>
                <w:w w:val="93"/>
              </w:rPr>
              <w:t>$36,723 at March 31, 2021 and December 31, 2020,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75,603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76,927</w:t>
            </w:r>
          </w:p>
        </w:tc>
        <w:tc>
          <w:tcPr>
            <w:tcW w:w="100" w:type="dxa"/>
            <w:vAlign w:val="bottom"/>
            <w:shd w:val="clear" w:color="auto" w:fill="CFF0FC"/>
          </w:tcPr>
          <w:p>
            <w:pPr>
              <w:spacing w:after="0"/>
              <w:rPr>
                <w:sz w:val="15"/>
                <w:szCs w:val="15"/>
                <w:color w:val="auto"/>
              </w:rPr>
            </w:pPr>
          </w:p>
        </w:tc>
      </w:tr>
      <w:tr>
        <w:trPr>
          <w:trHeight w:val="161"/>
        </w:trPr>
        <w:tc>
          <w:tcPr>
            <w:tcW w:w="6580" w:type="dxa"/>
            <w:vAlign w:val="bottom"/>
          </w:tcPr>
          <w:p>
            <w:pPr>
              <w:spacing w:after="0" w:line="161" w:lineRule="exact"/>
              <w:rPr>
                <w:sz w:val="20"/>
                <w:szCs w:val="20"/>
                <w:color w:val="auto"/>
              </w:rPr>
            </w:pPr>
            <w:r>
              <w:rPr>
                <w:rFonts w:ascii="Arial" w:cs="Arial" w:eastAsia="Arial" w:hAnsi="Arial"/>
                <w:sz w:val="15"/>
                <w:szCs w:val="15"/>
                <w:color w:val="auto"/>
              </w:rPr>
              <w:t>Other intangible assets, net of accumulated amortization of $12,371 and</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tcPr>
          <w:p>
            <w:pPr>
              <w:jc w:val="right"/>
              <w:ind w:right="2444"/>
              <w:spacing w:after="0"/>
              <w:rPr>
                <w:sz w:val="20"/>
                <w:szCs w:val="20"/>
                <w:color w:val="auto"/>
              </w:rPr>
            </w:pPr>
            <w:r>
              <w:rPr>
                <w:rFonts w:ascii="Arial" w:cs="Arial" w:eastAsia="Arial" w:hAnsi="Arial"/>
                <w:sz w:val="15"/>
                <w:szCs w:val="15"/>
                <w:color w:val="auto"/>
                <w:w w:val="93"/>
              </w:rPr>
              <w:t>$10,748 at March 31, 2021 and December 31, 2020, respectively</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22,683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23,788</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Deferred commissions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21,375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19,907</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7,791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6,845</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assets</w:t>
            </w:r>
          </w:p>
        </w:tc>
        <w:tc>
          <w:tcPr>
            <w:tcW w:w="142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501,682</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7"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500,313</w:t>
            </w:r>
          </w:p>
        </w:tc>
        <w:tc>
          <w:tcPr>
            <w:tcW w:w="100" w:type="dxa"/>
            <w:vAlign w:val="bottom"/>
            <w:shd w:val="clear" w:color="auto" w:fill="CFF0FC"/>
          </w:tcPr>
          <w:p>
            <w:pPr>
              <w:spacing w:after="0"/>
              <w:rPr>
                <w:sz w:val="14"/>
                <w:szCs w:val="14"/>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4"/>
        </w:trPr>
        <w:tc>
          <w:tcPr>
            <w:tcW w:w="6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shd w:val="clear" w:color="auto" w:fill="CFF0FC"/>
          </w:tcPr>
          <w:p>
            <w:pPr>
              <w:ind w:left="2140"/>
              <w:spacing w:after="0"/>
              <w:rPr>
                <w:sz w:val="20"/>
                <w:szCs w:val="20"/>
                <w:color w:val="auto"/>
              </w:rPr>
            </w:pPr>
            <w:r>
              <w:rPr>
                <w:rFonts w:ascii="Arial" w:cs="Arial" w:eastAsia="Arial" w:hAnsi="Arial"/>
                <w:sz w:val="15"/>
                <w:szCs w:val="15"/>
                <w:b w:val="1"/>
                <w:bCs w:val="1"/>
                <w:color w:val="auto"/>
              </w:rPr>
              <w:t>LIABILITIES AND SHAREHOLDERS’ EQUITY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Current liabilities: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20,012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29,457</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8,504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8,809</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1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88,390</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81,176</w:t>
            </w:r>
          </w:p>
        </w:tc>
        <w:tc>
          <w:tcPr>
            <w:tcW w:w="100" w:type="dxa"/>
            <w:vAlign w:val="bottom"/>
            <w:shd w:val="clear" w:color="auto" w:fill="CFF0FC"/>
          </w:tcPr>
          <w:p>
            <w:pPr>
              <w:spacing w:after="0"/>
              <w:rPr>
                <w:sz w:val="15"/>
                <w:szCs w:val="15"/>
                <w:color w:val="auto"/>
              </w:rPr>
            </w:pPr>
          </w:p>
        </w:tc>
      </w:tr>
      <w:tr>
        <w:trPr>
          <w:trHeight w:val="167"/>
        </w:trPr>
        <w:tc>
          <w:tcPr>
            <w:tcW w:w="6580" w:type="dxa"/>
            <w:vAlign w:val="bottom"/>
          </w:tcPr>
          <w:p>
            <w:pPr>
              <w:ind w:left="500"/>
              <w:spacing w:after="0" w:line="168" w:lineRule="exact"/>
              <w:rPr>
                <w:sz w:val="20"/>
                <w:szCs w:val="20"/>
                <w:color w:val="auto"/>
              </w:rPr>
            </w:pPr>
            <w:r>
              <w:rPr>
                <w:rFonts w:ascii="Arial" w:cs="Arial" w:eastAsia="Arial" w:hAnsi="Arial"/>
                <w:sz w:val="15"/>
                <w:szCs w:val="15"/>
                <w:color w:val="auto"/>
              </w:rPr>
              <w:t>Total current liabilities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Arial" w:cs="Arial" w:eastAsia="Arial" w:hAnsi="Arial"/>
                <w:sz w:val="15"/>
                <w:szCs w:val="15"/>
                <w:color w:val="auto"/>
              </w:rPr>
              <w:t>116,906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Arial" w:cs="Arial" w:eastAsia="Arial" w:hAnsi="Arial"/>
                <w:sz w:val="15"/>
                <w:szCs w:val="15"/>
                <w:color w:val="auto"/>
              </w:rPr>
              <w:t>119,442</w:t>
            </w:r>
          </w:p>
        </w:tc>
        <w:tc>
          <w:tcPr>
            <w:tcW w:w="100" w:type="dxa"/>
            <w:vAlign w:val="bottom"/>
          </w:tcPr>
          <w:p>
            <w:pPr>
              <w:spacing w:after="0"/>
              <w:rPr>
                <w:sz w:val="14"/>
                <w:szCs w:val="14"/>
                <w:color w:val="auto"/>
              </w:rPr>
            </w:pPr>
          </w:p>
        </w:tc>
      </w:tr>
      <w:tr>
        <w:trPr>
          <w:trHeight w:val="174"/>
        </w:trPr>
        <w:tc>
          <w:tcPr>
            <w:tcW w:w="6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16,560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14,523</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 noncurrent</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1,603</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Operating lease liability, noncurrent</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27,675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28,479</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2,204</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Shareholders’ equity:</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Common stock, no par value, 75,000 shares authorized; 31,553 and 31,493 shares</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issued and outstanding at March 31, 2021 and December 31, 2020, respectively</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272,001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271,784</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64,569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62,277</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income</w:t>
            </w:r>
          </w:p>
        </w:tc>
        <w:tc>
          <w:tcPr>
            <w:tcW w:w="1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235</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5"/>
                <w:szCs w:val="15"/>
                <w:color w:val="auto"/>
              </w:rPr>
            </w:pPr>
          </w:p>
        </w:tc>
      </w:tr>
      <w:tr>
        <w:trPr>
          <w:trHeight w:val="167"/>
        </w:trPr>
        <w:tc>
          <w:tcPr>
            <w:tcW w:w="6580" w:type="dxa"/>
            <w:vAlign w:val="bottom"/>
            <w:tcBorders>
              <w:bottom w:val="single" w:sz="8" w:color="CFF0FC"/>
            </w:tcBorders>
          </w:tcPr>
          <w:p>
            <w:pPr>
              <w:ind w:left="500"/>
              <w:spacing w:after="0" w:line="167" w:lineRule="exact"/>
              <w:rPr>
                <w:sz w:val="20"/>
                <w:szCs w:val="20"/>
                <w:color w:val="auto"/>
              </w:rPr>
            </w:pPr>
            <w:r>
              <w:rPr>
                <w:rFonts w:ascii="Arial" w:cs="Arial" w:eastAsia="Arial" w:hAnsi="Arial"/>
                <w:sz w:val="15"/>
                <w:szCs w:val="15"/>
                <w:color w:val="auto"/>
              </w:rPr>
              <w:t>Total shareholders’ equity</w:t>
            </w:r>
          </w:p>
        </w:tc>
        <w:tc>
          <w:tcPr>
            <w:tcW w:w="1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336,805</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334,062</w:t>
            </w:r>
          </w:p>
        </w:tc>
        <w:tc>
          <w:tcPr>
            <w:tcW w:w="100" w:type="dxa"/>
            <w:vAlign w:val="bottom"/>
            <w:tcBorders>
              <w:bottom w:val="single" w:sz="8" w:color="CFF0FC"/>
            </w:tcBorders>
          </w:tcPr>
          <w:p>
            <w:pPr>
              <w:spacing w:after="0"/>
              <w:rPr>
                <w:sz w:val="14"/>
                <w:szCs w:val="14"/>
                <w:color w:val="auto"/>
              </w:rPr>
            </w:pPr>
          </w:p>
        </w:tc>
      </w:tr>
      <w:tr>
        <w:trPr>
          <w:trHeight w:val="167"/>
        </w:trPr>
        <w:tc>
          <w:tcPr>
            <w:tcW w:w="6580" w:type="dxa"/>
            <w:vAlign w:val="bottom"/>
            <w:shd w:val="clear" w:color="auto" w:fill="CFF0FC"/>
          </w:tcPr>
          <w:p>
            <w:pPr>
              <w:ind w:left="500"/>
              <w:spacing w:after="0" w:line="168" w:lineRule="exact"/>
              <w:rPr>
                <w:sz w:val="20"/>
                <w:szCs w:val="20"/>
                <w:color w:val="auto"/>
              </w:rPr>
            </w:pPr>
            <w:r>
              <w:rPr>
                <w:rFonts w:ascii="Arial" w:cs="Arial" w:eastAsia="Arial" w:hAnsi="Arial"/>
                <w:sz w:val="15"/>
                <w:szCs w:val="15"/>
                <w:color w:val="auto"/>
              </w:rPr>
              <w:t>Total liabilities and shareholders’ equity</w:t>
            </w:r>
          </w:p>
        </w:tc>
        <w:tc>
          <w:tcPr>
            <w:tcW w:w="1420" w:type="dxa"/>
            <w:vAlign w:val="bottom"/>
            <w:gridSpan w:val="2"/>
            <w:shd w:val="clear" w:color="auto" w:fill="CFF0FC"/>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501,682</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8"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500,313</w:t>
            </w:r>
          </w:p>
        </w:tc>
        <w:tc>
          <w:tcPr>
            <w:tcW w:w="100" w:type="dxa"/>
            <w:vAlign w:val="bottom"/>
            <w:shd w:val="clear" w:color="auto" w:fill="CFF0FC"/>
          </w:tcPr>
          <w:p>
            <w:pPr>
              <w:spacing w:after="0"/>
              <w:rPr>
                <w:sz w:val="14"/>
                <w:szCs w:val="14"/>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right"/>
              <w:ind w:right="680"/>
              <w:spacing w:after="0" w:line="131"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3"/>
              <w:spacing w:after="0" w:line="131"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6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 (excluding depreciation and amortization)</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600" w:type="dxa"/>
            <w:vAlign w:val="bottom"/>
          </w:tcPr>
          <w:p>
            <w:pPr>
              <w:ind w:left="50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Other (loss) income, net</w:t>
            </w:r>
          </w:p>
        </w:tc>
        <w:tc>
          <w:tcPr>
            <w:tcW w:w="2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6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0" w:type="dxa"/>
            <w:vAlign w:val="bottom"/>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 average shares of common stock outstanding: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31,504</w:t>
            </w:r>
          </w:p>
        </w:tc>
        <w:tc>
          <w:tcPr>
            <w:tcW w:w="30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vMerge w:val="continue"/>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31,526</w:t>
            </w: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55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97"/>
              <w:spacing w:after="0" w:line="131"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jc w:val="right"/>
              <w:ind w:right="436"/>
              <w:spacing w:after="0" w:line="131"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r>
      <w:tr>
        <w:trPr>
          <w:trHeight w:val="170"/>
        </w:trPr>
        <w:tc>
          <w:tcPr>
            <w:tcW w:w="55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1"/>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FF0FC"/>
          </w:tcPr>
          <w:p>
            <w:pPr>
              <w:spacing w:after="0"/>
              <w:rPr>
                <w:sz w:val="19"/>
                <w:szCs w:val="19"/>
                <w:color w:val="auto"/>
              </w:rPr>
            </w:pPr>
          </w:p>
        </w:tc>
      </w:tr>
      <w:tr>
        <w:trPr>
          <w:trHeight w:val="228"/>
        </w:trPr>
        <w:tc>
          <w:tcPr>
            <w:tcW w:w="5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28"/>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marketable securities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21"/>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19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tcPr>
          <w:p>
            <w:pPr>
              <w:spacing w:after="0"/>
              <w:rPr>
                <w:sz w:val="19"/>
                <w:szCs w:val="19"/>
                <w:color w:val="auto"/>
              </w:rPr>
            </w:pPr>
          </w:p>
        </w:tc>
      </w:tr>
      <w:tr>
        <w:trPr>
          <w:trHeight w:val="221"/>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4"/>
          </w:tcPr>
          <w:p>
            <w:pPr>
              <w:jc w:val="center"/>
              <w:ind w:right="400"/>
              <w:spacing w:after="0"/>
              <w:rPr>
                <w:sz w:val="20"/>
                <w:szCs w:val="20"/>
                <w:color w:val="auto"/>
              </w:rPr>
            </w:pPr>
            <w:r>
              <w:rPr>
                <w:rFonts w:ascii="Arial" w:cs="Arial" w:eastAsia="Arial" w:hAnsi="Arial"/>
                <w:sz w:val="14"/>
                <w:szCs w:val="14"/>
                <w:b w:val="1"/>
                <w:bCs w:val="1"/>
                <w:color w:val="auto"/>
                <w:w w:val="94"/>
              </w:rPr>
              <w:t>Three Months Ended March 31, 2021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340"/>
              <w:spacing w:after="0" w:line="131"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gridSpan w:val="9"/>
            <w:vMerge w:val="restart"/>
          </w:tcPr>
          <w:p>
            <w:pPr>
              <w:jc w:val="right"/>
              <w:ind w:right="8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54"/>
        </w:trPr>
        <w:tc>
          <w:tcPr>
            <w:tcW w:w="4920" w:type="dxa"/>
            <w:vAlign w:val="bottom"/>
            <w:vMerge w:val="restart"/>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ind w:right="480"/>
              <w:spacing w:after="0" w:line="154"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95"/>
              <w:spacing w:after="0" w:line="154"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40"/>
              <w:spacing w:after="0" w:line="154" w:lineRule="exact"/>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31,493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1"/>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31,553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272,001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4"/>
          </w:tcPr>
          <w:p>
            <w:pPr>
              <w:jc w:val="center"/>
              <w:ind w:right="400"/>
              <w:spacing w:after="0"/>
              <w:rPr>
                <w:sz w:val="20"/>
                <w:szCs w:val="20"/>
                <w:color w:val="auto"/>
              </w:rPr>
            </w:pPr>
            <w:r>
              <w:rPr>
                <w:rFonts w:ascii="Arial" w:cs="Arial" w:eastAsia="Arial" w:hAnsi="Arial"/>
                <w:sz w:val="14"/>
                <w:szCs w:val="14"/>
                <w:b w:val="1"/>
                <w:bCs w:val="1"/>
                <w:color w:val="auto"/>
                <w:w w:val="94"/>
              </w:rPr>
              <w:t>Three Months Ended March 31,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gridSpan w:val="9"/>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4920" w:type="dxa"/>
            <w:vAlign w:val="bottom"/>
            <w:vMerge w:val="restart"/>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Pr>
          <w:p>
            <w:pPr>
              <w:spacing w:after="0"/>
              <w:rPr>
                <w:sz w:val="13"/>
                <w:szCs w:val="13"/>
                <w:color w:val="auto"/>
              </w:rPr>
            </w:pPr>
          </w:p>
        </w:tc>
        <w:tc>
          <w:tcPr>
            <w:tcW w:w="1180" w:type="dxa"/>
            <w:vAlign w:val="bottom"/>
            <w:tcBorders>
              <w:top w:val="single" w:sz="8" w:color="auto"/>
            </w:tcBorders>
            <w:gridSpan w:val="3"/>
          </w:tcPr>
          <w:p>
            <w:pPr>
              <w:jc w:val="right"/>
              <w:ind w:right="460"/>
              <w:spacing w:after="0" w:line="154"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32,379</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290,021</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48,143</w:t>
            </w:r>
          </w:p>
        </w:tc>
        <w:tc>
          <w:tcPr>
            <w:tcW w:w="2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(9,876)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32,003</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280,322</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55,235</w:t>
            </w:r>
          </w:p>
        </w:tc>
        <w:tc>
          <w:tcPr>
            <w:tcW w:w="2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76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1"/>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Pr>
          <w:p>
            <w:pPr>
              <w:spacing w:after="0"/>
              <w:rPr>
                <w:sz w:val="19"/>
                <w:szCs w:val="19"/>
                <w:color w:val="auto"/>
              </w:rPr>
            </w:pP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Amortization of deferred commissions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doubtful accounts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non-marketable equity investments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Non-cash paid time off expense</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royalty expense</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(3,440)</w:t>
            </w: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Change in fair value of non-marketable equity investments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and unbilled receivables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(4,573)</w:t>
            </w: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Prepaid royalties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(2,215)</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(3,202)</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prepaid expenses and other current assets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Deferred commissions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(3,602)</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(1,602)</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(5,339)</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(5,775)</w:t>
            </w:r>
          </w:p>
        </w:tc>
      </w:tr>
      <w:tr>
        <w:trPr>
          <w:trHeight w:val="228"/>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royalties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(305)</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100" w:type="dxa"/>
            <w:vAlign w:val="bottom"/>
            <w:tcBorders>
              <w:bottom w:val="single" w:sz="8" w:color="CFF0FC"/>
            </w:tcBorders>
          </w:tcPr>
          <w:p>
            <w:pPr>
              <w:spacing w:after="0"/>
              <w:rPr>
                <w:sz w:val="19"/>
                <w:szCs w:val="19"/>
                <w:color w:val="auto"/>
              </w:rPr>
            </w:pPr>
          </w:p>
        </w:tc>
      </w:tr>
      <w:tr>
        <w:trPr>
          <w:trHeight w:val="221"/>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19,104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6,116</w:t>
            </w:r>
          </w:p>
        </w:tc>
        <w:tc>
          <w:tcPr>
            <w:tcW w:w="100" w:type="dxa"/>
            <w:vAlign w:val="bottom"/>
            <w:shd w:val="clear" w:color="auto" w:fill="CFF0FC"/>
          </w:tcPr>
          <w:p>
            <w:pPr>
              <w:spacing w:after="0"/>
              <w:rPr>
                <w:sz w:val="19"/>
                <w:szCs w:val="19"/>
                <w:color w:val="auto"/>
              </w:rPr>
            </w:pPr>
          </w:p>
        </w:tc>
      </w:tr>
      <w:tr>
        <w:trPr>
          <w:trHeight w:val="228"/>
        </w:trPr>
        <w:tc>
          <w:tcPr>
            <w:tcW w:w="6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(21,421)</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marketable securities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20,725</w:t>
            </w: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(5,205)</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(14,130)</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Payments to acquire non-marketable equity investments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(5,326)</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(1,010)</w:t>
            </w:r>
          </w:p>
        </w:tc>
      </w:tr>
      <w:tr>
        <w:trPr>
          <w:trHeight w:val="221"/>
        </w:trPr>
        <w:tc>
          <w:tcPr>
            <w:tcW w:w="67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(9,660)</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(19,904)</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(373)</w:t>
            </w: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(9,876)</w:t>
            </w: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Payment of cash dividends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21"/>
        </w:trPr>
        <w:tc>
          <w:tcPr>
            <w:tcW w:w="676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(10,279)</w:t>
            </w:r>
          </w:p>
        </w:tc>
        <w:tc>
          <w:tcPr>
            <w:tcW w:w="100" w:type="dxa"/>
            <w:vAlign w:val="bottom"/>
          </w:tcPr>
          <w:p>
            <w:pPr>
              <w:spacing w:after="0"/>
              <w:rPr>
                <w:sz w:val="19"/>
                <w:szCs w:val="19"/>
                <w:color w:val="auto"/>
              </w:rPr>
            </w:pPr>
          </w:p>
        </w:tc>
      </w:tr>
      <w:tr>
        <w:trPr>
          <w:trHeight w:val="228"/>
        </w:trPr>
        <w:tc>
          <w:tcPr>
            <w:tcW w:w="6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21"/>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(24,113)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36,566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131,538</w:t>
            </w:r>
          </w:p>
        </w:tc>
        <w:tc>
          <w:tcPr>
            <w:tcW w:w="100" w:type="dxa"/>
            <w:vAlign w:val="bottom"/>
            <w:tcBorders>
              <w:bottom w:val="single" w:sz="8" w:color="CFF0FC"/>
            </w:tcBorders>
          </w:tcPr>
          <w:p>
            <w:pPr>
              <w:spacing w:after="0"/>
              <w:rPr>
                <w:sz w:val="19"/>
                <w:szCs w:val="19"/>
                <w:color w:val="auto"/>
              </w:rPr>
            </w:pPr>
          </w:p>
        </w:tc>
      </w:tr>
      <w:tr>
        <w:trPr>
          <w:trHeight w:val="221"/>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45,348</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107,425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8"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2021 are not necessarily indicative of the results that may be expected for the year ending December 31, 2021.</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Condensed Consolidated Balance Sheet at December 31, 2020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2020 (included in the Company's Annual Report on Form 10-K, filed with the Securities and Exchange Commission on February 25,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AND SALES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4" w:lineRule="exact"/>
        <w:rPr>
          <w:sz w:val="20"/>
          <w:szCs w:val="20"/>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4"/>
                <w:szCs w:val="14"/>
                <w:b w:val="1"/>
                <w:bCs w:val="1"/>
                <w:color w:val="auto"/>
                <w:w w:val="94"/>
              </w:rPr>
              <w:t>Three Months Ended March 31, 2021</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7"/>
          </w:tcPr>
          <w:p>
            <w:pPr>
              <w:jc w:val="center"/>
              <w:ind w:right="115"/>
              <w:spacing w:after="0"/>
              <w:rPr>
                <w:sz w:val="20"/>
                <w:szCs w:val="20"/>
                <w:color w:val="auto"/>
              </w:rPr>
            </w:pPr>
            <w:r>
              <w:rPr>
                <w:rFonts w:ascii="Arial" w:cs="Arial" w:eastAsia="Arial" w:hAnsi="Arial"/>
                <w:sz w:val="14"/>
                <w:szCs w:val="14"/>
                <w:b w:val="1"/>
                <w:bCs w:val="1"/>
                <w:color w:val="auto"/>
                <w:w w:val="94"/>
              </w:rPr>
              <w:t>Three Months Ended March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80"/>
              <w:spacing w:after="0" w:line="131" w:lineRule="exact"/>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2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200"/>
              <w:spacing w:after="0" w:line="131" w:lineRule="exact"/>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4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2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three months ended March 31, 2021 and 2020, the Company recognized $0.1 million and $0.3 million, respectively, in impairment losses on receivables and contract assets arising from the Company’s contracts with customers.</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March 31, 2021 and 2020, we recognized revenues of approximately $33.6 million and $31.6 million, respectively, from amounts included in deferred revenue at the beginning of the respective periods. As of March 31, 2021, approximately $446 million of revenue is expected to be recognized from remaining performance obligations under contracts with customers. We expect to recognize revenue related to approximately 46% of these remaining performance obligations over the next 12 months, with the remaining amounts recognized thereafter.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Capitalized contract costs are included in deferred commissions in the accompanying Condensed Consolidated Balance Sheets. The expected period of benefit is the contract term, except when the capitalized commission is expected to provide economic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$2.1 million and $2.2 million for the three months ended March 31, 2021 and 2020, respectively, which is included in sales and marketing expenses in the accompanying Condensed Consolidated Statements of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Company computes its interim period provision for income taxes by applying the estimated annual effective tax rate to year-to-date pretax income or loss and adjusts the provision for discrete tax items recorded in the period. During the three months ended March 31, 2021 and 2020, the Company recorded a provision for income taxes of approximately $0.9 million and $1.9 million, respectively. The Company’s effective tax rate for the three months ended March 31, 2021 and 2020 was 29% and 21%, respectively. The Company’s effective tax rate primarily reflects the statutory corporate income tax rate, the net effect of state taxes, foreign income taxes, and the effect of various permanent tax differences. During the three months ended March 31, 2021, the Company recorded discrete tax expense of $0.1 million related to various items, including recording a permanent difference related to purchase accounting adjustments and the impact of a state tax rate change enacted during the period. During the three months ended March 31, 2020, the Company </w:t>
      </w:r>
      <w:r>
        <w:rPr>
          <w:rFonts w:ascii="Arial" w:cs="Arial" w:eastAsia="Arial" w:hAnsi="Arial"/>
          <w:sz w:val="16"/>
          <w:szCs w:val="16"/>
          <w:color w:val="212529"/>
        </w:rPr>
        <w:t>recorded a $1.2 million change in</w:t>
      </w:r>
      <w:r>
        <w:rPr>
          <w:rFonts w:ascii="Arial" w:cs="Arial" w:eastAsia="Arial" w:hAnsi="Arial"/>
          <w:sz w:val="16"/>
          <w:szCs w:val="16"/>
          <w:color w:val="auto"/>
        </w:rPr>
        <w:t xml:space="preserve"> </w:t>
      </w:r>
      <w:r>
        <w:rPr>
          <w:rFonts w:ascii="Arial" w:cs="Arial" w:eastAsia="Arial" w:hAnsi="Arial"/>
          <w:sz w:val="16"/>
          <w:szCs w:val="16"/>
          <w:color w:val="212529"/>
        </w:rPr>
        <w:t xml:space="preserve">fair value of non-marketable equity investments </w:t>
      </w:r>
      <w:r>
        <w:rPr>
          <w:rFonts w:ascii="Arial" w:cs="Arial" w:eastAsia="Arial" w:hAnsi="Arial"/>
          <w:sz w:val="16"/>
          <w:szCs w:val="16"/>
          <w:color w:val="000000"/>
        </w:rPr>
        <w:t>as a result of the NurseGrid acquisition, which is not a taxable transaction, resulting in a tax benefit of $0.3</w:t>
      </w:r>
      <w:r>
        <w:rPr>
          <w:rFonts w:ascii="Arial" w:cs="Arial" w:eastAsia="Arial" w:hAnsi="Arial"/>
          <w:sz w:val="16"/>
          <w:szCs w:val="16"/>
          <w:color w:val="212529"/>
        </w:rPr>
        <w:t xml:space="preserve"> </w:t>
      </w:r>
      <w:r>
        <w:rPr>
          <w:rFonts w:ascii="Arial" w:cs="Arial" w:eastAsia="Arial" w:hAnsi="Arial"/>
          <w:sz w:val="16"/>
          <w:szCs w:val="16"/>
          <w:color w:val="000000"/>
        </w:rPr>
        <w:t>million. The Company recognizes excess tax benefits and tax deficiencies associated with stock based awards as a component of its provision for income taxes. The Company recorded additional income tax expense associated with tax deficiencies of approximately $17,000 and $26,000 during the three months ended March 31, 2021 and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stock awards outstanding under its 2016 Omnibus Incentive Plan. The Company accounts for its stock based compensation plan using the fair-value based method for costs related to share based payments, including restricted share units (“RSUs”). During the three months ended March 31, 2021, the Company issued 121,551 RSUs, subject to service-based time vesting, with a weighted average grant date fair value of $23.16 per share, measured based on the closing fair market value of the Company’s stock on the date of grant. During the three months ended March 31, 2020, the Company issued 111,510 RSUs, subject to service-based time vesting, with a weighted average grant date fair value of $22.96 per share, measured based on the closing fair market value of the Company’s stock on the date of grant.</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three months ended June 30, 2018, the Company issued 70,000 performance-based RSUs, the vesting of which occurs over a five-year period and is contingent upon continued service and achieving certain performance criteria established by the Compensation Committee on an annual basis in increments of 10%, 15%, 20%, 25%, and 30% based on performance in 2018, 2019, 2020, 2021, and 2022, respectively. The performance criteria for 17,500 of these performance-based RSUs, along with 7,000 performance-based catch-up RSUs which did not vest based on 2020 performance and remain eligible for vesting, will be based on 2021 performance. The measurement date for these 24,500 performance-based RSUs was established during the three months ended March 31, 2021 with a grant date fair value of $23.01 per share, measured based on the closing fair market value of the Company’s stock on the date the performance criteria was established. The performance criteria for the remaining 21,000 performance-based RSUs has not yet been determined and will be established in 2022 based on performance in 2022; therefore, the measurement date for these remaining 21,000 performance-based RSUs cannot be determined until the performance criteria have been established.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Total stock based compensation expense recognized in the Condensed Consolidated Statements of Income is as follows (in thousands):</w:t>
      </w:r>
    </w:p>
    <w:p>
      <w:pPr>
        <w:spacing w:after="0" w:line="11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32"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92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8"/>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28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Product development</w:t>
            </w:r>
          </w:p>
        </w:tc>
        <w:tc>
          <w:tcPr>
            <w:tcW w:w="2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8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28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28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20" w:type="dxa"/>
            <w:vAlign w:val="bottom"/>
            <w:vMerge w:val="restart"/>
          </w:tcPr>
          <w:p>
            <w:pPr>
              <w:jc w:val="right"/>
              <w:ind w:right="1991"/>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13, 2020, the Company’s Board of Directors authorized a share repurchase program to repurchase up to $30.0 million of outstanding shares of common stock. The share repurchase program expired on March 12, 2021. Under this program, the Company repurchased a total of 957,367 shares in open market purchases at an aggregate fair value of $20.0 million, reflecting an average price per share of $20.89 (excluding the cost of broker commissions). No repurchases occurred during the three months ended March 31,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148,000 and 106,000 for the three months ended March 31, 2021 and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11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2"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32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3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3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Pr>
          <w:p>
            <w:pPr>
              <w:spacing w:after="0"/>
              <w:rPr>
                <w:sz w:val="23"/>
                <w:szCs w:val="23"/>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4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2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31,504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dilutive shares</w:t>
            </w:r>
          </w:p>
        </w:tc>
        <w:tc>
          <w:tcPr>
            <w:tcW w:w="24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Weighted-average diluted shares</w:t>
            </w:r>
          </w:p>
        </w:tc>
        <w:tc>
          <w:tcPr>
            <w:tcW w:w="24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31,526</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38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4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1"/>
              </w:rPr>
              <w:t>Cash and</w:t>
            </w:r>
          </w:p>
        </w:tc>
        <w:tc>
          <w:tcPr>
            <w:tcW w:w="100" w:type="dxa"/>
            <w:vAlign w:val="bottom"/>
          </w:tcPr>
          <w:p>
            <w:pPr>
              <w:spacing w:after="0"/>
              <w:rPr>
                <w:sz w:val="11"/>
                <w:szCs w:val="11"/>
                <w:color w:val="auto"/>
              </w:rPr>
            </w:pPr>
          </w:p>
        </w:tc>
        <w:tc>
          <w:tcPr>
            <w:tcW w:w="82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1"/>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55,974</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CFF0FC"/>
            </w:tcBorders>
            <w:vMerge w:val="restart"/>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Adjusted</w:t>
            </w:r>
          </w:p>
        </w:tc>
        <w:tc>
          <w:tcPr>
            <w:tcW w:w="8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1"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76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1"/>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36,566</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March 31, 2021,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NurseGrid</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212529"/>
        </w:rPr>
        <w:t xml:space="preserve">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 of Income during the three months ended March 31, 2020. Additionally, the Company’s previously recorded non-marketable equity investment in NurseGrid was de-recognized from the Company’s Condensed Consolidated Balance Sheet during the same period. </w:t>
      </w:r>
      <w:r>
        <w:rPr>
          <w:rFonts w:ascii="Arial" w:cs="Arial" w:eastAsia="Arial" w:hAnsi="Arial"/>
          <w:sz w:val="15"/>
          <w:szCs w:val="15"/>
          <w:color w:val="000000"/>
        </w:rPr>
        <w:t>Acquisition-related transaction costs</w:t>
      </w:r>
      <w:r>
        <w:rPr>
          <w:rFonts w:ascii="Arial" w:cs="Arial" w:eastAsia="Arial" w:hAnsi="Arial"/>
          <w:sz w:val="15"/>
          <w:szCs w:val="15"/>
          <w:color w:val="212529"/>
        </w:rPr>
        <w:t xml:space="preserve"> </w:t>
      </w:r>
      <w:r>
        <w:rPr>
          <w:rFonts w:ascii="Arial" w:cs="Arial" w:eastAsia="Arial" w:hAnsi="Arial"/>
          <w:sz w:val="15"/>
          <w:szCs w:val="15"/>
          <w:color w:val="000000"/>
        </w:rPr>
        <w:t xml:space="preserve">were $0.2 million. </w:t>
      </w:r>
      <w:r>
        <w:rPr>
          <w:rFonts w:ascii="Arial" w:cs="Arial" w:eastAsia="Arial" w:hAnsi="Arial"/>
          <w:sz w:val="15"/>
          <w:szCs w:val="15"/>
          <w:color w:val="212529"/>
        </w:rPr>
        <w:t>The financial results of NurseGrid have been included in the Workforce Solutions segment from March 9, 2020.</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212529"/>
        </w:rPr>
        <w:t>A summary of the purchase price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Post-closing adjustment, net of cash received</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acquired</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05"/>
        </w:trPr>
        <w:tc>
          <w:tcPr>
            <w:tcW w:w="9580" w:type="dxa"/>
            <w:vAlign w:val="bottom"/>
          </w:tcPr>
          <w:p>
            <w:pPr>
              <w:ind w:left="120"/>
              <w:spacing w:after="0"/>
              <w:rPr>
                <w:sz w:val="20"/>
                <w:szCs w:val="20"/>
                <w:color w:val="auto"/>
              </w:rPr>
            </w:pPr>
            <w:r>
              <w:rPr>
                <w:rFonts w:ascii="Arial" w:cs="Arial" w:eastAsia="Arial" w:hAnsi="Arial"/>
                <w:sz w:val="16"/>
                <w:szCs w:val="16"/>
                <w:color w:val="auto"/>
              </w:rPr>
              <w:t>Net consideration paid</w:t>
            </w: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Fair value of existing equity interest in NurseGrid</w:t>
            </w: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580" w:type="dxa"/>
            <w:vAlign w:val="bottom"/>
          </w:tcPr>
          <w:p>
            <w:pPr>
              <w:ind w:left="260"/>
              <w:spacing w:after="0"/>
              <w:rPr>
                <w:sz w:val="20"/>
                <w:szCs w:val="20"/>
                <w:color w:val="auto"/>
              </w:rPr>
            </w:pPr>
            <w:r>
              <w:rPr>
                <w:rFonts w:ascii="Arial" w:cs="Arial" w:eastAsia="Arial" w:hAnsi="Arial"/>
                <w:sz w:val="16"/>
                <w:szCs w:val="16"/>
                <w:color w:val="auto"/>
              </w:rPr>
              <w:t>Total purchase price</w:t>
            </w: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7"/>
                <w:szCs w:val="17"/>
                <w:color w:val="212529"/>
                <w:w w:val="94"/>
              </w:rPr>
              <w:t>The following table summarizes the fair value of the assets acquired and liabilities assumed as of the date of acquisition (in thousands):</w:t>
            </w: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5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5"/>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economic and market conditions.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212529"/>
        </w:rPr>
        <w:t>The following table sets forth the components of identifiable intangible assets and their estimated useful lives as of the acquisition date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Useful life</w:t>
            </w: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years</w:t>
            </w:r>
          </w:p>
        </w:tc>
      </w:tr>
      <w:tr>
        <w:trPr>
          <w:trHeight w:val="211"/>
        </w:trPr>
        <w:tc>
          <w:tcPr>
            <w:tcW w:w="8220" w:type="dxa"/>
            <w:vAlign w:val="bottom"/>
          </w:tcPr>
          <w:p>
            <w:pPr>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Indefinite</w:t>
            </w:r>
          </w:p>
        </w:tc>
      </w:tr>
      <w:tr>
        <w:trPr>
          <w:trHeight w:val="205"/>
        </w:trPr>
        <w:tc>
          <w:tcPr>
            <w:tcW w:w="822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The following unaudited pro forma financial information summarizes the results of operations of the Company and NurseGrid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CFF0FC"/>
            </w:tcBorders>
          </w:tcPr>
          <w:p>
            <w:pPr>
              <w:spacing w:after="0"/>
              <w:rPr>
                <w:sz w:val="18"/>
                <w:szCs w:val="18"/>
                <w:color w:val="auto"/>
              </w:rPr>
            </w:pPr>
          </w:p>
        </w:tc>
        <w:tc>
          <w:tcPr>
            <w:tcW w:w="3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3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63,472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3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80" w:type="dxa"/>
            <w:vAlign w:val="bottom"/>
            <w:vMerge w:val="continue"/>
          </w:tcPr>
          <w:p>
            <w:pPr>
              <w:spacing w:after="0"/>
              <w:rPr>
                <w:sz w:val="18"/>
                <w:szCs w:val="18"/>
                <w:color w:val="auto"/>
              </w:rPr>
            </w:pPr>
          </w:p>
        </w:tc>
        <w:tc>
          <w:tcPr>
            <w:tcW w:w="3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2,295</w:t>
            </w:r>
          </w:p>
        </w:tc>
        <w:tc>
          <w:tcPr>
            <w:tcW w:w="16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80" w:type="dxa"/>
            <w:vAlign w:val="bottom"/>
            <w:vMerge w:val="continue"/>
            <w:shd w:val="clear" w:color="auto" w:fill="CFF0FC"/>
          </w:tcPr>
          <w:p>
            <w:pPr>
              <w:spacing w:after="0"/>
              <w:rPr>
                <w:sz w:val="16"/>
                <w:szCs w:val="16"/>
                <w:color w:val="auto"/>
              </w:rPr>
            </w:pPr>
          </w:p>
        </w:tc>
        <w:tc>
          <w:tcPr>
            <w:tcW w:w="3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0.07</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3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80" w:type="dxa"/>
            <w:vAlign w:val="bottom"/>
            <w:vMerge w:val="continue"/>
          </w:tcPr>
          <w:p>
            <w:pPr>
              <w:spacing w:after="0"/>
              <w:rPr>
                <w:sz w:val="16"/>
                <w:szCs w:val="16"/>
                <w:color w:val="auto"/>
              </w:rPr>
            </w:pPr>
          </w:p>
        </w:tc>
        <w:tc>
          <w:tcPr>
            <w:tcW w:w="3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6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212529"/>
        </w:rPr>
        <w:t xml:space="preserve">These unaudited pro forma combined results of operations include certain adjustments arising from the acquisition, such as amortization of intangible assets, depreciation of property and equipment, </w:t>
      </w:r>
      <w:r>
        <w:rPr>
          <w:rFonts w:ascii="Arial" w:cs="Arial" w:eastAsia="Arial" w:hAnsi="Arial"/>
          <w:sz w:val="15"/>
          <w:szCs w:val="15"/>
          <w:color w:val="000000"/>
        </w:rPr>
        <w:t>interest expense related to NurseGrid’s previously outstanding debt, and fair value adjustments of acquired deferred revenue balances</w:t>
      </w:r>
      <w:r>
        <w:rPr>
          <w:rFonts w:ascii="Arial" w:cs="Arial" w:eastAsia="Arial" w:hAnsi="Arial"/>
          <w:sz w:val="15"/>
          <w:szCs w:val="15"/>
          <w:color w:val="212529"/>
        </w:rPr>
        <w:t>.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ShiftWizard</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On October 12, 2020, the Company acquired all of the outstanding stock of ShiftWizard, Inc., a Raleigh, North Carolina-based healthcare technology company offering a SaaS-based solution that integrates key workforce management capabilities, including scheduling, productivity, and forecasting. The consideration paid for ShiftWizard consisted of $30.5 million in cash </w:t>
      </w:r>
      <w:r>
        <w:rPr>
          <w:rFonts w:ascii="Arial" w:cs="Arial" w:eastAsia="Arial" w:hAnsi="Arial"/>
          <w:sz w:val="16"/>
          <w:szCs w:val="16"/>
          <w:color w:val="212529"/>
        </w:rPr>
        <w:t>after giving effect to the</w:t>
      </w:r>
      <w:r>
        <w:rPr>
          <w:rFonts w:ascii="Arial" w:cs="Arial" w:eastAsia="Arial" w:hAnsi="Arial"/>
          <w:sz w:val="16"/>
          <w:szCs w:val="16"/>
          <w:color w:val="auto"/>
        </w:rPr>
        <w:t xml:space="preserve"> post-closing working capital adjustment. Acquisition-related transaction costs were $0.3 million. The financial results of ShiftWizard have been included in the Workforce Solutions segment from October 12, 2020.</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Cash</w:t>
            </w:r>
          </w:p>
        </w:tc>
        <w:tc>
          <w:tcPr>
            <w:tcW w:w="406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Prepaid assets</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Indemnification assets</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Goodwill</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Indemnification liability</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assets acquired</w:t>
            </w:r>
          </w:p>
        </w:tc>
        <w:tc>
          <w:tcPr>
            <w:tcW w:w="3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vMerge w:val="continue"/>
            <w:shd w:val="clear" w:color="auto" w:fill="CFF0FC"/>
          </w:tcPr>
          <w:p>
            <w:pPr>
              <w:spacing w:after="0"/>
              <w:rPr>
                <w:sz w:val="18"/>
                <w:szCs w:val="18"/>
                <w:color w:val="auto"/>
              </w:rPr>
            </w:pPr>
          </w:p>
        </w:tc>
        <w:tc>
          <w:tcPr>
            <w:tcW w:w="4060" w:type="dxa"/>
            <w:vAlign w:val="bottom"/>
            <w:gridSpan w:val="2"/>
            <w:shd w:val="clear" w:color="auto" w:fill="CFF0FC"/>
          </w:tcPr>
          <w:p>
            <w:pPr>
              <w:jc w:val="right"/>
              <w:ind w:right="7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excess of purchase price over the fair values of net tangible and intangible assets is recorded as goodwill. The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acquisition date) as the Company finalizes the valuation of these items. The primary areas of the preliminary purchase price allocation that are not finalized include the composition and valuation of income tax attributes. Included in the assets and liabilities is an indemnification asset and liability of $0.5 million associated with a Paycheck Protection Program loan pending forgiveness as of the acquisition date that was subsequently forgiven.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ShiftWizard products, and expected synergies from integrating ShiftWizard with other products or other combined functional areas within the Company. The goodwill balance is not deductible for U.S. income tax purposes. The net tangible assets include deferred revenue, which was adjusted down from a book value at the acquisition date of $2.7 million to an estimated fair value of $1.6 million. The $1.1 million write-down of deferred revenue will result in lower revenues than would have otherwise been recognized for such services.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Borders>
              <w:bottom w:val="single" w:sz="8" w:color="CFF0FC"/>
            </w:tcBorders>
          </w:tcPr>
          <w:p>
            <w:pPr>
              <w:spacing w:after="0"/>
              <w:rPr>
                <w:sz w:val="15"/>
                <w:szCs w:val="15"/>
                <w:color w:val="auto"/>
              </w:rPr>
            </w:pPr>
          </w:p>
        </w:tc>
        <w:tc>
          <w:tcPr>
            <w:tcW w:w="276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Useful life</w:t>
            </w: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3960" w:type="dxa"/>
            <w:vAlign w:val="bottom"/>
            <w:gridSpan w:val="2"/>
            <w:shd w:val="clear" w:color="auto" w:fill="CFF0FC"/>
          </w:tcPr>
          <w:p>
            <w:pPr>
              <w:jc w:val="right"/>
              <w:ind w:right="10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 years</w:t>
            </w:r>
          </w:p>
        </w:tc>
      </w:tr>
      <w:tr>
        <w:trPr>
          <w:trHeight w:val="211"/>
        </w:trPr>
        <w:tc>
          <w:tcPr>
            <w:tcW w:w="4680" w:type="dxa"/>
            <w:vAlign w:val="bottom"/>
          </w:tcPr>
          <w:p>
            <w:pPr>
              <w:spacing w:after="0"/>
              <w:rPr>
                <w:sz w:val="20"/>
                <w:szCs w:val="20"/>
                <w:color w:val="auto"/>
              </w:rPr>
            </w:pPr>
            <w:r>
              <w:rPr>
                <w:rFonts w:ascii="Arial" w:cs="Arial" w:eastAsia="Arial" w:hAnsi="Arial"/>
                <w:sz w:val="16"/>
                <w:szCs w:val="16"/>
                <w:color w:val="auto"/>
              </w:rPr>
              <w:t>Developed technology</w:t>
            </w:r>
          </w:p>
        </w:tc>
        <w:tc>
          <w:tcPr>
            <w:tcW w:w="2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4,050</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Non-compete</w:t>
            </w:r>
          </w:p>
        </w:tc>
        <w:tc>
          <w:tcPr>
            <w:tcW w:w="27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1 - 5 years</w:t>
            </w:r>
          </w:p>
        </w:tc>
      </w:tr>
      <w:tr>
        <w:trPr>
          <w:trHeight w:val="211"/>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 name</w:t>
            </w:r>
          </w:p>
        </w:tc>
        <w:tc>
          <w:tcPr>
            <w:tcW w:w="276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 years</w:t>
            </w:r>
          </w:p>
        </w:tc>
      </w:tr>
      <w:tr>
        <w:trPr>
          <w:trHeight w:val="208"/>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intangible assets</w:t>
            </w:r>
          </w:p>
        </w:tc>
        <w:tc>
          <w:tcPr>
            <w:tcW w:w="3960" w:type="dxa"/>
            <w:vAlign w:val="bottom"/>
            <w:gridSpan w:val="2"/>
            <w:shd w:val="clear" w:color="auto" w:fill="CFF0FC"/>
          </w:tcPr>
          <w:p>
            <w:pPr>
              <w:jc w:val="right"/>
              <w:ind w:right="10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12,660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ShiftWizard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Borders>
              <w:bottom w:val="single" w:sz="8" w:color="CFF0FC"/>
            </w:tcBorders>
          </w:tcPr>
          <w:p>
            <w:pPr>
              <w:spacing w:after="0"/>
              <w:rPr>
                <w:sz w:val="18"/>
                <w:szCs w:val="18"/>
                <w:color w:val="auto"/>
              </w:rPr>
            </w:pPr>
          </w:p>
        </w:tc>
        <w:tc>
          <w:tcPr>
            <w:tcW w:w="27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380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63,719</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2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00" w:type="dxa"/>
            <w:vAlign w:val="bottom"/>
            <w:vMerge w:val="continue"/>
          </w:tcPr>
          <w:p>
            <w:pPr>
              <w:spacing w:after="0"/>
              <w:rPr>
                <w:sz w:val="18"/>
                <w:szCs w:val="18"/>
                <w:color w:val="auto"/>
              </w:rPr>
            </w:pPr>
          </w:p>
        </w:tc>
        <w:tc>
          <w:tcPr>
            <w:tcW w:w="38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2,493</w:t>
            </w:r>
          </w:p>
        </w:tc>
        <w:tc>
          <w:tcPr>
            <w:tcW w:w="180" w:type="dxa"/>
            <w:vAlign w:val="bottom"/>
          </w:tcPr>
          <w:p>
            <w:pPr>
              <w:spacing w:after="0"/>
              <w:rPr>
                <w:sz w:val="18"/>
                <w:szCs w:val="18"/>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00" w:type="dxa"/>
            <w:vAlign w:val="bottom"/>
            <w:vMerge w:val="continue"/>
            <w:shd w:val="clear" w:color="auto" w:fill="CFF0FC"/>
          </w:tcPr>
          <w:p>
            <w:pPr>
              <w:spacing w:after="0"/>
              <w:rPr>
                <w:sz w:val="16"/>
                <w:szCs w:val="16"/>
                <w:color w:val="auto"/>
              </w:rPr>
            </w:pPr>
          </w:p>
        </w:tc>
        <w:tc>
          <w:tcPr>
            <w:tcW w:w="380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0.08</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2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00" w:type="dxa"/>
            <w:vAlign w:val="bottom"/>
            <w:vMerge w:val="continue"/>
          </w:tcPr>
          <w:p>
            <w:pPr>
              <w:spacing w:after="0"/>
              <w:rPr>
                <w:sz w:val="16"/>
                <w:szCs w:val="16"/>
                <w:color w:val="auto"/>
              </w:rPr>
            </w:pPr>
          </w:p>
        </w:tc>
        <w:tc>
          <w:tcPr>
            <w:tcW w:w="38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80" w:type="dxa"/>
            <w:vAlign w:val="bottom"/>
          </w:tcPr>
          <w:p>
            <w:pPr>
              <w:spacing w:after="0"/>
              <w:rPr>
                <w:sz w:val="16"/>
                <w:szCs w:val="16"/>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ANSOS</w:t>
      </w:r>
      <w:r>
        <w:rPr>
          <w:rFonts w:ascii="Arial" w:cs="Arial" w:eastAsia="Arial" w:hAnsi="Arial"/>
          <w:sz w:val="24"/>
          <w:szCs w:val="24"/>
          <w:b w:val="1"/>
          <w:bCs w:val="1"/>
          <w:i w:val="1"/>
          <w:iCs w:val="1"/>
          <w:color w:val="auto"/>
          <w:vertAlign w:val="superscript"/>
        </w:rPr>
        <w:t>TM</w:t>
      </w:r>
      <w:r>
        <w:rPr>
          <w:rFonts w:ascii="Arial" w:cs="Arial" w:eastAsia="Arial" w:hAnsi="Arial"/>
          <w:sz w:val="17"/>
          <w:szCs w:val="17"/>
          <w:b w:val="1"/>
          <w:bCs w:val="1"/>
          <w:i w:val="1"/>
          <w:iCs w:val="1"/>
          <w:color w:val="auto"/>
        </w:rPr>
        <w:t xml:space="preserve"> Staff Scheduling application</w:t>
      </w:r>
    </w:p>
    <w:p>
      <w:pPr>
        <w:spacing w:after="0" w:line="46"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On December 2, 2020, the Company acquired all of the equity interests of Change Healthcare’s staff scheduling business, consisting of the ANSOS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Staff Scheduling application and related products (ANSOS). The consideration paid for ANSOS was $66.4 million in cash, after giving effect to the post-closing working capital adjustment. Acquisition-related transaction costs were $1.1 million. The financial results of ANSOS have been included in the Workforce Solutions segment from December 2,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40" w:type="dxa"/>
            <w:vAlign w:val="bottom"/>
          </w:tcPr>
          <w:p>
            <w:pPr>
              <w:spacing w:after="0"/>
              <w:rPr>
                <w:sz w:val="20"/>
                <w:szCs w:val="20"/>
                <w:color w:val="auto"/>
              </w:rPr>
            </w:pPr>
            <w:r>
              <w:rPr>
                <w:rFonts w:ascii="Arial" w:cs="Arial" w:eastAsia="Arial" w:hAnsi="Arial"/>
                <w:sz w:val="16"/>
                <w:szCs w:val="16"/>
                <w:color w:val="auto"/>
              </w:rPr>
              <w:t>Cash</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10,053</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Prepaid assets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Indemnification asset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36,963</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Intangible assets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32,440</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(1,693)</w:t>
            </w: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Deferred revenue</w:t>
            </w:r>
          </w:p>
        </w:tc>
        <w:tc>
          <w:tcPr>
            <w:tcW w:w="8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(14,537)</w:t>
            </w: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(888)</w:t>
            </w: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8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(1,612)</w:t>
            </w: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Uncertain tax position liability</w:t>
            </w: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(708)</w:t>
            </w:r>
          </w:p>
        </w:tc>
      </w:tr>
      <w:tr>
        <w:trPr>
          <w:trHeight w:val="205"/>
        </w:trPr>
        <w:tc>
          <w:tcPr>
            <w:tcW w:w="9040" w:type="dxa"/>
            <w:vAlign w:val="bottom"/>
          </w:tcPr>
          <w:p>
            <w:pPr>
              <w:ind w:left="500"/>
              <w:spacing w:after="0"/>
              <w:rPr>
                <w:sz w:val="20"/>
                <w:szCs w:val="20"/>
                <w:color w:val="auto"/>
              </w:rPr>
            </w:pPr>
            <w:r>
              <w:rPr>
                <w:rFonts w:ascii="Arial" w:cs="Arial" w:eastAsia="Arial" w:hAnsi="Arial"/>
                <w:sz w:val="16"/>
                <w:szCs w:val="16"/>
                <w:color w:val="auto"/>
              </w:rPr>
              <w:t>Net assets acquired</w:t>
            </w: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66,448</w:t>
            </w:r>
          </w:p>
        </w:tc>
        <w:tc>
          <w:tcPr>
            <w:tcW w:w="120" w:type="dxa"/>
            <w:vAlign w:val="bottom"/>
          </w:tcPr>
          <w:p>
            <w:pPr>
              <w:spacing w:after="0"/>
              <w:rPr>
                <w:sz w:val="17"/>
                <w:szCs w:val="17"/>
                <w:color w:val="auto"/>
              </w:rPr>
            </w:pPr>
          </w:p>
        </w:tc>
      </w:tr>
      <w:tr>
        <w:trPr>
          <w:trHeight w:val="20"/>
        </w:trPr>
        <w:tc>
          <w:tcPr>
            <w:tcW w:w="9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excess of purchase price over the preliminary fair values of net tangible and intangible assets is recorded as goodwill. The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During the three months ended March 31, 2021, the Company determined that a portion of the acquired accounts receivable balance required an adjustment to net realizable value. Additionally, the Company recorded opening balance sheet deferred tax liabilities related to the allocation of intangible assets to the foreign entities. As a result of these two items coupled with the post-closing working capital adjustment, the Company recorded a measurement period adjustment which increased goodwill by $1.7 million. The measurement period adjustment had no effect on current or prior period earnings. The primary areas of the preliminary purchase price allocation that are not finalized include the composition and valuation of income tax attributes and working capital accounts. Included in the preliminary assets and liabilities acquired is an indemnification asset and an uncertain tax position liability of $0.7 million determined based on management’s estimate of the most likely value related to income tax attributes.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ANSOS products, and expected synergies from integrating ANSOS with other products or other combined functional areas within the Company.</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portion of goodwill allocated to the U.S. entity is deductible for U.S. income tax purposes (representing 95%). The net tangible assets include deferred revenue, which was adjusted down from a book value at the acquisition date of $17.8 million to an estimated fair value of $14.5 million. The $3.3 million write-down of deferred revenue will result in lower revenues than would have otherwise been recognized for such services.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Useful life</w:t>
            </w:r>
          </w:p>
        </w:tc>
      </w:tr>
      <w:tr>
        <w:trPr>
          <w:trHeight w:val="208"/>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00" w:type="dxa"/>
            <w:vAlign w:val="bottom"/>
            <w:shd w:val="clear" w:color="auto" w:fill="CFF0FC"/>
          </w:tcPr>
          <w:p>
            <w:pPr>
              <w:jc w:val="right"/>
              <w:ind w:right="10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21,100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11 - 14 years</w:t>
            </w:r>
          </w:p>
        </w:tc>
      </w:tr>
      <w:tr>
        <w:trPr>
          <w:trHeight w:val="211"/>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9,800</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1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years</w:t>
            </w:r>
          </w:p>
        </w:tc>
      </w:tr>
      <w:tr>
        <w:trPr>
          <w:trHeight w:val="205"/>
        </w:trPr>
        <w:tc>
          <w:tcPr>
            <w:tcW w:w="7440" w:type="dxa"/>
            <w:vAlign w:val="bottom"/>
          </w:tcPr>
          <w:p>
            <w:pPr>
              <w:ind w:left="500"/>
              <w:spacing w:after="0"/>
              <w:rPr>
                <w:sz w:val="20"/>
                <w:szCs w:val="20"/>
                <w:color w:val="auto"/>
              </w:rPr>
            </w:pPr>
            <w:r>
              <w:rPr>
                <w:rFonts w:ascii="Arial" w:cs="Arial" w:eastAsia="Arial" w:hAnsi="Arial"/>
                <w:sz w:val="16"/>
                <w:szCs w:val="16"/>
                <w:color w:val="auto"/>
              </w:rPr>
              <w:t>Total intangible assets</w:t>
            </w: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32,440</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ANSOS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Borders>
              <w:bottom w:val="single" w:sz="8" w:color="CFF0FC"/>
            </w:tcBorders>
          </w:tcPr>
          <w:p>
            <w:pPr>
              <w:spacing w:after="0"/>
              <w:rPr>
                <w:sz w:val="18"/>
                <w:szCs w:val="18"/>
                <w:color w:val="auto"/>
              </w:rPr>
            </w:pPr>
          </w:p>
        </w:tc>
        <w:tc>
          <w:tcPr>
            <w:tcW w:w="27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380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64,567</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2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00" w:type="dxa"/>
            <w:vAlign w:val="bottom"/>
            <w:vMerge w:val="continue"/>
          </w:tcPr>
          <w:p>
            <w:pPr>
              <w:spacing w:after="0"/>
              <w:rPr>
                <w:sz w:val="18"/>
                <w:szCs w:val="18"/>
                <w:color w:val="auto"/>
              </w:rPr>
            </w:pPr>
          </w:p>
        </w:tc>
        <w:tc>
          <w:tcPr>
            <w:tcW w:w="38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3,124</w:t>
            </w:r>
          </w:p>
        </w:tc>
        <w:tc>
          <w:tcPr>
            <w:tcW w:w="180" w:type="dxa"/>
            <w:vAlign w:val="bottom"/>
          </w:tcPr>
          <w:p>
            <w:pPr>
              <w:spacing w:after="0"/>
              <w:rPr>
                <w:sz w:val="18"/>
                <w:szCs w:val="18"/>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00" w:type="dxa"/>
            <w:vAlign w:val="bottom"/>
            <w:vMerge w:val="continue"/>
            <w:shd w:val="clear" w:color="auto" w:fill="CFF0FC"/>
          </w:tcPr>
          <w:p>
            <w:pPr>
              <w:spacing w:after="0"/>
              <w:rPr>
                <w:sz w:val="16"/>
                <w:szCs w:val="16"/>
                <w:color w:val="auto"/>
              </w:rPr>
            </w:pPr>
          </w:p>
        </w:tc>
        <w:tc>
          <w:tcPr>
            <w:tcW w:w="380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0.10</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2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00" w:type="dxa"/>
            <w:vAlign w:val="bottom"/>
            <w:vMerge w:val="continue"/>
          </w:tcPr>
          <w:p>
            <w:pPr>
              <w:spacing w:after="0"/>
              <w:rPr>
                <w:sz w:val="16"/>
                <w:szCs w:val="16"/>
                <w:color w:val="auto"/>
              </w:rPr>
            </w:pPr>
          </w:p>
        </w:tc>
        <w:tc>
          <w:tcPr>
            <w:tcW w:w="38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0.10</w:t>
            </w:r>
          </w:p>
        </w:tc>
        <w:tc>
          <w:tcPr>
            <w:tcW w:w="180" w:type="dxa"/>
            <w:vAlign w:val="bottom"/>
          </w:tcPr>
          <w:p>
            <w:pPr>
              <w:spacing w:after="0"/>
              <w:rPr>
                <w:sz w:val="16"/>
                <w:szCs w:val="16"/>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 Combinations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10, 2020, the Company acquired substantially all of the assets of myClinicalExchange, LLC, a Denver, Colorado-based information technologies company offering a SaaS-based solution that allows healthcare organizations to track, manage, and report the intern and clinical rotation educational requirements of medical, nursing, and allied healthcare students as well as host required documentation for medical residents. The consideration paid for myClinicalExchange consisted of $4.4 million in cash.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The results of operations for myClinicalExchange are included in the Company’s Condensed Consolidated Financial Statements from the date of acquisition and are included in the Workforce Solutions segment.</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January 19, 2021, the Company acquired the issued and outstanding equity of ProcessDATA, Ltd. (d/b/a ComplyALIGN and HospitalPORTAL) (“ComplyALIGN”), a Chicago, Illinois-based healthcare technology company offering a SaaS-based policy management system for healthcare organizations, for $2.0 million in cash. The acquisition is not considered material to the Company’s financial statements. The Company accounted for the acquisition as a business combination and has allocated the purchase consideration based on management’s estimates of fair value. Acquisition-related transaction costs were $0.1 million. The results of operations for ComplyALIGN are included in the Company’s Condensed Consolidated Financial Statements from the date of acquisition and are included in the Workforce Solutions segment.</w:t>
      </w:r>
    </w:p>
    <w:p>
      <w:pPr>
        <w:spacing w:after="0" w:line="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March 31, 2021, the carrying amount of goodwill increased by $2.7 million, consisting of a $1.7 million of measurement period adjustment related to ANSOS, $0.6 million of acquired goodwill related to ComplyALIGN, and $0.4 million for the effect of currency translation adjustments.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8"/>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8"/>
          </w:tcPr>
          <w:p>
            <w:pPr>
              <w:jc w:val="right"/>
              <w:ind w:right="1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1"/>
        </w:trPr>
        <w:tc>
          <w:tcPr>
            <w:tcW w:w="4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26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6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12,221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61,572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330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(7,782)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21"/>
        </w:trPr>
        <w:tc>
          <w:tcPr>
            <w:tcW w:w="4800" w:type="dxa"/>
            <w:vAlign w:val="bottom"/>
          </w:tcPr>
          <w:p>
            <w:pPr>
              <w:ind w:left="500"/>
              <w:spacing w:after="0"/>
              <w:rPr>
                <w:sz w:val="20"/>
                <w:szCs w:val="20"/>
                <w:color w:val="auto"/>
              </w:rPr>
            </w:pPr>
            <w:r>
              <w:rPr>
                <w:rFonts w:ascii="Arial" w:cs="Arial" w:eastAsia="Arial" w:hAnsi="Arial"/>
                <w:sz w:val="18"/>
                <w:szCs w:val="18"/>
                <w:color w:val="auto"/>
              </w:rPr>
              <w:t>Total operating income</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80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1"/>
        </w:trPr>
        <w:tc>
          <w:tcPr>
            <w:tcW w:w="4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267,993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270,924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136,926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6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400" w:hanging="393"/>
        <w:spacing w:after="0" w:line="261"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Segment assets include accounts and unbilled receivables, prepaid royalties, prepaid and other current assets, other assets, capitalized software development, deferred commissions, certain property and equipment, goodwill,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4" w:lineRule="exact"/>
        <w:rPr>
          <w:sz w:val="20"/>
          <w:szCs w:val="20"/>
          <w:color w:val="auto"/>
        </w:rPr>
      </w:pPr>
    </w:p>
    <w:p>
      <w:pPr>
        <w:ind w:left="400" w:hanging="393"/>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funded debt leverage ratio (consolidated debt/consolidated EBITDA) of not greater than 3.0 to 1.0; and</w:t>
      </w:r>
    </w:p>
    <w:p>
      <w:pPr>
        <w:spacing w:after="0" w:line="114" w:lineRule="exact"/>
        <w:rPr>
          <w:rFonts w:ascii="Arial" w:cs="Arial" w:eastAsia="Arial" w:hAnsi="Arial"/>
          <w:sz w:val="18"/>
          <w:szCs w:val="18"/>
          <w:b w:val="1"/>
          <w:bCs w:val="1"/>
          <w:color w:val="auto"/>
        </w:rPr>
      </w:pPr>
    </w:p>
    <w:p>
      <w:pPr>
        <w:ind w:left="400" w:hanging="393"/>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2021, the Company was in compliance with all covenants. There were no balances outstanding on the Revolving Credit Facility as of or during the three months ended March 31,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NON-MARKETABLE EQUITY INVESTMENTS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aggregate carrying amount of non-marketable equity investments accounted for using the measurement alternative for equity investments that do not have readily determinable fair values was $3.9 million as of March 31, 2021 and December 31, 2020, which carrying value we evaluate for impairment at each reporting period. Cumulatively, the Company has recorded $0.1 million in downward adjustments to the carrying value of non-marketable equity investments. Such is the combination of cumulative downward adjustments of $1.3 million offset by cumulative upward adjustments of $1.2 million. These adjustments are the result of changes in fair value based on observable prices from orderly transactions for similar investments made in investees. The fair value of non-marketable equity investments is not estimated if there are no identified events or changes in circumstances that may have a significant adverse effect on the fair value of the investment.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4200"/>
        <w:spacing w:after="0" w:line="277" w:lineRule="exact"/>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r>
        <w:rPr>
          <w:rFonts w:ascii="Arial" w:cs="Arial" w:eastAsia="Arial" w:hAnsi="Arial"/>
          <w:sz w:val="17"/>
          <w:szCs w:val="17"/>
          <w:b w:val="1"/>
          <w:bCs w:val="1"/>
          <w:color w:val="auto"/>
        </w:rPr>
        <w:t xml:space="preserve"> Special Cautionary Notice Regarding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2020, appearing in our Annual Report on Form 10-K that was filed with the Securities and Exchange Commission (“SEC”) on February 25, 2021 (the “2020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2020 Form 10-K and other disclosures in our 2020 Form 10-K, earnings releases and other filings with the SEC from time to time, as well as other cautionary statements contained elsewhere in this report, including our critical accounting policies and estimates as discussed in this report and our 2020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 provides workforce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schedule, and develop healthcare workforce talent; meet rigorous compliance requirements; and efficiently manage ongoing medical staff credentialing and privileging processes. HealthStream’s customers include healthcare organizations, pharmaceutical and medical device companies, and other participants in the healthcare industry. At March 31, 2021, we had approximately 4.34 million contracted subscriptions to hStream</w:t>
      </w:r>
      <w:r>
        <w:rPr>
          <w:rFonts w:ascii="Arial" w:cs="Arial" w:eastAsia="Arial" w:hAnsi="Arial"/>
          <w:sz w:val="14"/>
          <w:szCs w:val="14"/>
          <w:color w:val="auto"/>
        </w:rPr>
        <w:t>TM</w:t>
      </w:r>
      <w:r>
        <w:rPr>
          <w:rFonts w:ascii="Arial" w:cs="Arial" w:eastAsia="Arial" w:hAnsi="Arial"/>
          <w:sz w:val="17"/>
          <w:szCs w:val="17"/>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first quarter of 2021 are set forth in the bullets below.</w:t>
      </w:r>
    </w:p>
    <w:p>
      <w:pPr>
        <w:spacing w:after="0" w:line="114" w:lineRule="exact"/>
        <w:rPr>
          <w:sz w:val="20"/>
          <w:szCs w:val="20"/>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of $63.5 million in the first quarter of 2021, up 3% from $61.6 million in the first quarter of 2020.</w:t>
      </w:r>
    </w:p>
    <w:p>
      <w:pPr>
        <w:spacing w:after="0" w:line="114" w:lineRule="exact"/>
        <w:rPr>
          <w:rFonts w:ascii="Arial" w:cs="Arial" w:eastAsia="Arial" w:hAnsi="Arial"/>
          <w:sz w:val="18"/>
          <w:szCs w:val="18"/>
          <w:color w:val="auto"/>
        </w:rPr>
      </w:pPr>
    </w:p>
    <w:p>
      <w:pPr>
        <w:ind w:left="400" w:hanging="393"/>
        <w:spacing w:after="0" w:line="301" w:lineRule="auto"/>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Operating income of $3.3 million in the first quarter of 2021, down 54% from $7.2 million in the first quarter of 2020, which comparison was negatively impacted by a one-time contractual adjustment to cost of revenues in the amount of $3.4 million during the first quarter of 2020.</w:t>
      </w:r>
    </w:p>
    <w:p>
      <w:pPr>
        <w:spacing w:after="0" w:line="45" w:lineRule="exact"/>
        <w:rPr>
          <w:rFonts w:ascii="Arial" w:cs="Arial" w:eastAsia="Arial" w:hAnsi="Arial"/>
          <w:sz w:val="17"/>
          <w:szCs w:val="17"/>
          <w:color w:val="auto"/>
        </w:rPr>
      </w:pPr>
    </w:p>
    <w:p>
      <w:pPr>
        <w:ind w:left="400" w:hanging="393"/>
        <w:spacing w:after="0" w:line="271"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$2.3 million in the first quarter of 2021, down 68% from $7.1 million in the first quarter of 2020, which comparison was negatively impacted by $2.6 million from the contractual adjustment in the first quarter of 2020 referenced above.</w:t>
      </w:r>
    </w:p>
    <w:p>
      <w:pPr>
        <w:spacing w:after="0" w:line="68" w:lineRule="exact"/>
        <w:rPr>
          <w:rFonts w:ascii="Arial" w:cs="Arial" w:eastAsia="Arial" w:hAnsi="Arial"/>
          <w:sz w:val="18"/>
          <w:szCs w:val="18"/>
          <w:color w:val="auto"/>
        </w:rPr>
      </w:pPr>
    </w:p>
    <w:p>
      <w:pPr>
        <w:ind w:left="400" w:hanging="393"/>
        <w:spacing w:after="0" w:line="271"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 (“EPS”) of $0.07 per share (diluted) in the first quarter of 2021 compared to $0.22 per share (diluted) in the first quarter of 2020, which was impacted by $0.08 from the contractual adjustment in the first quarter of 2020 referenced above.</w:t>
      </w:r>
    </w:p>
    <w:p>
      <w:pPr>
        <w:spacing w:after="0" w:line="68" w:lineRule="exact"/>
        <w:rPr>
          <w:rFonts w:ascii="Arial" w:cs="Arial" w:eastAsia="Arial" w:hAnsi="Arial"/>
          <w:sz w:val="18"/>
          <w:szCs w:val="18"/>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of $13.6 million in the first quarter of 2021, up 14% from $11.9 million in the first quarter of 2020.</w:t>
      </w:r>
    </w:p>
    <w:p>
      <w:pPr>
        <w:spacing w:after="0" w:line="19" w:lineRule="exact"/>
        <w:rPr>
          <w:sz w:val="20"/>
          <w:szCs w:val="20"/>
          <w:color w:val="auto"/>
        </w:rPr>
      </w:pPr>
    </w:p>
    <w:p>
      <w:pPr>
        <w:ind w:left="400" w:hanging="393"/>
        <w:spacing w:after="0" w:line="235"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19, 2021, the Company acquired ProcessDATA, Ltd. (d/b/a ComplyALIGN and HospitalPORTAL) (“ComplyALIGN”), a Chicago, Illinois-based healthcare technology company offering a SaaS-based policy management system for healthcare organizations, for $2.0 million in cash. The results of operations for ComplyALIGN are included in the Company’s Condensed Consolidated Financial Statements from the date of acquisition and are included in the HealthStream Workforce Solutions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Impact of and Response to COVID-19 Pandemic</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COVID-19 pandemic, which spread throughout the world and the United States during 2020, has resulted in a significant economic downturn. As vaccines have become more available, the number of COVID-19 cases has declined in the United States and various other countries, and economic conditions have improved. However, uncertainty remains regarding the extent, timing, and duration of the pandemic, including the extent to which the availability of these vaccines will positively impact public health conditions and whether new, potentially more contagious and/or virulent strains of COVID-19 may pose additional public health risks. The pandemic continues to cause uncertainty and potential economic volatility, including with regard to the pandemic’s various and unpredictable impacts on our healthcare customers and our business.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focused on providing workforce and provider solutions to healthcare organizations, and as such, the pandemic’s adverse impact on healthcare organizations has resulted in an adverse impact on our Company. Although we believe that COVID-19 did not have a significant negative impact on our revenues or net income during 2020, we believe that it began to have a negative impact on our revenues during the three months ended March 31, 2021. Additionally, certain developments related to COVID-19 have negatively impacted, and are expected to continue to negatively impact, our business during the remainder of 2021 and potentially thereafter, as described below. In particular, sales cycles have been delayed or postponed such that declines in sales bookings by customers during 2020 and the three months ended March 31, 2021 will result in a negative impact to revenue and earnings during the remainder of 2021 and potentially thereafter.</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operating results have benefited from a temporary reduction of operating expenses related to COVID-19 conditions, but the operating expense reduction itself—despite its positive impact on operating income and adjusted EBITDA—is indicative of the negative impact the pandemic has had, and may continue to have on new bookings and renewals. We have experienced, and expect to continue to experience,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2020, our sales organization has been unable to travel and conduct onsite sales meetings with existing or prospective customers, and we have also cancelled tradeshows, which typically provide future sales opportunities. As a result, operating income and adjusted EBITDA benefitted from a $1.2 million reduction in operating expense related to travel restrictions during the first quarter of 2021 compared to the first quarter of 2020.</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closely monitor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81"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Additionally, to promote the safety and well-being of our employees, we required our entire workforce to begin working remotely from home beginning March 16, 2020, and the entire workforce continues to work remotely to date. We have not established a date to return to non-remote working conditions.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healthcare organizations have been, and may continue to be, substantially adversely impacted by the COVID-19 pandemic. The period of time over which this adverse impact continues, the extent to which certain healthcare organizations continue to receive and/or are eligible to utilize governmental funds as the result of federal stimulus and relief measures, and ongoing public health conditions related to the pandemic are important factors that may impact our business.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light of adverse developments with respect to healthcare organizations as noted above, we are continuing to monitor the ability or willingness of our customers to:</w:t>
      </w:r>
    </w:p>
    <w:p>
      <w:pPr>
        <w:spacing w:after="0" w:line="68" w:lineRule="exact"/>
        <w:rPr>
          <w:sz w:val="20"/>
          <w:szCs w:val="20"/>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for our solutions in a timely manner, in full, or at all;</w:t>
      </w:r>
    </w:p>
    <w:p>
      <w:pPr>
        <w:spacing w:after="0" w:line="20" w:lineRule="exact"/>
        <w:rPr>
          <w:rFonts w:ascii="Arial" w:cs="Arial" w:eastAsia="Arial" w:hAnsi="Arial"/>
          <w:sz w:val="18"/>
          <w:szCs w:val="18"/>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solutions they have purchased from us; and</w:t>
      </w:r>
    </w:p>
    <w:p>
      <w:pPr>
        <w:spacing w:after="0" w:line="20" w:lineRule="exact"/>
        <w:rPr>
          <w:rFonts w:ascii="Arial" w:cs="Arial" w:eastAsia="Arial" w:hAnsi="Arial"/>
          <w:sz w:val="18"/>
          <w:szCs w:val="18"/>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renew existing or purchase new products or services from us.</w:t>
      </w:r>
    </w:p>
    <w:p>
      <w:pPr>
        <w:spacing w:after="0" w:line="3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monitor our cash position and credit exposure by evaluating, among other things, weekly cash receipts, days sales outstanding (DSO), customer requests to modify payment or contract terms, and bankruptcy notices. We experienced modest increases in DSO during the first quarter of 2021 compared to the first quarter of 2020, which increase was partially due to the increase in accounts receivable balances from acquisitions completed in the fourth quarter of 2020. Additionally, while we have not experienced any adverse impacts to customer defaults resulting from COVID-19, we are unable to know whether or to what extent future negative trends related to the pandemic may arise in the future. Any deterioration in the collectability (or the timing of payments) of our accounts receivable will adversely impact our financial results.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timing of implementation of our services is also relevant to our business because our software solutions do not result in revenue recognition until they are made available for use. To the extent our customers delay or fail to implement products they have previously purchased, our financial results will be adversely impacted. While we have experienced a negative impact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8"/>
          <w:szCs w:val="18"/>
          <w:color w:val="auto"/>
        </w:rPr>
        <w:t>from certain implementation delays related to COVID-19, these delays have not been consistent across products or across customers. Our Provider Solutions business segment has, in some instances, been more sensitive to implementation delays than our Workforce Solutions segment as the result of complexities associated with implementing certain of the solutions offered through that business segment.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Conditions related to the pandemic have also adversely impacted the ability or willingness of some customers to renew their contracts with us, or to renew contracts at the same levels. Pandemic-related conditions have also delayed or otherwise adversely impacted our ability to enter into contracts with new potential customers, as some potential customers have been focused on dealing with the impact and demands that COVID-19 is having on their businesses. In addition, many existing or potential customers are not currently allowing vendors, including representatives of the Company, on their premises, which has reduced, and may continue to reduce, the ability of our sales team to make sales they otherwise would likely make but for the impact of COVID-19. Also, our customers’ uncertainties due to COVID-19, combined with the inability to travel and conduct tradeshows, has had, and may continue to have, a negative impact on our sales volumes. As the pandemic has persisted, we have, however, continued to evolve our sales approach such that our sales representatives are in frequent contact with customers via video conference and other remote means that do not require physical travel or onsite visits to our customers’ facilities. While COVID-19 has had a negative impact on sales volumes, sales have continued throughout the pandemic albeit at a reduced bookings volume.</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business also relies on a network of partners whose solutions we resell or whose solutions are sold and delivered over our platform. To the extent that COVID-19 results in ongoing or increased business disruption or adverse impacts to our partners, such disruptions and adverse impacts could adversely impact our business.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the uncertainty surrounding the adverse impacts that COVID-19 could have on our business, we took certain expense management measures in 2020 as previously disclosed. We have generally discontinued these expense management measures taking into account the improved economic environment and current conditions related to the pandemic, provided that certain expenses such as those associated with travel and tradeshows remain significantly lower than pre-pandemic levels due to an ongoing lack of opportunity to engage in such activities. However, we are continuing to monitor developments related to the COVID-19 pandemic and may reinstate previous expense management measures or undertake further initiatives later in 2021 if we deem necessary.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Key Business Metrics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114" w:lineRule="exact"/>
        <w:rPr>
          <w:sz w:val="20"/>
          <w:szCs w:val="20"/>
          <w:color w:val="auto"/>
        </w:rPr>
      </w:pPr>
    </w:p>
    <w:p>
      <w:pPr>
        <w:jc w:val="both"/>
        <w:ind w:left="780" w:hanging="385"/>
        <w:spacing w:after="0" w:line="298"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Revenues, net</w:t>
      </w:r>
      <w:r>
        <w:rPr>
          <w:rFonts w:ascii="Arial" w:cs="Arial" w:eastAsia="Arial" w:hAnsi="Arial"/>
          <w:sz w:val="16"/>
          <w:szCs w:val="16"/>
          <w:color w:val="auto"/>
        </w:rPr>
        <w:t>. Revenues, net reflect income generated by the sales of goods and services related to our operations and reflects deferred revenue write-downs associated with fair value accounting for acquired businesses. Revenues, net were $63.5 million for the three months ended March 31, 2021 compared to $61.6 million for the three months ended March 31, 2020. Management utilizes revenue in connection with managing our business and believes that this metric provides useful information to investors as a key indicator of growth and success of our products.</w:t>
      </w:r>
    </w:p>
    <w:p>
      <w:pPr>
        <w:spacing w:after="0" w:line="50" w:lineRule="exact"/>
        <w:rPr>
          <w:rFonts w:ascii="Arial" w:cs="Arial" w:eastAsia="Arial" w:hAnsi="Arial"/>
          <w:sz w:val="16"/>
          <w:szCs w:val="16"/>
          <w:color w:val="auto"/>
        </w:rPr>
      </w:pPr>
    </w:p>
    <w:p>
      <w:pPr>
        <w:jc w:val="both"/>
        <w:ind w:left="780" w:hanging="385"/>
        <w:spacing w:after="0" w:line="270"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Operating Income</w:t>
      </w:r>
      <w:r>
        <w:rPr>
          <w:rFonts w:ascii="Arial" w:cs="Arial" w:eastAsia="Arial" w:hAnsi="Arial"/>
          <w:sz w:val="17"/>
          <w:szCs w:val="17"/>
          <w:color w:val="auto"/>
        </w:rPr>
        <w:t>. Operating income represents the amount of profit realized from our operations and is calculated as the difference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net and operating costs and expenses. Operating income was $3.3 million for the three months ended March 31, 2021 compared to $7.2 million for the three months ended March 31, 2020. Operating income for the three months ended March 31, 2021 was negatively impacted by a one-time contractual adjustment to cost of revenues as described above in the amount of $3.4 million during the first quarter of 2020. Management utilizes operating income in connection with managing our business and believes that our operating income provides useful information to investors as a key indicator of profitability.</w:t>
      </w:r>
    </w:p>
    <w:p>
      <w:pPr>
        <w:spacing w:after="0" w:line="73" w:lineRule="exact"/>
        <w:rPr>
          <w:rFonts w:ascii="Arial" w:cs="Arial" w:eastAsia="Arial" w:hAnsi="Arial"/>
          <w:sz w:val="17"/>
          <w:szCs w:val="17"/>
          <w:color w:val="auto"/>
        </w:rPr>
      </w:pPr>
    </w:p>
    <w:p>
      <w:pPr>
        <w:jc w:val="both"/>
        <w:ind w:left="780" w:hanging="385"/>
        <w:spacing w:after="0" w:line="253"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calculated as set forth below under “Reconciliation of Non-GAAP Financial Measures,” is utilized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connection with managing our business and provides useful information to investors because adjusted EBITDA reflects net income adjusted for certain non-cash and non-operating items. We also believe that adjusted EBITDA is useful to investors to assess the Company’s ongoing operations. Additionally, beginning in 2021, executive bonuses are based on the achievement of adjusted EBITDA targets. Adjusted EBITDA was $13.6 million for the three months ended March 31, 2021, compared to $11.9 million for the three months ended March 31, 2020.</w:t>
      </w:r>
    </w:p>
    <w:p>
      <w:pPr>
        <w:spacing w:after="0" w:line="83" w:lineRule="exact"/>
        <w:rPr>
          <w:rFonts w:ascii="Arial" w:cs="Arial" w:eastAsia="Arial" w:hAnsi="Arial"/>
          <w:sz w:val="18"/>
          <w:szCs w:val="18"/>
          <w:color w:val="auto"/>
        </w:rPr>
      </w:pPr>
    </w:p>
    <w:p>
      <w:pPr>
        <w:jc w:val="both"/>
        <w:ind w:left="780" w:hanging="385"/>
        <w:spacing w:after="0" w:line="293"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hStream Subscriptions</w:t>
      </w:r>
      <w:r>
        <w:rPr>
          <w:rFonts w:ascii="Arial" w:cs="Arial" w:eastAsia="Arial" w:hAnsi="Arial"/>
          <w:sz w:val="16"/>
          <w:szCs w:val="16"/>
          <w:color w:val="auto"/>
        </w:rPr>
        <w:t>. hStream subscriptions are determined as the number of subscriptions under contract for hStream, our Platform-as-a-Service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that enables healthcare organizations and their respective workforces to easily connect to and gain value from the growing HealthStream ecosystem of applications, tools, and content. Our management utilizes hStream subscriptions in connection with managing our business and believes that this metric provides useful information to investor, as a measure of our progress in growing the value of our customer base. At March 31, 2021, we had approximately 4.34 million contracted subscriptions to hStream, compared to 3.40 million as of March 31, 2020.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8" w:lineRule="exact"/>
        <w:rPr>
          <w:sz w:val="20"/>
          <w:szCs w:val="20"/>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2020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2020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Impact on Comparability of Operating Results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comparability of our operating results for the three months ended March 31, 2021 to the same period for 2020 are impacted by several factors, including acquisitions, the reduction of revenues associated with legacy resuscitation products, and other non-cash items.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Between March 9, 2020 and January 19, 2021, we completed five acquisitions, which resulted in additional revenues and higher operating expenses during the three months ended March 31, 2021 compared to the three months ended March 31, 2020.</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were significant in past years, although margins on such products were lower than HealthStream’s average margin. Revenue generated by HeartCode and RQI products pursuant to the Legacy Agreements was $11.2 million in the first quarter of 2020 compared to $1.8 million in the first quarter of 2021. For additional information, see below under “Other Developments.”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2021, the Company recorded a $1.0 million non-recurring, non-cash reduction to paid time off (PTO) expense as a result of modifications to the Company’s PTO policy. During the three months ended March 31, 2020, the Company recorded a $3.4 million non-cash contractual adjustment that resulted in a decrease to royalty expense upon the resolution of a mutual disagreement relating to various elements of a past partnership.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$1.9 million, or 3%, to $63.5 million for the three months ended March 31, 2021 from $61.6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00" w:type="dxa"/>
            <w:vAlign w:val="bottom"/>
            <w:tcBorders>
              <w:bottom w:val="single" w:sz="8" w:color="CFF0FC"/>
            </w:tcBorders>
            <w:vMerge w:val="continue"/>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61,572</w:t>
            </w:r>
          </w:p>
        </w:tc>
        <w:tc>
          <w:tcPr>
            <w:tcW w:w="3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spacing w:after="0"/>
              <w:rPr>
                <w:sz w:val="18"/>
                <w:szCs w:val="18"/>
                <w:color w:val="auto"/>
              </w:rPr>
            </w:pPr>
          </w:p>
        </w:tc>
      </w:tr>
      <w:tr>
        <w:trPr>
          <w:trHeight w:val="227"/>
        </w:trPr>
        <w:tc>
          <w:tcPr>
            <w:tcW w:w="466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20" w:type="dxa"/>
            <w:vAlign w:val="bottom"/>
          </w:tcPr>
          <w:p>
            <w:pPr>
              <w:jc w:val="right"/>
              <w:ind w:right="571"/>
              <w:spacing w:after="0"/>
              <w:rPr>
                <w:sz w:val="20"/>
                <w:szCs w:val="20"/>
                <w:color w:val="auto"/>
              </w:rPr>
            </w:pPr>
            <w:r>
              <w:rPr>
                <w:rFonts w:ascii="Arial" w:cs="Arial" w:eastAsia="Arial" w:hAnsi="Arial"/>
                <w:sz w:val="18"/>
                <w:szCs w:val="18"/>
                <w:color w:val="auto"/>
              </w:rPr>
              <w:t>81%</w:t>
            </w:r>
          </w:p>
        </w:tc>
        <w:tc>
          <w:tcPr>
            <w:tcW w:w="2660" w:type="dxa"/>
            <w:vAlign w:val="bottom"/>
          </w:tcPr>
          <w:p>
            <w:pPr>
              <w:jc w:val="right"/>
              <w:ind w:right="1591"/>
              <w:spacing w:after="0"/>
              <w:rPr>
                <w:sz w:val="20"/>
                <w:szCs w:val="20"/>
                <w:color w:val="auto"/>
              </w:rPr>
            </w:pPr>
            <w:r>
              <w:rPr>
                <w:rFonts w:ascii="Arial" w:cs="Arial" w:eastAsia="Arial" w:hAnsi="Arial"/>
                <w:sz w:val="18"/>
                <w:szCs w:val="18"/>
                <w:color w:val="auto"/>
              </w:rPr>
              <w:t>81%</w:t>
            </w:r>
          </w:p>
        </w:tc>
      </w:tr>
      <w:tr>
        <w:trPr>
          <w:trHeight w:val="228"/>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2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19%</w:t>
            </w:r>
          </w:p>
        </w:tc>
        <w:tc>
          <w:tcPr>
            <w:tcW w:w="266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19%</w:t>
            </w:r>
          </w:p>
        </w:tc>
      </w:tr>
    </w:tbl>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for Workforce Solutions increased $1.4 million, or 3%, to $51.2 million for the three months ended March 31, 2021 from $49.8 million for the three months ended March 31, 2020. Contributions from recent acquisitions and growth in other workforce solutions more than offset the expected decline in revenues from legacy resuscitation products. While revenues from legacy resuscitation products effectively ceased at the end of 2020, revenues for the three months ended March 31, 2021 included $1.8 million as we extended, with support from Laerdal, utilization of these products into 2021 for a small group of customers. Workforce revenues also benefited from a $0.4 million increase in professional services revenues, primarily associated with recently acquired businesses.</w:t>
      </w:r>
    </w:p>
    <w:p>
      <w:pPr>
        <w:spacing w:after="0" w:line="83"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Revenues for Provider Solutions increased $0.5 million, or 4%, to $12.2 million for the three months ended March 31, 2021 from $11.7 million for the three months ended March 31, 2020. Revenue growth was attributable to new VerityStream subscriptions and professional services for client implementations.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$0.8 million, or 4%, to $21.2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from $20.4 million for the three months ended March 31, 2020. Cost of revenues as a percentage of revenues was 33% for both the three months ended March 31, 2021 and 2020. Cost of revenues were favorably impacted by $0.2 million during the three months ended March 31, 2021, resulting from the non-cash reduction to PTO expense, and were favorably impacted in the amount of $3.4 million during the three months ended March 31, 2020 from the one-time non-cash contractual adjustment to royalty expense.</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for Workforce Solutions increased $0.9 million to $17.4 million for the three months ended March 31, 2021 compared to the prior year period and approximated 34% and 33% of revenues for Workforce Solutions for the three months ended March 31, 2021 and 2020, respectively. The increase is primarily associated with the one-time contractual adjustment to cost of revenues in the amount of $3.4 million recorded during the first quarter of 2020, coupled with increased expenses related to recent acquisitions, offset by a decline in royalties related to legacy resuscitation products. Cost of revenues for Provider Solutions decreased $0.1 million to $3.8 million for the three months ended March 31, 2021 compared to the prior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color w:val="auto"/>
        </w:rPr>
        <w:t>period and approximated 31% and 33% of Provider Solutions revenues for the three months ended March 31, 2021 and 2020, respectively. The decrease is primarily associated with decreases in travel expenses over the prior year period as a result of COVID-19 pandemic.</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$1.9 million, or 25%, to $9.4 million for the three months ended March 31, 2021 from $7.5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2020. Product development expenses as a percentage of revenues were 15% and 12% for the three months ended March 31, 2021 and 2020, respectively. Product development expenses were favorably impacted in the amount of $0.4 million during the three months ended March 31, 2021 from the non-cash reduction to PTO expense.</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Product development expenses for Workforce Solutions increased $2.1 million to $8.0 million for the three months ended March 31, 2021 compared to the prior year period and approximated 16% and 12% of revenues for Workforce Solutions for the three months ended March 31, 2021 and 2020, respectively. The increase is primarily associated with recent acquisitions and increased product development efforts across other workforce solutions. Product development expenses for Provider Solutions decreased $0.2 million to $1.4 million for the three months ended March 31, 2021 compared to the prior year period and approximated 11% and 14% of revenues for Provider Solutions for the three months ended March 31, 2021 and 2020, respectively. The decrease in product development expenses is primarily due to an increase in labor capitalized for internally developed software related to additional product investments across the VerityStream product suite.</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$0.3 million, or 3%, to $8.9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from $9.2 million for the three months ended March 31, 2020. Sales and marketing expenses were 14% and 15% of revenues for the three months ended March 31, 2021 and 2020, respectively. Sales and marketing expenses were favorably impacted by $0.2 million during the three months ended March 31, 2021 resulting from the non-cash reduction to PTO expense.</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and marketing expenses for Workforce Solutions decreased $0.3 million to $7.1 million for the three months ended March 31, 2021 compared to the prior year period and approximated 14% and 15% of revenues for Workforce Solutions for the three months ended March 31, 2021 and 2020, respectively. The decrease in amount is primarily due to lower sales commissions associated with the decline in legacy resuscitation revenues as well as decreases in travel expenses as a result of the COVID-19 pandemic. Sales and marketing expenses for Provider Solutions decreased $40,000 to $1.5 million for the three months ended March 31, 2021 compared to the prior year period and approximated 13% of revenues for Provider Solutions for both the three months ended March 31, 2021 and 2020. The unallocated corporate portion of sales and marketing expenses increased $34,000 to $0.3 million for the three months ended March 31, 2021 compared to the prior year period.</w:t>
      </w:r>
    </w:p>
    <w:p>
      <w:pPr>
        <w:spacing w:after="0" w:line="7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$1.6 million, or 17%, to $11.5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2021, from $9.9 million for the three months ended March 31, 2020. Other general and administrative expenses as a percentage of revenues were 18% and 16% of revenues for the three months ended March 31, 2021 and 2020, respectively. Other general and administrative expenses were favorably impacted by $0.2 million during the three months ended March 31, 2021 resulting from the non-cash reduction to PTO expense.</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general and administrative expenses for Workforce Solutions increased $0.9 million to $4.8 million for the three months ended March 31, 2021 compared to the prior year period and approximated 9% and 8% of Workforce Solutions revenues for the three months ended March 31, 2021 and 2020, respectively. The increase is primarily due to expenses associated with recent acquisitions. Other general and administrative expenses for Provider Solutions increased $0.1 million to $0.9 million for the three months ended March 31, 2021 compared to the prior year period and approximated 7% of Provider Solutions revenues for both the three months ended March 31, 2021 and 2020. The unallocated corporate portion of other general and administrative expenses increased $0.6 million to $5.8 million for the three months ended March 31, 2021 compared to the prior year period primarily due to increases personnel costs and professional services expenses.</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was $9.2 million and $7.4 million for the three months ended March 31,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This increase is primarily a result of increases to amortization associated with capitalized software and recent acquisitions.</w:t>
      </w:r>
    </w:p>
    <w:p>
      <w:pPr>
        <w:spacing w:after="0" w:line="4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Other (Loss) Income, Net</w:t>
      </w:r>
      <w:r>
        <w:rPr>
          <w:rFonts w:ascii="Arial" w:cs="Arial" w:eastAsia="Arial" w:hAnsi="Arial"/>
          <w:sz w:val="16"/>
          <w:szCs w:val="16"/>
          <w:color w:val="auto"/>
        </w:rPr>
        <w:t>. Other (loss) income, net was a loss of $87,000 for the three months ended March 31, 2021 compared to income of $1.7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2020. The decrease resulted primarily from a one-time $1.2 million gain associated with the change in fair value of the non-marketable equity investment in NurseGrid prior to the acquisition of NurseGrid on March 9, 2020 coupled with lower interest income due to reductions in cash and investment balances and lower interest rate yields during the three months ended March 31, 2021 compared to the prior year period.</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$0.9 million for the three months ended March 31, 2021 compared to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2020. The Company’s effective tax rate was 29% for the three months ended March 31, 2021 compared to 21% for the three months ended March 31, 2020. The Company’s effective tax rate primarily reflects the statutory corporate income tax rate, the net effect of state taxes, foreign income taxes, and the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t xml:space="preserve">of various permanent tax differences. During the three months ended March 31, 2021, the Company recorded discrete tax expense of $0.1 million related to various items, including recording a permanent difference related to purchase accounting adjustments and the impact of a state tax rate change enacted during the period. During the three months ended March 31, 2020, the Company </w:t>
      </w:r>
      <w:r>
        <w:rPr>
          <w:rFonts w:ascii="Arial" w:cs="Arial" w:eastAsia="Arial" w:hAnsi="Arial"/>
          <w:sz w:val="18"/>
          <w:szCs w:val="18"/>
          <w:color w:val="212529"/>
        </w:rPr>
        <w:t>recorded a $1.2 million change in fair value of non-marketable equity investments</w:t>
      </w:r>
      <w:r>
        <w:rPr>
          <w:rFonts w:ascii="Arial" w:cs="Arial" w:eastAsia="Arial" w:hAnsi="Arial"/>
          <w:sz w:val="18"/>
          <w:szCs w:val="18"/>
          <w:color w:val="auto"/>
        </w:rPr>
        <w:t xml:space="preserve"> as a result of the NurseGrid acquisition, which is not a taxable transaction, resulting in a tax benefit of $0.3 million. The Company recorded an increase to the provision for income taxes associated with tax deficiencies resulting from stock based awards of $17,000 and $26,000 during the three months ended March 31, 2021 and 2020, respectively.</w:t>
      </w:r>
    </w:p>
    <w:p>
      <w:pPr>
        <w:spacing w:after="0" w:line="8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was approximately $2.3 million and $7.1 million for the three months ended March 31, 2021 and 2020, respectively. Earnings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(EPS) was $0.07 per share (diluted) and $0.22 per share (diluted) for the three months ended March 31, 2021 and 2020. The one-time contractual adjustment discussed above positively impacted net income in the amount of $2.6 million, or $0.08 per diluted share, for the three months ended March 31, 2020.</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Adjusted EBITDA was $13.6 million for the three months ended March 31, 2021 compared to $11.9 million for the three months ended March 31, 2020. See “Reconciliation of Non-GAAP Financial Measures” below for our reconciliation of adjusted EBITDA to the most directly comparable measures under US GAAP and disclosure regarding why we believe these non-GAAP financial measures provide useful information to investors.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Revenue generated by HeartCode and RQI products pursuant to the Legacy Agreements was $38.4 million and $58.9 million in 2020 and 2019, respectively. While revenues from legacy resuscitation products effectively ceased at the end of 2020, revenues for the three months ended March 31, 2021 included $1.8 million as we extended, with Laerdal’s support, utilization of these products for a small group of customers. We expect legacy product revenues in the second quarter of 2021 to be approximately $700,000 and expect revenue from legacy products to be de minimis for the second half of 2021.</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sales of HeartCode and RQI are delivered via the HealthStream Learning Center. These fees will not be sufficient to supplant the revenue runout associated with the Legacy Agreements.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the solution is gaining acceptance in the market. We believe our efforts to market, sell, and deliver the American Red Cross Resuscitation Suite, along with efforts to bring additional simulation-related offerings to market, are giving rise to additional and higher margin opportunities than those that existed under the Legacy Agreements.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report presents adjusted EBITDA, which is a non-GAAP financial measure used by management in analyzing our financial results and ongoing operational performance.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order to better assess the Company’s financial results, management believes that net income excluding the impact of the deferred revenue write-downs associated with fair value accounting for acquired businesses and before interest, income taxes, stock based compensation, depreciation and amortization, changes in fair value of non-marketable equity investments, the de-recognition of non-cash expense resulting from the paid time off expense reduction in the first quarter of 2021 and the resolution of a mutual disagreement related to various elements of a past partnership which resulted in a reduction to cost of sales in the first quarter of 2020 (“adjusted EBITDA”) is a useful measure for evaluating the operating performance of the Company because adjusted EBITDA reflects net income adjusted for certain GAAP accounting, non-cash and non-operating items which may not, in any such case, fully reflect the underlying operating performance of our business. We also believe that adjusted EBITDA is useful to many investors to assess the Company’s ongoing operating performance and to compare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8"/>
          <w:szCs w:val="18"/>
          <w:color w:val="auto"/>
        </w:rPr>
        <w:t>Company’s operating performance between periods. Additionally, beginning in 2021, executive bonuses are based on the achievement of adjusted EBITDA targets.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has revised its definition of adjusted EBITDA to adjust for the derecognition of non-cash expense resulting from the paid time off policy modification in the first quarter of 2021 as the result of the fact that management believes that such non-cash expense is outside of the ordinary course of the Company’s operations and is not reflective of the Company’s underlying operating performance.</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noted above, the definition of adjusted EBITDA also adjusts for the impact of the deferred revenue write-downs associated with fair value accounting for acquired businesses. Following the completion of any acquisition by the Company, the Company must record the acquired deferred revenue at fair value as defined in GAAP, which may result in a write-down of deferred revenue. If the Company is required to record a write-down of deferred revenue, it may result in lower recognized revenue, operating income, and net income in subsequent periods. Revenue for any such acquired business is deferred and is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acquired businesses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w:t>
      </w:r>
    </w:p>
    <w:p>
      <w:pPr>
        <w:spacing w:after="0" w:line="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have limitations as analytical tools. In addition, adjusted EBITDA should not be considered a substitute for, or superior to, measures of financial performance which are prepared in accordance with GAAP.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11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2"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6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1"/>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17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w:t>
            </w: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9,153</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Non-cash paid time off expense</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1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(1,152)</w:t>
            </w: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r>
      <w:tr>
        <w:trPr>
          <w:trHeight w:val="221"/>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13,607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operating activities increased by $13.0 million to $19.1 million during the three months ended March 31, 2021 from $6.1 million during the three months ended March 31, 2020. Such increase was primarily driven by higher cash collections. Our DSO was 52 days for the first quarter of 2021 compared to 44 days for the first quarter of 2020, which increase resulted from higher average receivable balances compared to the prior year.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investing activities was approximately $9.7 million for the three months ended March 31, 2021 compared to $19.9 million for the three months ended March 31, 2020. During the three months ended March 31, 2021, the Company spent $2.0 million to acquire ComplyALIGN and on a net basis received $1.3 million of proceeds upon settling post-closing adjustments related to the ANSOS and ShiftWizard acquisitions for a net cash outflow of $0.7 million for business combinations, invested in marketable securities of $5.2 million, made payments for capitalized software development of $5.3 million, purchased property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7"/>
          <w:szCs w:val="17"/>
          <w:color w:val="auto"/>
        </w:rPr>
        <w:t>and equipment of $2.0 million, and made non-marketable equity payments of $1.0 million. These uses of cash were partially offset by $4.5 million in maturities of marketable securities. During the three months ended March 31, 2020 the Company paid $21.4 million in cash to acquire NurseGrid, invested in marketable securities of $14.1 million, made payments for capitalized software development of $4.1 million, and purchased property and equipment of $1.0 million. These uses of cash were partially offset by $20.7 million in maturities of marketable securities.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financing activities was approximately $0.4 million for the three months ended March 31, 2021 compared to $10.3 million for the three months ended March 31, 2020. The uses of cash for the three months ended March 31, 2021 primarily included $0.4 million for the payment of employee payroll taxes in relation to the vesting of restricted share units, and $12,000 of cash dividend payments. The uses of cash for the three months ended March 31, 2020 primarily included $9.9 million for common stock repurchases, $0.4 million for the payment of employee payroll taxes in relation to the vesting of restricted share units, and $30,000 of cash dividend payments.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balance sheet reflects negative working capital of $1.9 million at March 31, 2021 compared to negative working capital of $4.7 million at December 31, 2020. The improvement in working capital is primarily a result of strong cash collections. The Company’s primary source of liquidity as of March 31, 2021 was $45.3 million of cash and cash equivalents and $10.6 million of marketable securities. The Company also has a $65.0 million revolving credit facility, all of which was available for additional borrowing at March 31, 2021. The revolving credit facility expires on October 28, 2023, unless earlier renewed or amended.</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13, 2020, we announced a share repurchase program authorized by our Board of Directors under which we could purchase up to $30.0 million of our common stock. Under this program, the Company repurchased a total of 957,367 shares in open market purchases at an aggregate fair value of $20.0 million, reflecting an average price per share of $20.89 (excluding the cost of broker commissions). The program expired on March 12, 2021, and no repurchases occurred during the three months ended March 31, 2021. We may elect in the future to adopt a new share repurchase program and/or otherwise repurchase our common stock, including through privately negotiated transactions. Any such equity repurchases would depend upon prevailing market conditions, contractual restrictions, liquidity and cash flow considerations, applicable securities laws requirements, and other factors.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March 31, 2021,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exposed to market risk from changes in interest rates, foreign currency risk, and investment risk. We do not have any commodity price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2021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$56.0 million at March 31, 2021. Assuming a hypothetical 10% decrease in interest rates for invested balances, interest income from cash and investments would decrease on an annualized basis by approximately $8,000.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including Canadian dollar, New Zealand dollar, and Australian dollar. Increases and decreases in our foreign-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8"/>
          <w:szCs w:val="18"/>
          <w:color w:val="auto"/>
        </w:rPr>
        <w:t>denominated revenue from movements in foreign exchange rates are often partially offset by the corresponding decreases or increases in our foreign-denominated operating expenses.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11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83"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first quarter of 2021 that has materially affected, or that is reasonably likely to materially affect, HealthStream’s internal control over financial reporting.</w:t>
      </w:r>
    </w:p>
    <w:p>
      <w:pPr>
        <w:spacing w:after="0" w:line="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2020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13, 2020, the Company announced a share repurchase program authorized by the Company’s Board of Directors under which the Company could purchase up to $30.0 million of its common stock. Under this program, the Company repurchased a total of 957,367 shares in open market purchases at an aggregate fair value of $20.0 million, reflecting an average price per share of $20.89 (excluding the cost of broker commissions). The program expired on March 12,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Maximum number (or</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Total number 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1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2"/>
                <w:szCs w:val="12"/>
                <w:color w:val="auto"/>
              </w:rPr>
            </w:pP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(or units) purchased as</w:t>
            </w:r>
          </w:p>
        </w:tc>
        <w:tc>
          <w:tcPr>
            <w:tcW w:w="300" w:type="dxa"/>
            <w:vAlign w:val="bottom"/>
          </w:tcPr>
          <w:p>
            <w:pPr>
              <w:spacing w:after="0"/>
              <w:rPr>
                <w:sz w:val="12"/>
                <w:szCs w:val="12"/>
                <w:color w:val="auto"/>
              </w:rPr>
            </w:pPr>
          </w:p>
        </w:tc>
        <w:tc>
          <w:tcPr>
            <w:tcW w:w="170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value) of shares (or units)</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47"/>
        </w:trPr>
        <w:tc>
          <w:tcPr>
            <w:tcW w:w="394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Total number of shares</w:t>
            </w: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Average price paid per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announced 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70"/>
        </w:trPr>
        <w:tc>
          <w:tcPr>
            <w:tcW w:w="3940" w:type="dxa"/>
            <w:vAlign w:val="bottom"/>
            <w:vMerge w:val="continue"/>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(or units) purchased</w:t>
            </w:r>
          </w:p>
        </w:tc>
        <w:tc>
          <w:tcPr>
            <w:tcW w:w="22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share (or unit)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Arial" w:cs="Arial" w:eastAsia="Arial" w:hAnsi="Arial"/>
                <w:sz w:val="18"/>
                <w:szCs w:val="18"/>
                <w:color w:val="auto"/>
              </w:rPr>
              <w:t>Month #1 (January 1 - January 31)</w:t>
            </w:r>
          </w:p>
        </w:tc>
        <w:tc>
          <w:tcPr>
            <w:tcW w:w="15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Month #2 (February 1 - February 29)</w:t>
            </w:r>
          </w:p>
        </w:tc>
        <w:tc>
          <w:tcPr>
            <w:tcW w:w="1860" w:type="dxa"/>
            <w:vAlign w:val="bottom"/>
            <w:gridSpan w:val="2"/>
            <w:shd w:val="clear" w:color="auto" w:fill="CFF0FC"/>
          </w:tcPr>
          <w:p>
            <w:pPr>
              <w:ind w:left="1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ind w:left="116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ind w:left="12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40" w:type="dxa"/>
            <w:vAlign w:val="bottom"/>
          </w:tcPr>
          <w:p>
            <w:pPr>
              <w:spacing w:after="0"/>
              <w:rPr>
                <w:sz w:val="20"/>
                <w:szCs w:val="20"/>
                <w:color w:val="auto"/>
              </w:rPr>
            </w:pPr>
            <w:r>
              <w:rPr>
                <w:rFonts w:ascii="Arial" w:cs="Arial" w:eastAsia="Arial" w:hAnsi="Arial"/>
                <w:sz w:val="18"/>
                <w:szCs w:val="18"/>
                <w:color w:val="auto"/>
              </w:rPr>
              <w:t>Month #3 (March 1 - March 31)</w:t>
            </w:r>
          </w:p>
        </w:tc>
        <w:tc>
          <w:tcPr>
            <w:tcW w:w="18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ind w:left="1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12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FF0FC"/>
          </w:tcPr>
          <w:p>
            <w:pPr>
              <w:ind w:left="13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ind w:left="12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18" w:lineRule="exact"/>
        <w:rPr>
          <w:sz w:val="20"/>
          <w:szCs w:val="20"/>
          <w:color w:val="auto"/>
        </w:rPr>
      </w:pPr>
    </w:p>
    <w:p>
      <w:pPr>
        <w:ind w:left="780" w:hanging="385"/>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auto"/>
              </w:rPr>
              <w:t>10.18^</w:t>
            </w:r>
          </w:p>
        </w:tc>
        <w:tc>
          <w:tcPr>
            <w:tcW w:w="586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30">
              <w:r>
                <w:rPr>
                  <w:rFonts w:ascii="Arial" w:cs="Arial" w:eastAsia="Arial" w:hAnsi="Arial"/>
                  <w:sz w:val="16"/>
                  <w:szCs w:val="16"/>
                  <w:color w:val="0000EE"/>
                  <w:w w:val="90"/>
                </w:rPr>
                <w:t>HealthStream, Inc. 2021 Executive and Corporate Management Cash Incentive Bonus Plan</w:t>
              </w:r>
            </w:hyperlink>
          </w:p>
        </w:tc>
        <w:tc>
          <w:tcPr>
            <w:tcW w:w="4180" w:type="dxa"/>
            <w:vAlign w:val="bottom"/>
            <w:gridSpan w:val="4"/>
          </w:tcPr>
          <w:p>
            <w:pPr>
              <w:spacing w:after="0"/>
              <w:rPr>
                <w:sz w:val="16"/>
                <w:szCs w:val="16"/>
                <w:color w:val="auto"/>
              </w:rPr>
            </w:pPr>
          </w:p>
        </w:tc>
      </w:tr>
      <w:tr>
        <w:trPr>
          <w:trHeight w:val="315"/>
        </w:trPr>
        <w:tc>
          <w:tcPr>
            <w:tcW w:w="1120" w:type="dxa"/>
            <w:vAlign w:val="bottom"/>
          </w:tcPr>
          <w:p>
            <w:pPr>
              <w:spacing w:after="0"/>
              <w:rPr>
                <w:sz w:val="20"/>
                <w:szCs w:val="20"/>
                <w:color w:val="auto"/>
              </w:rPr>
            </w:pPr>
            <w:r>
              <w:rPr>
                <w:rFonts w:ascii="Arial" w:cs="Arial" w:eastAsia="Arial" w:hAnsi="Arial"/>
                <w:sz w:val="16"/>
                <w:szCs w:val="16"/>
                <w:color w:val="auto"/>
              </w:rPr>
              <w:t>10.19^</w:t>
            </w:r>
          </w:p>
        </w:tc>
        <w:tc>
          <w:tcPr>
            <w:tcW w:w="458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33">
              <w:r>
                <w:rPr>
                  <w:rFonts w:ascii="Arial" w:cs="Arial" w:eastAsia="Arial" w:hAnsi="Arial"/>
                  <w:sz w:val="16"/>
                  <w:szCs w:val="16"/>
                  <w:color w:val="0000EE"/>
                  <w:w w:val="90"/>
                </w:rPr>
                <w:t>HealthStream, Inc. 2021 Provider Solutions Cash Incentive Bonus Plan</w:t>
              </w:r>
            </w:hyperlink>
          </w:p>
        </w:tc>
        <w:tc>
          <w:tcPr>
            <w:tcW w:w="5460" w:type="dxa"/>
            <w:vAlign w:val="bottom"/>
            <w:gridSpan w:val="5"/>
          </w:tcPr>
          <w:p>
            <w:pPr>
              <w:spacing w:after="0"/>
              <w:rPr>
                <w:sz w:val="24"/>
                <w:szCs w:val="24"/>
                <w:color w:val="auto"/>
              </w:rPr>
            </w:pPr>
          </w:p>
        </w:tc>
      </w:tr>
      <w:tr>
        <w:trPr>
          <w:trHeight w:val="301"/>
        </w:trPr>
        <w:tc>
          <w:tcPr>
            <w:tcW w:w="1120" w:type="dxa"/>
            <w:vAlign w:val="bottom"/>
          </w:tcPr>
          <w:p>
            <w:pPr>
              <w:spacing w:after="0"/>
              <w:rPr>
                <w:sz w:val="20"/>
                <w:szCs w:val="20"/>
                <w:color w:val="auto"/>
              </w:rPr>
            </w:pPr>
            <w:r>
              <w:rPr>
                <w:rFonts w:ascii="Arial" w:cs="Arial" w:eastAsia="Arial" w:hAnsi="Arial"/>
                <w:sz w:val="16"/>
                <w:szCs w:val="16"/>
                <w:color w:val="auto"/>
              </w:rPr>
              <w:t>10.20^</w:t>
            </w:r>
          </w:p>
        </w:tc>
        <w:tc>
          <w:tcPr>
            <w:tcW w:w="10040" w:type="dxa"/>
            <w:vAlign w:val="bottom"/>
            <w:gridSpan w:val="7"/>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HealthStream, Inc. Directors Stock Election Plan</w:t>
              </w:r>
            </w:hyperlink>
          </w:p>
        </w:tc>
      </w:tr>
      <w:tr>
        <w:trPr>
          <w:trHeight w:val="20"/>
        </w:trPr>
        <w:tc>
          <w:tcPr>
            <w:tcW w:w="1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1"/>
        </w:trPr>
        <w:tc>
          <w:tcPr>
            <w:tcW w:w="1120" w:type="dxa"/>
            <w:vAlign w:val="bottom"/>
          </w:tcPr>
          <w:p>
            <w:pPr>
              <w:spacing w:after="0"/>
              <w:rPr>
                <w:sz w:val="20"/>
                <w:szCs w:val="20"/>
                <w:color w:val="auto"/>
              </w:rPr>
            </w:pPr>
            <w:r>
              <w:rPr>
                <w:rFonts w:ascii="Arial" w:cs="Arial" w:eastAsia="Arial" w:hAnsi="Arial"/>
                <w:sz w:val="16"/>
                <w:szCs w:val="16"/>
                <w:color w:val="auto"/>
              </w:rPr>
              <w:t>31.1</w:t>
            </w:r>
          </w:p>
        </w:tc>
        <w:tc>
          <w:tcPr>
            <w:tcW w:w="666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38">
              <w:r>
                <w:rPr>
                  <w:rFonts w:ascii="Arial" w:cs="Arial" w:eastAsia="Arial" w:hAnsi="Arial"/>
                  <w:sz w:val="16"/>
                  <w:szCs w:val="16"/>
                  <w:color w:val="0000EE"/>
                  <w:w w:val="92"/>
                </w:rPr>
                <w:t>Certification of the Chief Executive Officer Pursuant to Section 302 of the Sarbanes-Oxley Act of 2002</w:t>
              </w:r>
            </w:hyperlink>
          </w:p>
        </w:tc>
        <w:tc>
          <w:tcPr>
            <w:tcW w:w="3380" w:type="dxa"/>
            <w:vAlign w:val="bottom"/>
            <w:gridSpan w:val="3"/>
          </w:tcPr>
          <w:p>
            <w:pPr>
              <w:spacing w:after="0"/>
              <w:rPr>
                <w:sz w:val="24"/>
                <w:szCs w:val="24"/>
                <w:color w:val="auto"/>
              </w:rPr>
            </w:pPr>
          </w:p>
        </w:tc>
      </w:tr>
      <w:tr>
        <w:trPr>
          <w:trHeight w:val="315"/>
        </w:trPr>
        <w:tc>
          <w:tcPr>
            <w:tcW w:w="1120" w:type="dxa"/>
            <w:vAlign w:val="bottom"/>
          </w:tcPr>
          <w:p>
            <w:pPr>
              <w:spacing w:after="0"/>
              <w:rPr>
                <w:sz w:val="20"/>
                <w:szCs w:val="20"/>
                <w:color w:val="auto"/>
              </w:rPr>
            </w:pPr>
            <w:r>
              <w:rPr>
                <w:rFonts w:ascii="Arial" w:cs="Arial" w:eastAsia="Arial" w:hAnsi="Arial"/>
                <w:sz w:val="16"/>
                <w:szCs w:val="16"/>
                <w:color w:val="auto"/>
              </w:rPr>
              <w:t>31.2</w:t>
            </w:r>
          </w:p>
        </w:tc>
        <w:tc>
          <w:tcPr>
            <w:tcW w:w="10040" w:type="dxa"/>
            <w:vAlign w:val="bottom"/>
            <w:gridSpan w:val="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Certification of the Principal Financial Officer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682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15"/>
        </w:trPr>
        <w:tc>
          <w:tcPr>
            <w:tcW w:w="1120" w:type="dxa"/>
            <w:vAlign w:val="bottom"/>
          </w:tcPr>
          <w:p>
            <w:pPr>
              <w:spacing w:after="0"/>
              <w:rPr>
                <w:sz w:val="20"/>
                <w:szCs w:val="20"/>
                <w:color w:val="auto"/>
              </w:rPr>
            </w:pPr>
            <w:r>
              <w:rPr>
                <w:rFonts w:ascii="Arial" w:cs="Arial" w:eastAsia="Arial" w:hAnsi="Arial"/>
                <w:sz w:val="16"/>
                <w:szCs w:val="16"/>
                <w:color w:val="auto"/>
              </w:rPr>
              <w:t>32.1</w:t>
            </w:r>
          </w:p>
        </w:tc>
        <w:tc>
          <w:tcPr>
            <w:tcW w:w="78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40">
              <w:r>
                <w:rPr>
                  <w:rFonts w:ascii="Arial" w:cs="Arial" w:eastAsia="Arial" w:hAnsi="Arial"/>
                  <w:sz w:val="16"/>
                  <w:szCs w:val="16"/>
                  <w:color w:val="0000EE"/>
                  <w:w w:val="90"/>
                </w:rPr>
                <w:t>Certification Pursuant to 18 U.S.C. Section 1350, as Adopted Pursuant to Section 906 of the Sarbanes-Oxley Act of 2002</w:t>
              </w:r>
            </w:hyperlink>
          </w:p>
        </w:tc>
        <w:tc>
          <w:tcPr>
            <w:tcW w:w="2240" w:type="dxa"/>
            <w:vAlign w:val="bottom"/>
          </w:tcPr>
          <w:p>
            <w:pPr>
              <w:spacing w:after="0"/>
              <w:rPr>
                <w:sz w:val="24"/>
                <w:szCs w:val="24"/>
                <w:color w:val="auto"/>
              </w:rPr>
            </w:pPr>
          </w:p>
        </w:tc>
      </w:tr>
      <w:tr>
        <w:trPr>
          <w:trHeight w:val="315"/>
        </w:trPr>
        <w:tc>
          <w:tcPr>
            <w:tcW w:w="1120" w:type="dxa"/>
            <w:vAlign w:val="bottom"/>
          </w:tcPr>
          <w:p>
            <w:pPr>
              <w:spacing w:after="0"/>
              <w:rPr>
                <w:sz w:val="20"/>
                <w:szCs w:val="20"/>
                <w:color w:val="auto"/>
              </w:rPr>
            </w:pPr>
            <w:r>
              <w:rPr>
                <w:rFonts w:ascii="Arial" w:cs="Arial" w:eastAsia="Arial" w:hAnsi="Arial"/>
                <w:sz w:val="16"/>
                <w:szCs w:val="16"/>
                <w:color w:val="auto"/>
              </w:rPr>
              <w:t>32.2</w:t>
            </w:r>
          </w:p>
        </w:tc>
        <w:tc>
          <w:tcPr>
            <w:tcW w:w="78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41">
              <w:r>
                <w:rPr>
                  <w:rFonts w:ascii="Arial" w:cs="Arial" w:eastAsia="Arial" w:hAnsi="Arial"/>
                  <w:sz w:val="16"/>
                  <w:szCs w:val="16"/>
                  <w:color w:val="0000EE"/>
                  <w:w w:val="90"/>
                </w:rPr>
                <w:t>Certification Pursuant to 18 U.S.C. Section 1350, as Adopted Pursuant to Section 906 of the Sarbanes-Oxley Act of 2002</w:t>
              </w:r>
            </w:hyperlink>
          </w:p>
        </w:tc>
        <w:tc>
          <w:tcPr>
            <w:tcW w:w="2240" w:type="dxa"/>
            <w:vAlign w:val="bottom"/>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6"/>
                <w:szCs w:val="16"/>
                <w:color w:val="auto"/>
              </w:rPr>
              <w:t>101.1 INS</w:t>
            </w:r>
          </w:p>
        </w:tc>
        <w:tc>
          <w:tcPr>
            <w:tcW w:w="10040" w:type="dxa"/>
            <w:vAlign w:val="bottom"/>
            <w:gridSpan w:val="7"/>
          </w:tcPr>
          <w:p>
            <w:pPr>
              <w:spacing w:after="0"/>
              <w:rPr>
                <w:sz w:val="20"/>
                <w:szCs w:val="20"/>
                <w:color w:val="auto"/>
              </w:rPr>
            </w:pPr>
            <w:r>
              <w:rPr>
                <w:rFonts w:ascii="Arial" w:cs="Arial" w:eastAsia="Arial" w:hAnsi="Arial"/>
                <w:sz w:val="16"/>
                <w:szCs w:val="16"/>
                <w:color w:val="auto"/>
                <w:w w:val="91"/>
              </w:rPr>
              <w:t>Inline XBRL Instance Document – The instant document does not appear in the Interactive Data File because its XBRL tags are embedded within the Inline</w:t>
            </w:r>
          </w:p>
        </w:tc>
      </w:tr>
      <w:tr>
        <w:trPr>
          <w:trHeight w:val="205"/>
        </w:trPr>
        <w:tc>
          <w:tcPr>
            <w:tcW w:w="1120" w:type="dxa"/>
            <w:vAlign w:val="bottom"/>
          </w:tcPr>
          <w:p>
            <w:pPr>
              <w:spacing w:after="0"/>
              <w:rPr>
                <w:sz w:val="17"/>
                <w:szCs w:val="17"/>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auto"/>
              </w:rPr>
              <w:t>XBRL document.</w:t>
            </w:r>
          </w:p>
        </w:tc>
      </w:tr>
      <w:tr>
        <w:trPr>
          <w:trHeight w:val="321"/>
        </w:trPr>
        <w:tc>
          <w:tcPr>
            <w:tcW w:w="1120" w:type="dxa"/>
            <w:vAlign w:val="bottom"/>
          </w:tcPr>
          <w:p>
            <w:pPr>
              <w:spacing w:after="0"/>
              <w:rPr>
                <w:sz w:val="20"/>
                <w:szCs w:val="20"/>
                <w:color w:val="auto"/>
              </w:rPr>
            </w:pPr>
            <w:r>
              <w:rPr>
                <w:rFonts w:ascii="Arial" w:cs="Arial" w:eastAsia="Arial" w:hAnsi="Arial"/>
                <w:sz w:val="16"/>
                <w:szCs w:val="16"/>
                <w:color w:val="auto"/>
              </w:rPr>
              <w:t>101.1 SCH</w:t>
            </w: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w:t>
            </w: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101.1 CAL</w:t>
            </w: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101.1 DEF</w:t>
            </w: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101.1 LAB</w:t>
            </w: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101.1 PRE</w:t>
            </w:r>
          </w:p>
        </w:tc>
        <w:tc>
          <w:tcPr>
            <w:tcW w:w="1004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321"/>
        </w:trPr>
        <w:tc>
          <w:tcPr>
            <w:tcW w:w="112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7"/>
          </w:tcPr>
          <w:p>
            <w:pPr>
              <w:spacing w:after="0"/>
              <w:rPr>
                <w:sz w:val="20"/>
                <w:szCs w:val="20"/>
                <w:color w:val="auto"/>
              </w:rPr>
            </w:pPr>
            <w:r>
              <w:rPr>
                <w:rFonts w:ascii="Arial" w:cs="Arial" w:eastAsia="Arial" w:hAnsi="Arial"/>
                <w:sz w:val="16"/>
                <w:szCs w:val="16"/>
                <w:color w:val="auto"/>
                <w:w w:val="99"/>
              </w:rPr>
              <w:t>The cover page from the Company’s Quarterly Report on Form 10-Q for the quarter ended March 31, 2021, has been formatted in Inline XBRL</w:t>
            </w:r>
          </w:p>
        </w:tc>
      </w:tr>
    </w:tbl>
    <w:p>
      <w:pPr>
        <w:spacing w:after="0" w:line="116" w:lineRule="exact"/>
        <w:rPr>
          <w:sz w:val="20"/>
          <w:szCs w:val="20"/>
          <w:color w:val="auto"/>
        </w:rPr>
      </w:pPr>
    </w:p>
    <w:p>
      <w:pPr>
        <w:ind w:left="1160" w:hanging="1119"/>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7680" w:type="dxa"/>
            <w:vAlign w:val="bottom"/>
            <w:gridSpan w:val="2"/>
          </w:tcPr>
          <w:p>
            <w:pPr>
              <w:ind w:left="2520"/>
              <w:spacing w:after="0"/>
              <w:rPr>
                <w:sz w:val="20"/>
                <w:szCs w:val="20"/>
                <w:color w:val="auto"/>
              </w:rPr>
            </w:pPr>
            <w:r>
              <w:rPr>
                <w:rFonts w:ascii="Arial" w:cs="Arial" w:eastAsia="Arial" w:hAnsi="Arial"/>
                <w:sz w:val="18"/>
                <w:szCs w:val="18"/>
                <w:color w:val="auto"/>
              </w:rPr>
              <w:t>HEALTHSTREAM, INC.</w:t>
            </w:r>
          </w:p>
        </w:tc>
      </w:tr>
      <w:tr>
        <w:trPr>
          <w:trHeight w:val="456"/>
        </w:trPr>
        <w:tc>
          <w:tcPr>
            <w:tcW w:w="3560" w:type="dxa"/>
            <w:vAlign w:val="bottom"/>
          </w:tcPr>
          <w:p>
            <w:pPr>
              <w:spacing w:after="0"/>
              <w:rPr>
                <w:sz w:val="20"/>
                <w:szCs w:val="20"/>
                <w:color w:val="auto"/>
              </w:rPr>
            </w:pPr>
            <w:r>
              <w:rPr>
                <w:rFonts w:ascii="Arial" w:cs="Arial" w:eastAsia="Arial" w:hAnsi="Arial"/>
                <w:sz w:val="18"/>
                <w:szCs w:val="18"/>
                <w:color w:val="auto"/>
              </w:rPr>
              <w:t>April 29, 2021</w:t>
            </w:r>
          </w:p>
        </w:tc>
        <w:tc>
          <w:tcPr>
            <w:tcW w:w="7680" w:type="dxa"/>
            <w:vAlign w:val="bottom"/>
            <w:gridSpan w:val="2"/>
          </w:tcPr>
          <w:p>
            <w:pPr>
              <w:ind w:left="252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4"/>
        </w:trPr>
        <w:tc>
          <w:tcPr>
            <w:tcW w:w="35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7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Scott A. Roberts</w:t>
            </w:r>
          </w:p>
        </w:tc>
      </w:tr>
      <w:tr>
        <w:trPr>
          <w:trHeight w:val="227"/>
        </w:trPr>
        <w:tc>
          <w:tcPr>
            <w:tcW w:w="35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7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1"/>
          <w:szCs w:val="21"/>
          <w:color w:val="auto"/>
        </w:rPr>
        <w:t>EXHIBIT 10.18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HealthStream, Inc.</w:t>
      </w:r>
    </w:p>
    <w:p>
      <w:pPr>
        <w:jc w:val="center"/>
        <w:spacing w:after="0"/>
        <w:rPr>
          <w:sz w:val="20"/>
          <w:szCs w:val="20"/>
          <w:color w:val="auto"/>
        </w:rPr>
      </w:pPr>
      <w:r>
        <w:rPr>
          <w:rFonts w:ascii="Arial" w:cs="Arial" w:eastAsia="Arial" w:hAnsi="Arial"/>
          <w:sz w:val="21"/>
          <w:szCs w:val="21"/>
          <w:b w:val="1"/>
          <w:bCs w:val="1"/>
          <w:color w:val="auto"/>
        </w:rPr>
        <w:t>Board of Directors</w:t>
      </w:r>
    </w:p>
    <w:p>
      <w:pPr>
        <w:jc w:val="center"/>
        <w:spacing w:after="0"/>
        <w:rPr>
          <w:sz w:val="20"/>
          <w:szCs w:val="20"/>
          <w:color w:val="auto"/>
        </w:rPr>
      </w:pPr>
      <w:r>
        <w:rPr>
          <w:rFonts w:ascii="Arial" w:cs="Arial" w:eastAsia="Arial" w:hAnsi="Arial"/>
          <w:sz w:val="21"/>
          <w:szCs w:val="21"/>
          <w:b w:val="1"/>
          <w:bCs w:val="1"/>
          <w:color w:val="auto"/>
        </w:rPr>
        <w:t>Compensation Committee</w:t>
      </w:r>
    </w:p>
    <w:p>
      <w:pPr>
        <w:jc w:val="center"/>
        <w:spacing w:after="0"/>
        <w:rPr>
          <w:sz w:val="20"/>
          <w:szCs w:val="20"/>
          <w:color w:val="auto"/>
        </w:rPr>
      </w:pPr>
      <w:r>
        <w:rPr>
          <w:rFonts w:ascii="Arial" w:cs="Arial" w:eastAsia="Arial" w:hAnsi="Arial"/>
          <w:sz w:val="21"/>
          <w:szCs w:val="21"/>
          <w:b w:val="1"/>
          <w:bCs w:val="1"/>
          <w:color w:val="auto"/>
        </w:rPr>
        <w:t>2021 Executive and Corporate Management Cash Incentive Bonus Plan</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47" w:lineRule="exact"/>
        <w:rPr>
          <w:sz w:val="20"/>
          <w:szCs w:val="20"/>
          <w:color w:val="auto"/>
        </w:rPr>
      </w:pPr>
    </w:p>
    <w:p>
      <w:pPr>
        <w:ind w:right="60" w:firstLine="864"/>
        <w:spacing w:after="0" w:line="257" w:lineRule="auto"/>
        <w:rPr>
          <w:sz w:val="20"/>
          <w:szCs w:val="20"/>
          <w:color w:val="auto"/>
        </w:rPr>
      </w:pPr>
      <w:r>
        <w:rPr>
          <w:rFonts w:ascii="Arial" w:cs="Arial" w:eastAsia="Arial" w:hAnsi="Arial"/>
          <w:sz w:val="20"/>
          <w:szCs w:val="20"/>
          <w:color w:val="auto"/>
        </w:rPr>
        <w:t>Pursuant to the HealthStream, Inc. 2016 Omnibus Incentive Plan, the Compensation Committee (the “Committee”) of the Board of Directors of HealthStream, Inc. (the “Company”) hereby establishes this 2021 Executive and Corporate Management Cash Incentive Bonus Plan (the “Plan”). The Plan is the cash-based, short-term incentive portion of HealthStream's incentive compensation structure for certain executive officers, as well as the vice presidents, associate vice presidents, and directors who are assigned to a corporate function, as opposed to a business unit specific function (such individuals referred to collectively as “Management”). The purpose of the Plan is to specify appropriate opportunities to earn a cash bonus with respect to the Company’s 2021 fiscal year in order to reward Management for the Company’s financial performance during fiscal year 2021 and to further align their interests with those of the shareholders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241" w:lineRule="exact"/>
        <w:rPr>
          <w:sz w:val="20"/>
          <w:szCs w:val="20"/>
          <w:color w:val="auto"/>
        </w:rPr>
      </w:pPr>
    </w:p>
    <w:p>
      <w:pPr>
        <w:ind w:left="1300" w:right="840" w:hanging="436"/>
        <w:spacing w:after="0" w:line="276"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Actual Adjusted EBITDA before bonuses </w:t>
      </w:r>
      <w:r>
        <w:rPr>
          <w:rFonts w:ascii="Arial" w:cs="Arial" w:eastAsia="Arial" w:hAnsi="Arial"/>
          <w:sz w:val="21"/>
          <w:szCs w:val="21"/>
          <w:color w:val="auto"/>
        </w:rPr>
        <w:t>– The Company’s Adjusted EBITDA achieved in fiscal 2021,</w:t>
      </w:r>
      <w:r>
        <w:rPr>
          <w:rFonts w:ascii="Arial" w:cs="Arial" w:eastAsia="Arial" w:hAnsi="Arial"/>
          <w:sz w:val="21"/>
          <w:szCs w:val="21"/>
          <w:b w:val="1"/>
          <w:bCs w:val="1"/>
          <w:color w:val="auto"/>
        </w:rPr>
        <w:t xml:space="preserve"> </w:t>
      </w:r>
      <w:r>
        <w:rPr>
          <w:rFonts w:ascii="Arial" w:cs="Arial" w:eastAsia="Arial" w:hAnsi="Arial"/>
          <w:sz w:val="21"/>
          <w:szCs w:val="21"/>
          <w:color w:val="auto"/>
        </w:rPr>
        <w:t>excluding bonuses.</w:t>
      </w:r>
    </w:p>
    <w:p>
      <w:pPr>
        <w:spacing w:after="0" w:line="167" w:lineRule="exact"/>
        <w:rPr>
          <w:rFonts w:ascii="Arial" w:cs="Arial" w:eastAsia="Arial" w:hAnsi="Arial"/>
          <w:sz w:val="21"/>
          <w:szCs w:val="21"/>
          <w:color w:val="auto"/>
        </w:rPr>
      </w:pPr>
    </w:p>
    <w:p>
      <w:pPr>
        <w:ind w:left="1300" w:right="280" w:hanging="436"/>
        <w:spacing w:after="0" w:line="276"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Annual Bonus </w:t>
      </w:r>
      <w:r>
        <w:rPr>
          <w:rFonts w:ascii="Arial" w:cs="Arial" w:eastAsia="Arial" w:hAnsi="Arial"/>
          <w:sz w:val="21"/>
          <w:szCs w:val="21"/>
          <w:color w:val="auto"/>
        </w:rPr>
        <w:t>– The annual bonus paid to Management after the Committee determines the applicable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measure has been achieved.</w:t>
      </w:r>
    </w:p>
    <w:p>
      <w:pPr>
        <w:spacing w:after="0" w:line="167" w:lineRule="exact"/>
        <w:rPr>
          <w:rFonts w:ascii="Arial" w:cs="Arial" w:eastAsia="Arial" w:hAnsi="Arial"/>
          <w:sz w:val="21"/>
          <w:szCs w:val="21"/>
          <w:color w:val="auto"/>
        </w:rPr>
      </w:pPr>
    </w:p>
    <w:p>
      <w:pPr>
        <w:ind w:left="1300" w:hanging="436"/>
        <w:spacing w:after="0"/>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Incremental Adjusted EBITDA </w:t>
      </w:r>
      <w:r>
        <w:rPr>
          <w:rFonts w:ascii="Arial" w:cs="Arial" w:eastAsia="Arial" w:hAnsi="Arial"/>
          <w:sz w:val="21"/>
          <w:szCs w:val="21"/>
          <w:color w:val="auto"/>
        </w:rPr>
        <w:t>- Actual Adjusted EBITDA before bonuses less Target Adjusted EBITDA.</w:t>
      </w:r>
    </w:p>
    <w:p>
      <w:pPr>
        <w:spacing w:after="0" w:line="240" w:lineRule="exact"/>
        <w:rPr>
          <w:rFonts w:ascii="Arial" w:cs="Arial" w:eastAsia="Arial" w:hAnsi="Arial"/>
          <w:sz w:val="21"/>
          <w:szCs w:val="21"/>
          <w:color w:val="auto"/>
        </w:rPr>
      </w:pPr>
    </w:p>
    <w:p>
      <w:pPr>
        <w:ind w:left="1300" w:right="20" w:hanging="436"/>
        <w:spacing w:after="0" w:line="274" w:lineRule="auto"/>
        <w:tabs>
          <w:tab w:leader="none" w:pos="1300"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 The Company’s Adjusted EBITDA for the 2021 fiscal year calculated as set forth in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“Reconciliation of Non-GAAP Financial Measures” in the Company’s annual filing under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2021 budget; and (ii) EBITDA (profit/loss) from acquisitions and divestitures consummated during the calendar year (collectively, the “Excluded Expenses”). The Committee has the negative discretion to include the Excluded Expenses in the calculation of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761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1300" w:right="940" w:hanging="436"/>
        <w:spacing w:after="0" w:line="276" w:lineRule="auto"/>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Target Adjusted EBITDA </w:t>
      </w:r>
      <w:r>
        <w:rPr>
          <w:rFonts w:ascii="Arial" w:cs="Arial" w:eastAsia="Arial" w:hAnsi="Arial"/>
          <w:sz w:val="21"/>
          <w:szCs w:val="21"/>
          <w:color w:val="auto"/>
        </w:rPr>
        <w:t>– Adjusted EBITDA for the 2021 fiscal year in an amount established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by resolution within the first 90 days of the Company’s 2021 fiscal year.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2021 Financial Measure and Plan Principles:</w:t>
      </w:r>
    </w:p>
    <w:p>
      <w:pPr>
        <w:spacing w:after="0" w:line="241" w:lineRule="exact"/>
        <w:rPr>
          <w:sz w:val="20"/>
          <w:szCs w:val="20"/>
          <w:color w:val="auto"/>
        </w:rPr>
      </w:pPr>
    </w:p>
    <w:p>
      <w:pPr>
        <w:ind w:left="860" w:hanging="424"/>
        <w:spacing w:after="0"/>
        <w:tabs>
          <w:tab w:leader="none" w:pos="860"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The financial measure for is Adjusted EBITDA </w:t>
      </w:r>
      <w:r>
        <w:rPr>
          <w:rFonts w:ascii="Arial" w:cs="Arial" w:eastAsia="Arial" w:hAnsi="Arial"/>
          <w:sz w:val="21"/>
          <w:szCs w:val="21"/>
          <w:color w:val="auto"/>
        </w:rPr>
        <w:t>- Adjusted EBITDA will be the financial measure for 2021.</w:t>
      </w:r>
    </w:p>
    <w:p>
      <w:pPr>
        <w:spacing w:after="0" w:line="240" w:lineRule="exact"/>
        <w:rPr>
          <w:rFonts w:ascii="Arial" w:cs="Arial" w:eastAsia="Arial" w:hAnsi="Arial"/>
          <w:sz w:val="21"/>
          <w:szCs w:val="21"/>
          <w:color w:val="auto"/>
        </w:rPr>
      </w:pPr>
    </w:p>
    <w:p>
      <w:pPr>
        <w:ind w:left="860" w:hanging="424"/>
        <w:spacing w:after="0" w:line="276" w:lineRule="auto"/>
        <w:tabs>
          <w:tab w:leader="none" w:pos="860"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The Annual Bonus is funded by Incremental Adjusted EBITDA </w:t>
      </w:r>
      <w:r>
        <w:rPr>
          <w:rFonts w:ascii="Arial" w:cs="Arial" w:eastAsia="Arial" w:hAnsi="Arial"/>
          <w:sz w:val="21"/>
          <w:szCs w:val="21"/>
          <w:color w:val="auto"/>
        </w:rPr>
        <w:t>- The Annual Bonus will be earned from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of Incremental Adjusted EBITDA.</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Plan</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Eligibility</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Three groups are eligible for participation in the Plan:</w:t>
      </w:r>
    </w:p>
    <w:p>
      <w:pPr>
        <w:spacing w:after="0" w:line="235" w:lineRule="exact"/>
        <w:rPr>
          <w:sz w:val="20"/>
          <w:szCs w:val="20"/>
          <w:color w:val="auto"/>
        </w:rPr>
      </w:pPr>
    </w:p>
    <w:p>
      <w:pPr>
        <w:ind w:left="1720" w:right="40" w:hanging="856"/>
        <w:spacing w:after="0" w:line="271" w:lineRule="auto"/>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Executive Team </w:t>
      </w:r>
      <w:r>
        <w:rPr>
          <w:rFonts w:ascii="Arial" w:cs="Arial" w:eastAsia="Arial" w:hAnsi="Arial"/>
          <w:sz w:val="19"/>
          <w:szCs w:val="19"/>
          <w:color w:val="auto"/>
        </w:rPr>
        <w:t>– The maximum Annual Bonus that Executive Team members, other than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of HealthStream and the President &amp; Chief Operating Officer of HealthStream, shall be eligible to receive under the Plan shall be an amount equal to 30% of such member’s base salary; provided the CEO and the President &amp; COO shall be eligible to receive an amount equal to 40% of their base</w:t>
      </w:r>
    </w:p>
    <w:p>
      <w:pPr>
        <w:spacing w:after="0" w:line="1" w:lineRule="exact"/>
        <w:rPr>
          <w:rFonts w:ascii="Arial" w:cs="Arial" w:eastAsia="Arial" w:hAnsi="Arial"/>
          <w:sz w:val="19"/>
          <w:szCs w:val="19"/>
          <w:color w:val="auto"/>
        </w:rPr>
      </w:pPr>
    </w:p>
    <w:p>
      <w:pPr>
        <w:ind w:left="1720" w:right="420"/>
        <w:spacing w:after="0" w:line="304" w:lineRule="auto"/>
        <w:rPr>
          <w:rFonts w:ascii="Arial" w:cs="Arial" w:eastAsia="Arial" w:hAnsi="Arial"/>
          <w:sz w:val="19"/>
          <w:szCs w:val="19"/>
          <w:color w:val="auto"/>
        </w:rPr>
      </w:pPr>
      <w:r>
        <w:rPr>
          <w:rFonts w:ascii="Arial" w:cs="Arial" w:eastAsia="Arial" w:hAnsi="Arial"/>
          <w:sz w:val="19"/>
          <w:szCs w:val="19"/>
          <w:color w:val="auto"/>
        </w:rPr>
        <w:t>salary. Unless otherwise excluded below, the Executive Team eligible for participation includes the Chief Executive Officer, President &amp; Chief Operating Officer, and Senior Vice Presidents of the Company.</w:t>
      </w:r>
    </w:p>
    <w:p>
      <w:pPr>
        <w:spacing w:after="0" w:line="145" w:lineRule="exact"/>
        <w:rPr>
          <w:rFonts w:ascii="Arial" w:cs="Arial" w:eastAsia="Arial" w:hAnsi="Arial"/>
          <w:sz w:val="19"/>
          <w:szCs w:val="19"/>
          <w:color w:val="auto"/>
        </w:rPr>
      </w:pPr>
    </w:p>
    <w:p>
      <w:pPr>
        <w:ind w:left="1620" w:right="2820" w:hanging="756"/>
        <w:spacing w:after="0" w:line="286" w:lineRule="auto"/>
        <w:tabs>
          <w:tab w:leader="none" w:pos="1609"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Leadership Team (Vice Presidents and Associate Vice Presidents) </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maximum Annual Bonus that Vice Presidents and Associate Vice Presidents of the Business Unit shall be eligible to receive under the Plan shall be an amount equal to 16% of such Vice President or Associate Vice President’s base salary.</w:t>
      </w:r>
    </w:p>
    <w:p>
      <w:pPr>
        <w:spacing w:after="0" w:line="163" w:lineRule="exact"/>
        <w:rPr>
          <w:rFonts w:ascii="Arial" w:cs="Arial" w:eastAsia="Arial" w:hAnsi="Arial"/>
          <w:sz w:val="19"/>
          <w:szCs w:val="19"/>
          <w:color w:val="auto"/>
        </w:rPr>
      </w:pPr>
    </w:p>
    <w:p>
      <w:pPr>
        <w:ind w:left="1720" w:right="20" w:hanging="856"/>
        <w:spacing w:after="0" w:line="251" w:lineRule="auto"/>
        <w:tabs>
          <w:tab w:leader="none" w:pos="172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 xml:space="preserve">Senior Directors </w:t>
      </w:r>
      <w:r>
        <w:rPr>
          <w:rFonts w:ascii="Arial" w:cs="Arial" w:eastAsia="Arial" w:hAnsi="Arial"/>
          <w:sz w:val="21"/>
          <w:szCs w:val="21"/>
          <w:color w:val="auto"/>
        </w:rPr>
        <w:t>- The maximum Annual Bonus that Senior Directors of the Business Unit shall be eligible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under the Plan shall be an amount equal to 8% of such Senior Director’s base salary. For purposes of clarity, Directors do not include members of the Board of Directors, but are management-level employees of the Company.</w:t>
      </w:r>
    </w:p>
    <w:p>
      <w:pPr>
        <w:spacing w:after="0" w:line="194" w:lineRule="exact"/>
        <w:rPr>
          <w:rFonts w:ascii="Arial" w:cs="Arial" w:eastAsia="Arial" w:hAnsi="Arial"/>
          <w:sz w:val="21"/>
          <w:szCs w:val="21"/>
          <w:color w:val="auto"/>
        </w:rPr>
      </w:pPr>
    </w:p>
    <w:p>
      <w:pPr>
        <w:ind w:left="1720" w:right="60" w:hanging="856"/>
        <w:spacing w:after="0" w:line="297" w:lineRule="auto"/>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Directors </w:t>
      </w:r>
      <w:r>
        <w:rPr>
          <w:rFonts w:ascii="Arial" w:cs="Arial" w:eastAsia="Arial" w:hAnsi="Arial"/>
          <w:sz w:val="19"/>
          <w:szCs w:val="19"/>
          <w:color w:val="auto"/>
        </w:rPr>
        <w:t>- The maximum Annual Bonus that Directors of the Business Unit shall be eligible to receive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shall be an amount equal to 6% of such Director’s base salary. For purposes of clarity, Directors do not include members of the Board of Directors, but are management-level employees of the Company.</w:t>
      </w:r>
    </w:p>
    <w:p>
      <w:pPr>
        <w:spacing w:after="0" w:line="152" w:lineRule="exact"/>
        <w:rPr>
          <w:rFonts w:ascii="Arial" w:cs="Arial" w:eastAsia="Arial" w:hAnsi="Arial"/>
          <w:sz w:val="19"/>
          <w:szCs w:val="19"/>
          <w:color w:val="auto"/>
        </w:rPr>
      </w:pPr>
    </w:p>
    <w:p>
      <w:pPr>
        <w:ind w:left="1620" w:hanging="756"/>
        <w:spacing w:after="0"/>
        <w:tabs>
          <w:tab w:leader="none" w:pos="162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 xml:space="preserve">Employment Requirements </w:t>
      </w:r>
      <w:r>
        <w:rPr>
          <w:rFonts w:ascii="Arial" w:cs="Arial" w:eastAsia="Arial" w:hAnsi="Arial"/>
          <w:sz w:val="21"/>
          <w:szCs w:val="21"/>
          <w:color w:val="auto"/>
        </w:rPr>
        <w:t>– Participants in the Plan who were employed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361315</wp:posOffset>
            </wp:positionV>
            <wp:extent cx="71761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1" w:name="page32"/>
    <w:bookmarkEnd w:id="31"/>
    <w:p>
      <w:pPr>
        <w:ind w:left="1740" w:right="160"/>
        <w:spacing w:after="0" w:line="260" w:lineRule="auto"/>
        <w:rPr>
          <w:sz w:val="20"/>
          <w:szCs w:val="20"/>
          <w:color w:val="auto"/>
        </w:rPr>
      </w:pPr>
      <w:r>
        <w:rPr>
          <w:rFonts w:ascii="Arial" w:cs="Arial" w:eastAsia="Arial" w:hAnsi="Arial"/>
          <w:sz w:val="20"/>
          <w:szCs w:val="20"/>
          <w:color w:val="auto"/>
        </w:rPr>
        <w:t>the Company through December 31, 2021 shall be eligible to receive bonus payments, if any, under the Plan regardless of whether such employees are employed on the date such payments are actually</w:t>
      </w:r>
    </w:p>
    <w:p>
      <w:pPr>
        <w:spacing w:after="0" w:line="2" w:lineRule="exact"/>
        <w:rPr>
          <w:sz w:val="20"/>
          <w:szCs w:val="20"/>
          <w:color w:val="auto"/>
        </w:rPr>
      </w:pPr>
    </w:p>
    <w:p>
      <w:pPr>
        <w:ind w:left="1740" w:right="200"/>
        <w:spacing w:after="0" w:line="252" w:lineRule="auto"/>
        <w:rPr>
          <w:sz w:val="20"/>
          <w:szCs w:val="20"/>
          <w:color w:val="auto"/>
        </w:rPr>
      </w:pPr>
      <w:r>
        <w:rPr>
          <w:rFonts w:ascii="Arial" w:cs="Arial" w:eastAsia="Arial" w:hAnsi="Arial"/>
          <w:sz w:val="21"/>
          <w:szCs w:val="21"/>
          <w:color w:val="auto"/>
        </w:rPr>
        <w:t>made. Notwithstanding the foregoing, in the case of death or disability, the participant’s pro rata share from January 1, 2021 through the date of participant’s death or disability shall be awarded.</w:t>
      </w:r>
    </w:p>
    <w:p>
      <w:pPr>
        <w:spacing w:after="0" w:line="192" w:lineRule="exact"/>
        <w:rPr>
          <w:sz w:val="20"/>
          <w:szCs w:val="20"/>
          <w:color w:val="auto"/>
        </w:rPr>
      </w:pPr>
    </w:p>
    <w:p>
      <w:pPr>
        <w:ind w:left="1720" w:hanging="856"/>
        <w:spacing w:after="0" w:line="268" w:lineRule="auto"/>
        <w:tabs>
          <w:tab w:leader="none" w:pos="172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 Members of the Executive Team with a commission based incentive compensation plan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eligible to participate in the Plan. Additionally, members of the Executive Team who are eligible to participate in any one of the following shall not be eligible to participate in the Plan: (i) the 2021 Workforce Development Cash Bonus Incentive Plan, or (ii) the 2021 Provider Solutions Cash Bonus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Payout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Payouts under the Plan shall be determined as follows:</w:t>
      </w:r>
    </w:p>
    <w:p>
      <w:pPr>
        <w:spacing w:after="0" w:line="241" w:lineRule="exact"/>
        <w:rPr>
          <w:sz w:val="20"/>
          <w:szCs w:val="20"/>
          <w:color w:val="auto"/>
        </w:rPr>
      </w:pPr>
    </w:p>
    <w:p>
      <w:pPr>
        <w:ind w:left="860" w:hanging="424"/>
        <w:spacing w:after="0" w:line="247" w:lineRule="auto"/>
        <w:tabs>
          <w:tab w:leader="none" w:pos="8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Incremental Adjusted EBITDA will be determined by subtracting the Target Adjusted EBITDA from Actual Adjusted EBITDA before bonuses. The Incremental Adjusted EBITDA will then be multiplied by 30% of base salary for each member of the Executive Team other than the Chief Executive Officer and the President &amp; COO, 40% of base salary for the CEO and the President &amp; COO, 16% of base salary for each member of the Leadership Team, 8% of base salary for each Senior Director, and 6% of base salary for each Director.</w:t>
      </w:r>
    </w:p>
    <w:p>
      <w:pPr>
        <w:spacing w:after="0" w:line="203" w:lineRule="exact"/>
        <w:rPr>
          <w:rFonts w:ascii="Arial" w:cs="Arial" w:eastAsia="Arial" w:hAnsi="Arial"/>
          <w:sz w:val="21"/>
          <w:szCs w:val="21"/>
          <w:color w:val="auto"/>
        </w:rPr>
      </w:pPr>
    </w:p>
    <w:p>
      <w:pPr>
        <w:ind w:left="860" w:right="200" w:hanging="424"/>
        <w:spacing w:after="0" w:line="324"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Annual Bonus payouts made to the Executive Team, Leadership Team, Senior Directors, or Directors pursuant to the Plan shall be payable at such time as bonuses are paid generally to executive officers of the Company.</w:t>
      </w:r>
    </w:p>
    <w:p>
      <w:pPr>
        <w:sectPr>
          <w:pgSz w:w="11900" w:h="16838" w:orient="portrait"/>
          <w:cols w:equalWidth="0" w:num="1">
            <w:col w:w="11180"/>
          </w:cols>
          <w:pgMar w:left="320" w:top="600" w:right="399" w:bottom="1440" w:gutter="0" w:footer="0" w:header="0"/>
        </w:sectPr>
      </w:pPr>
    </w:p>
    <w:bookmarkStart w:id="32" w:name="page33"/>
    <w:bookmarkEnd w:id="32"/>
    <w:p>
      <w:pPr>
        <w:jc w:val="right"/>
        <w:spacing w:after="0"/>
        <w:rPr>
          <w:sz w:val="20"/>
          <w:szCs w:val="20"/>
          <w:color w:val="auto"/>
        </w:rPr>
      </w:pPr>
      <w:r>
        <w:rPr>
          <w:rFonts w:ascii="Arial" w:cs="Arial" w:eastAsia="Arial" w:hAnsi="Arial"/>
          <w:sz w:val="21"/>
          <w:szCs w:val="21"/>
          <w:color w:val="auto"/>
        </w:rPr>
        <w:t>EXHIBIT 10.19</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HealthStream, Inc.</w:t>
      </w:r>
    </w:p>
    <w:p>
      <w:pPr>
        <w:jc w:val="center"/>
        <w:spacing w:after="0"/>
        <w:rPr>
          <w:sz w:val="20"/>
          <w:szCs w:val="20"/>
          <w:color w:val="auto"/>
        </w:rPr>
      </w:pPr>
      <w:r>
        <w:rPr>
          <w:rFonts w:ascii="Arial" w:cs="Arial" w:eastAsia="Arial" w:hAnsi="Arial"/>
          <w:sz w:val="21"/>
          <w:szCs w:val="21"/>
          <w:b w:val="1"/>
          <w:bCs w:val="1"/>
          <w:color w:val="auto"/>
        </w:rPr>
        <w:t>Board of Directors</w:t>
      </w:r>
    </w:p>
    <w:p>
      <w:pPr>
        <w:jc w:val="center"/>
        <w:spacing w:after="0"/>
        <w:rPr>
          <w:sz w:val="20"/>
          <w:szCs w:val="20"/>
          <w:color w:val="auto"/>
        </w:rPr>
      </w:pPr>
      <w:r>
        <w:rPr>
          <w:rFonts w:ascii="Arial" w:cs="Arial" w:eastAsia="Arial" w:hAnsi="Arial"/>
          <w:sz w:val="21"/>
          <w:szCs w:val="21"/>
          <w:b w:val="1"/>
          <w:bCs w:val="1"/>
          <w:color w:val="auto"/>
        </w:rPr>
        <w:t>Compensation Committee</w:t>
      </w:r>
    </w:p>
    <w:p>
      <w:pPr>
        <w:jc w:val="center"/>
        <w:spacing w:after="0"/>
        <w:rPr>
          <w:sz w:val="20"/>
          <w:szCs w:val="20"/>
          <w:color w:val="auto"/>
        </w:rPr>
      </w:pPr>
      <w:r>
        <w:rPr>
          <w:rFonts w:ascii="Arial" w:cs="Arial" w:eastAsia="Arial" w:hAnsi="Arial"/>
          <w:sz w:val="21"/>
          <w:szCs w:val="21"/>
          <w:b w:val="1"/>
          <w:bCs w:val="1"/>
          <w:color w:val="auto"/>
        </w:rPr>
        <w:t>2021 Provider Solutions Cash Incentive Bonus Plan</w:t>
      </w:r>
    </w:p>
    <w:p>
      <w:pPr>
        <w:jc w:val="center"/>
        <w:spacing w:after="0"/>
        <w:rPr>
          <w:sz w:val="20"/>
          <w:szCs w:val="20"/>
          <w:color w:val="auto"/>
        </w:rPr>
      </w:pPr>
      <w:r>
        <w:rPr>
          <w:rFonts w:ascii="Arial" w:cs="Arial" w:eastAsia="Arial" w:hAnsi="Arial"/>
          <w:sz w:val="21"/>
          <w:szCs w:val="21"/>
          <w:b w:val="1"/>
          <w:bCs w:val="1"/>
          <w:color w:val="auto"/>
        </w:rPr>
        <w:t>For the Business Segment President</w:t>
      </w:r>
    </w:p>
    <w:p>
      <w:pPr>
        <w:spacing w:after="0"/>
        <w:rPr>
          <w:sz w:val="20"/>
          <w:szCs w:val="20"/>
          <w:color w:val="auto"/>
        </w:rPr>
      </w:pPr>
      <w:r>
        <w:rPr>
          <w:rFonts w:ascii="Arial" w:cs="Arial" w:eastAsia="Arial" w:hAnsi="Arial"/>
          <w:sz w:val="21"/>
          <w:szCs w:val="21"/>
          <w:b w:val="1"/>
          <w:bCs w:val="1"/>
          <w:color w:val="auto"/>
        </w:rPr>
        <w:t>Overview:</w:t>
      </w:r>
    </w:p>
    <w:p>
      <w:pPr>
        <w:spacing w:after="0" w:line="223" w:lineRule="exact"/>
        <w:rPr>
          <w:sz w:val="20"/>
          <w:szCs w:val="20"/>
          <w:color w:val="auto"/>
        </w:rPr>
      </w:pPr>
    </w:p>
    <w:p>
      <w:pPr>
        <w:ind w:right="100" w:firstLine="864"/>
        <w:spacing w:after="0" w:line="257" w:lineRule="auto"/>
        <w:rPr>
          <w:sz w:val="20"/>
          <w:szCs w:val="20"/>
          <w:color w:val="auto"/>
        </w:rPr>
      </w:pPr>
      <w:r>
        <w:rPr>
          <w:rFonts w:ascii="Arial" w:cs="Arial" w:eastAsia="Arial" w:hAnsi="Arial"/>
          <w:sz w:val="20"/>
          <w:szCs w:val="20"/>
          <w:color w:val="auto"/>
        </w:rPr>
        <w:t>Pursuant to the HealthStream, Inc. 2016 Omnibus Incentive Plan, the Compensation Committee (the “Committee”) of the Board of Directors of HealthStream, Inc. (the “Company”) hereby establishes this Amended 2021 Provider Solutions Cash Incentive Bonus Plan for the Business Segment President (the “Plan”). The Plan is a cash-based, short-term incentive portion of the Company’s Provider Solutions segment (the “Business Unit”) incentive compensation structure for the president (“President”) of the Business Unit. The purpose of the Plan is to specify appropriate opportunities to earn a cash bonus with respect to the (i) Business Unit’s 2021 fiscal year performance and/or (ii) the Company’s overall 2021 fiscal year performance, each in order to reward the President for the Business Unit’s and/or the Company’s financial performance during fiscal year 2021 and to further align his interest with those of the shareholders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200" w:lineRule="exact"/>
        <w:rPr>
          <w:sz w:val="20"/>
          <w:szCs w:val="20"/>
          <w:color w:val="auto"/>
        </w:rPr>
      </w:pPr>
    </w:p>
    <w:p>
      <w:pPr>
        <w:spacing w:after="0" w:line="282" w:lineRule="exact"/>
        <w:rPr>
          <w:sz w:val="20"/>
          <w:szCs w:val="20"/>
          <w:color w:val="auto"/>
        </w:rPr>
      </w:pPr>
    </w:p>
    <w:p>
      <w:pPr>
        <w:ind w:left="1300" w:right="8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Provider Solutions Actual Adjusted EBITDA before bonuses </w:t>
      </w:r>
      <w:r>
        <w:rPr>
          <w:rFonts w:ascii="Arial" w:cs="Arial" w:eastAsia="Arial" w:hAnsi="Arial"/>
          <w:sz w:val="21"/>
          <w:szCs w:val="21"/>
          <w:color w:val="auto"/>
        </w:rPr>
        <w:t>– The Business Unit’s Adjusted EBITDA</w:t>
      </w:r>
      <w:r>
        <w:rPr>
          <w:rFonts w:ascii="Arial" w:cs="Arial" w:eastAsia="Arial" w:hAnsi="Arial"/>
          <w:sz w:val="21"/>
          <w:szCs w:val="21"/>
          <w:b w:val="1"/>
          <w:bCs w:val="1"/>
          <w:color w:val="auto"/>
        </w:rPr>
        <w:t xml:space="preserve"> </w:t>
      </w:r>
      <w:r>
        <w:rPr>
          <w:rFonts w:ascii="Arial" w:cs="Arial" w:eastAsia="Arial" w:hAnsi="Arial"/>
          <w:sz w:val="21"/>
          <w:szCs w:val="21"/>
          <w:color w:val="auto"/>
        </w:rPr>
        <w:t>achieved in fiscal 2021, excluding bonuses.</w:t>
      </w:r>
    </w:p>
    <w:p>
      <w:pPr>
        <w:spacing w:after="0" w:line="167" w:lineRule="exact"/>
        <w:rPr>
          <w:rFonts w:ascii="Arial" w:cs="Arial" w:eastAsia="Arial" w:hAnsi="Arial"/>
          <w:sz w:val="21"/>
          <w:szCs w:val="21"/>
          <w:color w:val="auto"/>
        </w:rPr>
      </w:pPr>
    </w:p>
    <w:p>
      <w:pPr>
        <w:ind w:left="1300" w:right="34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Enterprise Actual Adjusted EBITDA before bonuses </w:t>
      </w:r>
      <w:r>
        <w:rPr>
          <w:rFonts w:ascii="Arial" w:cs="Arial" w:eastAsia="Arial" w:hAnsi="Arial"/>
          <w:sz w:val="21"/>
          <w:szCs w:val="21"/>
          <w:color w:val="auto"/>
        </w:rPr>
        <w:t>– The Company’s Adjusted EBITDA achieved in fiscal</w:t>
      </w:r>
      <w:r>
        <w:rPr>
          <w:rFonts w:ascii="Arial" w:cs="Arial" w:eastAsia="Arial" w:hAnsi="Arial"/>
          <w:sz w:val="21"/>
          <w:szCs w:val="21"/>
          <w:b w:val="1"/>
          <w:bCs w:val="1"/>
          <w:color w:val="auto"/>
        </w:rPr>
        <w:t xml:space="preserve"> </w:t>
      </w:r>
      <w:r>
        <w:rPr>
          <w:rFonts w:ascii="Arial" w:cs="Arial" w:eastAsia="Arial" w:hAnsi="Arial"/>
          <w:sz w:val="21"/>
          <w:szCs w:val="21"/>
          <w:color w:val="auto"/>
        </w:rPr>
        <w:t>2021, excluding bonuses.</w:t>
      </w:r>
    </w:p>
    <w:p>
      <w:pPr>
        <w:spacing w:after="0" w:line="167" w:lineRule="exact"/>
        <w:rPr>
          <w:rFonts w:ascii="Arial" w:cs="Arial" w:eastAsia="Arial" w:hAnsi="Arial"/>
          <w:sz w:val="21"/>
          <w:szCs w:val="21"/>
          <w:color w:val="auto"/>
        </w:rPr>
      </w:pPr>
    </w:p>
    <w:p>
      <w:pPr>
        <w:ind w:left="1300" w:right="6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Annual Bonus </w:t>
      </w:r>
      <w:r>
        <w:rPr>
          <w:rFonts w:ascii="Arial" w:cs="Arial" w:eastAsia="Arial" w:hAnsi="Arial"/>
          <w:sz w:val="21"/>
          <w:szCs w:val="21"/>
          <w:color w:val="auto"/>
        </w:rPr>
        <w:t>– The annual bonus paid to President after the Committee determines the applicable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measure has been achieved.</w:t>
      </w:r>
    </w:p>
    <w:p>
      <w:pPr>
        <w:spacing w:after="0" w:line="167" w:lineRule="exact"/>
        <w:rPr>
          <w:rFonts w:ascii="Arial" w:cs="Arial" w:eastAsia="Arial" w:hAnsi="Arial"/>
          <w:sz w:val="21"/>
          <w:szCs w:val="21"/>
          <w:color w:val="auto"/>
        </w:rPr>
      </w:pPr>
    </w:p>
    <w:p>
      <w:pPr>
        <w:ind w:left="1300" w:right="6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Provider Solutions Incremental Adjusted EBITDA </w:t>
      </w:r>
      <w:r>
        <w:rPr>
          <w:rFonts w:ascii="Arial" w:cs="Arial" w:eastAsia="Arial" w:hAnsi="Arial"/>
          <w:sz w:val="21"/>
          <w:szCs w:val="21"/>
          <w:color w:val="auto"/>
        </w:rPr>
        <w:t>– Provider Solutions Actual Adjusted EBITDA before</w:t>
      </w:r>
      <w:r>
        <w:rPr>
          <w:rFonts w:ascii="Arial" w:cs="Arial" w:eastAsia="Arial" w:hAnsi="Arial"/>
          <w:sz w:val="21"/>
          <w:szCs w:val="21"/>
          <w:b w:val="1"/>
          <w:bCs w:val="1"/>
          <w:color w:val="auto"/>
        </w:rPr>
        <w:t xml:space="preserve"> </w:t>
      </w:r>
      <w:r>
        <w:rPr>
          <w:rFonts w:ascii="Arial" w:cs="Arial" w:eastAsia="Arial" w:hAnsi="Arial"/>
          <w:sz w:val="21"/>
          <w:szCs w:val="21"/>
          <w:color w:val="auto"/>
        </w:rPr>
        <w:t>bonuses less Provider Solutions Target Adjusted EBITDA.</w:t>
      </w:r>
    </w:p>
    <w:p>
      <w:pPr>
        <w:spacing w:after="0" w:line="167" w:lineRule="exact"/>
        <w:rPr>
          <w:rFonts w:ascii="Arial" w:cs="Arial" w:eastAsia="Arial" w:hAnsi="Arial"/>
          <w:sz w:val="21"/>
          <w:szCs w:val="21"/>
          <w:color w:val="auto"/>
        </w:rPr>
      </w:pPr>
    </w:p>
    <w:p>
      <w:pPr>
        <w:ind w:left="1300" w:hanging="436"/>
        <w:spacing w:after="0" w:line="276"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Enterprise Incremental Adjusted EBITDA </w:t>
      </w:r>
      <w:r>
        <w:rPr>
          <w:rFonts w:ascii="Arial" w:cs="Arial" w:eastAsia="Arial" w:hAnsi="Arial"/>
          <w:sz w:val="21"/>
          <w:szCs w:val="21"/>
          <w:color w:val="auto"/>
        </w:rPr>
        <w:t>– Enterprise Actual Adjusted EBITDA before bonuses less Enterprise</w:t>
      </w:r>
      <w:r>
        <w:rPr>
          <w:rFonts w:ascii="Arial" w:cs="Arial" w:eastAsia="Arial" w:hAnsi="Arial"/>
          <w:sz w:val="21"/>
          <w:szCs w:val="21"/>
          <w:b w:val="1"/>
          <w:bCs w:val="1"/>
          <w:color w:val="auto"/>
        </w:rPr>
        <w:t xml:space="preserve"> </w:t>
      </w:r>
      <w:r>
        <w:rPr>
          <w:rFonts w:ascii="Arial" w:cs="Arial" w:eastAsia="Arial" w:hAnsi="Arial"/>
          <w:sz w:val="21"/>
          <w:szCs w:val="21"/>
          <w:color w:val="auto"/>
        </w:rPr>
        <w:t>Target Adjusted EBITDA.</w:t>
      </w:r>
    </w:p>
    <w:p>
      <w:pPr>
        <w:spacing w:after="0" w:line="167" w:lineRule="exact"/>
        <w:rPr>
          <w:rFonts w:ascii="Arial" w:cs="Arial" w:eastAsia="Arial" w:hAnsi="Arial"/>
          <w:sz w:val="21"/>
          <w:szCs w:val="21"/>
          <w:color w:val="auto"/>
        </w:rPr>
      </w:pPr>
    </w:p>
    <w:p>
      <w:pPr>
        <w:ind w:left="1300" w:right="20" w:hanging="436"/>
        <w:spacing w:after="0" w:line="281" w:lineRule="auto"/>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Provider Solutions Adjusted EBITDA </w:t>
      </w:r>
      <w:r>
        <w:rPr>
          <w:rFonts w:ascii="Arial" w:cs="Arial" w:eastAsia="Arial" w:hAnsi="Arial"/>
          <w:sz w:val="19"/>
          <w:szCs w:val="19"/>
          <w:color w:val="auto"/>
        </w:rPr>
        <w:t>– The Business Unit’s Adjusted EBITDA for the 2021 fiscal year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Business Unit’s performance as a component of the Enterprise Adjusted EBITDA, provided the following expenses are excluded from the calculation of Provider Solutions Adjusted EBITDA: for acquisitions and divestitures within or directly impacting the Business Unit, (i) acquisition and divestiture expenses incurred within the calendar year to the extent such expenses are in excess of the amount originally allocated to such purpose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314960</wp:posOffset>
            </wp:positionV>
            <wp:extent cx="71761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ind w:left="1300" w:right="20"/>
        <w:spacing w:after="0" w:line="273" w:lineRule="auto"/>
        <w:rPr>
          <w:sz w:val="20"/>
          <w:szCs w:val="20"/>
          <w:color w:val="auto"/>
        </w:rPr>
      </w:pPr>
      <w:r>
        <w:rPr>
          <w:rFonts w:ascii="Arial" w:cs="Arial" w:eastAsia="Arial" w:hAnsi="Arial"/>
          <w:sz w:val="20"/>
          <w:szCs w:val="20"/>
          <w:color w:val="auto"/>
        </w:rPr>
        <w:t>Company’s 2021 budget and (ii) EBITDA (profit/loss) from acquisitions and divestitures consummated during the calendar year (the “Provider Solutions Excluded Expenses”). The Committee has the negative discretion to include the Provider Solutions Excluded Expenses in the calculation of Provider Solutions Adjusted EBITDA.</w:t>
      </w:r>
    </w:p>
    <w:p>
      <w:pPr>
        <w:spacing w:after="0" w:line="173" w:lineRule="exact"/>
        <w:rPr>
          <w:sz w:val="20"/>
          <w:szCs w:val="20"/>
          <w:color w:val="auto"/>
        </w:rPr>
      </w:pPr>
    </w:p>
    <w:p>
      <w:pPr>
        <w:ind w:left="1300" w:hanging="436"/>
        <w:spacing w:after="0" w:line="274"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Enterprise Adjusted EBITDA </w:t>
      </w:r>
      <w:r>
        <w:rPr>
          <w:rFonts w:ascii="Arial" w:cs="Arial" w:eastAsia="Arial" w:hAnsi="Arial"/>
          <w:sz w:val="19"/>
          <w:szCs w:val="19"/>
          <w:color w:val="auto"/>
        </w:rPr>
        <w:t>- The Company’s Adjusted EBITDA for the 2021 fiscal year calculated as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“Reconciliation of Non-GAAP Financial Measures” in the Company’s annual filing under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2021 budget; and (ii) EBITDA (profit/loss) from acquisitions and divestitures consummated during the calendar year(collectively, the “Excluded Expenses”). The Committee has the negative discretion to include the Excluded Expenses in the calculation of Enterprise Adjusted EBITDA.</w:t>
      </w:r>
    </w:p>
    <w:p>
      <w:pPr>
        <w:spacing w:after="0" w:line="173" w:lineRule="exact"/>
        <w:rPr>
          <w:rFonts w:ascii="Arial" w:cs="Arial" w:eastAsia="Arial" w:hAnsi="Arial"/>
          <w:sz w:val="19"/>
          <w:szCs w:val="19"/>
          <w:color w:val="auto"/>
        </w:rPr>
      </w:pPr>
    </w:p>
    <w:p>
      <w:pPr>
        <w:ind w:left="1300" w:right="60" w:hanging="436"/>
        <w:spacing w:after="0" w:line="331"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Provider Solutions Target Adjusted EBITDA </w:t>
      </w:r>
      <w:r>
        <w:rPr>
          <w:rFonts w:ascii="Arial" w:cs="Arial" w:eastAsia="Arial" w:hAnsi="Arial"/>
          <w:sz w:val="19"/>
          <w:szCs w:val="19"/>
          <w:color w:val="auto"/>
        </w:rPr>
        <w:t>– Provider Solutions Adjusted EBITDA for the 2021 fiscal year in</w:t>
      </w:r>
      <w:r>
        <w:rPr>
          <w:rFonts w:ascii="Arial" w:cs="Arial" w:eastAsia="Arial" w:hAnsi="Arial"/>
          <w:sz w:val="19"/>
          <w:szCs w:val="19"/>
          <w:b w:val="1"/>
          <w:bCs w:val="1"/>
          <w:color w:val="auto"/>
        </w:rPr>
        <w:t xml:space="preserve"> </w:t>
      </w:r>
      <w:r>
        <w:rPr>
          <w:rFonts w:ascii="Arial" w:cs="Arial" w:eastAsia="Arial" w:hAnsi="Arial"/>
          <w:sz w:val="19"/>
          <w:szCs w:val="19"/>
          <w:color w:val="auto"/>
        </w:rPr>
        <w:t>an amount established by the Committee by resolution within the first 90 days of the Company’s 2021 fiscal year.</w:t>
      </w:r>
    </w:p>
    <w:p>
      <w:pPr>
        <w:spacing w:after="0" w:line="120" w:lineRule="exact"/>
        <w:rPr>
          <w:rFonts w:ascii="Arial" w:cs="Arial" w:eastAsia="Arial" w:hAnsi="Arial"/>
          <w:sz w:val="19"/>
          <w:szCs w:val="19"/>
          <w:color w:val="auto"/>
        </w:rPr>
      </w:pPr>
    </w:p>
    <w:p>
      <w:pPr>
        <w:ind w:left="1300" w:right="560" w:hanging="436"/>
        <w:spacing w:after="0" w:line="331"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Enterprise Target Adjusted EBITDA </w:t>
      </w:r>
      <w:r>
        <w:rPr>
          <w:rFonts w:ascii="Arial" w:cs="Arial" w:eastAsia="Arial" w:hAnsi="Arial"/>
          <w:sz w:val="19"/>
          <w:szCs w:val="19"/>
          <w:color w:val="auto"/>
        </w:rPr>
        <w:t>– Enterprise Adjusted EBITDA for the 2021 fiscal year in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by the Committee by resolution within the first 90 days of the Company’s 2021 fiscal year.</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2021 Financial Measure and Plan Principles:</w:t>
      </w:r>
    </w:p>
    <w:p>
      <w:pPr>
        <w:spacing w:after="0" w:line="241" w:lineRule="exact"/>
        <w:rPr>
          <w:sz w:val="20"/>
          <w:szCs w:val="20"/>
          <w:color w:val="auto"/>
        </w:rPr>
      </w:pPr>
    </w:p>
    <w:p>
      <w:pPr>
        <w:ind w:left="860" w:right="60" w:hanging="424"/>
        <w:spacing w:after="0" w:line="276" w:lineRule="auto"/>
        <w:tabs>
          <w:tab w:leader="none" w:pos="860"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The financial measures for 2021 are Provider Solutions and/or Enterprise Adjusted EBITDA </w:t>
      </w:r>
      <w:r>
        <w:rPr>
          <w:rFonts w:ascii="Arial" w:cs="Arial" w:eastAsia="Arial" w:hAnsi="Arial"/>
          <w:sz w:val="21"/>
          <w:szCs w:val="21"/>
          <w:color w:val="auto"/>
        </w:rPr>
        <w:t>– Provider Solutions</w:t>
      </w:r>
      <w:r>
        <w:rPr>
          <w:rFonts w:ascii="Arial" w:cs="Arial" w:eastAsia="Arial" w:hAnsi="Arial"/>
          <w:sz w:val="21"/>
          <w:szCs w:val="21"/>
          <w:b w:val="1"/>
          <w:bCs w:val="1"/>
          <w:color w:val="auto"/>
        </w:rPr>
        <w:t xml:space="preserve"> </w:t>
      </w:r>
      <w:r>
        <w:rPr>
          <w:rFonts w:ascii="Arial" w:cs="Arial" w:eastAsia="Arial" w:hAnsi="Arial"/>
          <w:sz w:val="21"/>
          <w:szCs w:val="21"/>
          <w:color w:val="auto"/>
        </w:rPr>
        <w:t>and/or Enterprise Adjusted EBITA will be the financial measure for 2021.</w:t>
      </w:r>
    </w:p>
    <w:p>
      <w:pPr>
        <w:spacing w:after="0" w:line="167" w:lineRule="exact"/>
        <w:rPr>
          <w:rFonts w:ascii="Arial" w:cs="Arial" w:eastAsia="Arial" w:hAnsi="Arial"/>
          <w:sz w:val="21"/>
          <w:szCs w:val="21"/>
          <w:color w:val="auto"/>
        </w:rPr>
      </w:pPr>
    </w:p>
    <w:p>
      <w:pPr>
        <w:ind w:left="860" w:right="220" w:hanging="424"/>
        <w:spacing w:after="0" w:line="331" w:lineRule="auto"/>
        <w:tabs>
          <w:tab w:leader="none" w:pos="860"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The Annual Bonus is funded by Provider Solutions and/or Enterprise Incremental Adjusted EBITDA </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Annual Bonus will be earned from an amount of Provider Solutions and/or Enterprise Incremental Adjusted EBITDA.</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Plan</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Eligibility</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One individual is eligible for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510540</wp:posOffset>
            </wp:positionV>
            <wp:extent cx="71761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34" w:name="page35"/>
    <w:bookmarkEnd w:id="34"/>
    <w:p>
      <w:pPr>
        <w:ind w:left="1300" w:right="140" w:hanging="436"/>
        <w:spacing w:after="0" w:line="281" w:lineRule="auto"/>
        <w:tabs>
          <w:tab w:leader="none" w:pos="1300"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President </w:t>
      </w:r>
      <w:r>
        <w:rPr>
          <w:rFonts w:ascii="Arial" w:cs="Arial" w:eastAsia="Arial" w:hAnsi="Arial"/>
          <w:sz w:val="19"/>
          <w:szCs w:val="19"/>
          <w:color w:val="auto"/>
        </w:rPr>
        <w:t>– The maximum Annual Bonus the President shall be eligible to receive under the Plan shall be an</w:t>
      </w:r>
      <w:r>
        <w:rPr>
          <w:rFonts w:ascii="Arial" w:cs="Arial" w:eastAsia="Arial" w:hAnsi="Arial"/>
          <w:sz w:val="19"/>
          <w:szCs w:val="19"/>
          <w:b w:val="1"/>
          <w:bCs w:val="1"/>
          <w:color w:val="auto"/>
        </w:rPr>
        <w:t xml:space="preserve"> </w:t>
      </w:r>
      <w:r>
        <w:rPr>
          <w:rFonts w:ascii="Arial" w:cs="Arial" w:eastAsia="Arial" w:hAnsi="Arial"/>
          <w:sz w:val="19"/>
          <w:szCs w:val="19"/>
          <w:color w:val="auto"/>
        </w:rPr>
        <w:t>amount equal to 40 percent of the President’s base salary, with that 40% being comprised as follows: 32% from Provider Solutions Incremental Adjusted EBITDA and 8% from Enterprise Incremental Adjusted EBITDA. Therefore, 80% of the President’s Annual Bonus is based on achieving and exceeding Provider Solutions Target Adjusted EBITDA and the other 20% is based on achieving and exceeding Enterprise Target Adjusted EBITDA.</w:t>
      </w:r>
    </w:p>
    <w:p>
      <w:pPr>
        <w:spacing w:after="0" w:line="167" w:lineRule="exact"/>
        <w:rPr>
          <w:rFonts w:ascii="Arial" w:cs="Arial" w:eastAsia="Arial" w:hAnsi="Arial"/>
          <w:sz w:val="19"/>
          <w:szCs w:val="19"/>
          <w:color w:val="auto"/>
        </w:rPr>
      </w:pPr>
    </w:p>
    <w:p>
      <w:pPr>
        <w:ind w:left="1300" w:hanging="436"/>
        <w:spacing w:after="0"/>
        <w:tabs>
          <w:tab w:leader="none" w:pos="1300"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Employment Requirements </w:t>
      </w:r>
      <w:r>
        <w:rPr>
          <w:rFonts w:ascii="Arial" w:cs="Arial" w:eastAsia="Arial" w:hAnsi="Arial"/>
          <w:sz w:val="21"/>
          <w:szCs w:val="21"/>
          <w:color w:val="auto"/>
        </w:rPr>
        <w:t>– Participants in the Plan who were employed with</w:t>
      </w:r>
    </w:p>
    <w:p>
      <w:pPr>
        <w:spacing w:after="0" w:line="23" w:lineRule="exact"/>
        <w:rPr>
          <w:rFonts w:ascii="Arial" w:cs="Arial" w:eastAsia="Arial" w:hAnsi="Arial"/>
          <w:sz w:val="21"/>
          <w:szCs w:val="21"/>
          <w:color w:val="auto"/>
        </w:rPr>
      </w:pPr>
    </w:p>
    <w:p>
      <w:pPr>
        <w:ind w:left="1300" w:right="500"/>
        <w:spacing w:after="0" w:line="251" w:lineRule="auto"/>
        <w:rPr>
          <w:rFonts w:ascii="Arial" w:cs="Arial" w:eastAsia="Arial" w:hAnsi="Arial"/>
          <w:sz w:val="21"/>
          <w:szCs w:val="21"/>
          <w:color w:val="auto"/>
        </w:rPr>
      </w:pPr>
      <w:r>
        <w:rPr>
          <w:rFonts w:ascii="Arial" w:cs="Arial" w:eastAsia="Arial" w:hAnsi="Arial"/>
          <w:sz w:val="20"/>
          <w:szCs w:val="20"/>
          <w:color w:val="auto"/>
        </w:rPr>
        <w:t>the Company through December 31, 2021 shall be eligible to receive bonus payments, if any, under the Plan regardless of whether such employees are employed on the date such payments are actually</w:t>
      </w:r>
    </w:p>
    <w:p>
      <w:pPr>
        <w:ind w:left="1300" w:right="520"/>
        <w:spacing w:after="0" w:line="252" w:lineRule="auto"/>
        <w:rPr>
          <w:rFonts w:ascii="Arial" w:cs="Arial" w:eastAsia="Arial" w:hAnsi="Arial"/>
          <w:sz w:val="21"/>
          <w:szCs w:val="21"/>
          <w:color w:val="auto"/>
        </w:rPr>
      </w:pPr>
      <w:r>
        <w:rPr>
          <w:rFonts w:ascii="Arial" w:cs="Arial" w:eastAsia="Arial" w:hAnsi="Arial"/>
          <w:sz w:val="21"/>
          <w:szCs w:val="21"/>
          <w:color w:val="auto"/>
        </w:rPr>
        <w:t>made. Notwithstanding the foregoing, in the case of death or disability, the participant’s pro rata share from January 1, 2021 through the date of participant’s death or disability shall be awarded.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Payout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Payouts under the Plan shall be determined as follows:</w:t>
      </w:r>
    </w:p>
    <w:p>
      <w:pPr>
        <w:spacing w:after="0" w:line="241" w:lineRule="exact"/>
        <w:rPr>
          <w:sz w:val="20"/>
          <w:szCs w:val="20"/>
          <w:color w:val="auto"/>
        </w:rPr>
      </w:pPr>
    </w:p>
    <w:p>
      <w:pPr>
        <w:ind w:left="860" w:right="380" w:hanging="424"/>
        <w:spacing w:after="0" w:line="255" w:lineRule="auto"/>
        <w:tabs>
          <w:tab w:leader="none" w:pos="8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Provider Solutions Incremental Adjusted EBITDA will be determined by subtracting the Provider Solutions Target Adjusted EBITDA from Actual Adjusted EBITDA before bonuses. The Provider Solutions Incremental Adjusted EBITDA will then be multiplied by 32% for the President.</w:t>
      </w:r>
    </w:p>
    <w:p>
      <w:pPr>
        <w:spacing w:after="0" w:line="194" w:lineRule="exact"/>
        <w:rPr>
          <w:rFonts w:ascii="Arial" w:cs="Arial" w:eastAsia="Arial" w:hAnsi="Arial"/>
          <w:sz w:val="21"/>
          <w:szCs w:val="21"/>
          <w:color w:val="auto"/>
        </w:rPr>
      </w:pPr>
    </w:p>
    <w:p>
      <w:pPr>
        <w:ind w:left="860" w:hanging="424"/>
        <w:spacing w:after="0" w:line="255" w:lineRule="auto"/>
        <w:tabs>
          <w:tab w:leader="none" w:pos="8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Enterprise Incremental Adjusted EBITDA will be determined by subtracting the Enterprise Target Adjusted EBITDA from Enterprise Actual Adjusted EBITDA before bonuses. The Enterprise Incremental Adjusted EBITDA will then be multiplied by 8% for the President.</w:t>
      </w:r>
    </w:p>
    <w:p>
      <w:pPr>
        <w:spacing w:after="0" w:line="194" w:lineRule="exact"/>
        <w:rPr>
          <w:rFonts w:ascii="Arial" w:cs="Arial" w:eastAsia="Arial" w:hAnsi="Arial"/>
          <w:sz w:val="21"/>
          <w:szCs w:val="21"/>
          <w:color w:val="auto"/>
        </w:rPr>
      </w:pPr>
    </w:p>
    <w:p>
      <w:pPr>
        <w:ind w:left="860" w:right="220" w:hanging="424"/>
        <w:spacing w:after="0" w:line="270" w:lineRule="auto"/>
        <w:tabs>
          <w:tab w:leader="none" w:pos="8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such Annual Bonus made to the President pursuant to the Plan shall be payable at such time as bonuses are paid generally to executive officers of the Company.</w:t>
      </w:r>
    </w:p>
    <w:p>
      <w:pPr>
        <w:sectPr>
          <w:pgSz w:w="11900" w:h="16838" w:orient="portrait"/>
          <w:cols w:equalWidth="0" w:num="1">
            <w:col w:w="11080"/>
          </w:cols>
          <w:pgMar w:left="320" w:top="594" w:right="499" w:bottom="1440" w:gutter="0" w:footer="0" w:header="0"/>
        </w:sectPr>
      </w:pPr>
    </w:p>
    <w:bookmarkStart w:id="35" w:name="page36"/>
    <w:bookmarkEnd w:id="35"/>
    <w:p>
      <w:pPr>
        <w:jc w:val="right"/>
        <w:spacing w:after="0"/>
        <w:rPr>
          <w:sz w:val="20"/>
          <w:szCs w:val="20"/>
          <w:color w:val="auto"/>
        </w:rPr>
      </w:pPr>
      <w:r>
        <w:rPr>
          <w:rFonts w:ascii="Arial" w:cs="Arial" w:eastAsia="Arial" w:hAnsi="Arial"/>
          <w:sz w:val="21"/>
          <w:szCs w:val="21"/>
          <w:color w:val="auto"/>
        </w:rPr>
        <w:t>Exhibit 10.20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HEALTHSTREAM, INC.</w:t>
      </w:r>
    </w:p>
    <w:p>
      <w:pPr>
        <w:jc w:val="center"/>
        <w:spacing w:after="0"/>
        <w:rPr>
          <w:sz w:val="20"/>
          <w:szCs w:val="20"/>
          <w:color w:val="auto"/>
        </w:rPr>
      </w:pPr>
      <w:r>
        <w:rPr>
          <w:rFonts w:ascii="Arial" w:cs="Arial" w:eastAsia="Arial" w:hAnsi="Arial"/>
          <w:sz w:val="21"/>
          <w:szCs w:val="21"/>
          <w:b w:val="1"/>
          <w:bCs w:val="1"/>
          <w:color w:val="auto"/>
        </w:rPr>
        <w:t>DIRECTORS STOCK ELECTION PLAN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December 14, 2020</w:t>
      </w:r>
    </w:p>
    <w:p>
      <w:pPr>
        <w:spacing w:after="0" w:line="22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u w:val="single" w:color="auto"/>
          <w:color w:val="auto"/>
        </w:rPr>
        <w:t>Section 1. Purpose</w:t>
      </w:r>
      <w:r>
        <w:rPr>
          <w:rFonts w:ascii="Arial" w:cs="Arial" w:eastAsia="Arial" w:hAnsi="Arial"/>
          <w:sz w:val="21"/>
          <w:szCs w:val="21"/>
          <w:color w:val="auto"/>
        </w:rPr>
        <w:t>. The purpose of this Directors Stock Election Plan (the “</w:t>
      </w:r>
      <w:r>
        <w:rPr>
          <w:rFonts w:ascii="Arial" w:cs="Arial" w:eastAsia="Arial" w:hAnsi="Arial"/>
          <w:sz w:val="21"/>
          <w:szCs w:val="21"/>
          <w:u w:val="single" w:color="auto"/>
          <w:color w:val="auto"/>
        </w:rPr>
        <w:t>Plan</w:t>
      </w:r>
      <w:r>
        <w:rPr>
          <w:rFonts w:ascii="Arial" w:cs="Arial" w:eastAsia="Arial" w:hAnsi="Arial"/>
          <w:sz w:val="21"/>
          <w:szCs w:val="21"/>
          <w:color w:val="auto"/>
        </w:rPr>
        <w:t>”) is to enable HealthStream, Inc.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to provide a mechanism for non-employee directors of the Company (“</w:t>
      </w:r>
      <w:r>
        <w:rPr>
          <w:rFonts w:ascii="Arial" w:cs="Arial" w:eastAsia="Arial" w:hAnsi="Arial"/>
          <w:sz w:val="21"/>
          <w:szCs w:val="21"/>
          <w:u w:val="single" w:color="auto"/>
          <w:color w:val="auto"/>
        </w:rPr>
        <w:t>Directors</w:t>
      </w:r>
      <w:r>
        <w:rPr>
          <w:rFonts w:ascii="Arial" w:cs="Arial" w:eastAsia="Arial" w:hAnsi="Arial"/>
          <w:sz w:val="21"/>
          <w:szCs w:val="21"/>
          <w:color w:val="auto"/>
        </w:rPr>
        <w:t>”) to elect to cause the cash compensation (the “</w:t>
      </w:r>
      <w:r>
        <w:rPr>
          <w:rFonts w:ascii="Arial" w:cs="Arial" w:eastAsia="Arial" w:hAnsi="Arial"/>
          <w:sz w:val="21"/>
          <w:szCs w:val="21"/>
          <w:u w:val="single" w:color="auto"/>
          <w:color w:val="auto"/>
        </w:rPr>
        <w:t>Director Cash Compensation</w:t>
      </w:r>
      <w:r>
        <w:rPr>
          <w:rFonts w:ascii="Arial" w:cs="Arial" w:eastAsia="Arial" w:hAnsi="Arial"/>
          <w:sz w:val="21"/>
          <w:szCs w:val="21"/>
          <w:color w:val="auto"/>
        </w:rPr>
        <w:t>”) otherwise payable by the Company to any such Directors in their capacity as a non-employee director to be paid in the form of shares of the Company’s common stock, no par value (“</w:t>
      </w:r>
      <w:r>
        <w:rPr>
          <w:rFonts w:ascii="Arial" w:cs="Arial" w:eastAsia="Arial" w:hAnsi="Arial"/>
          <w:sz w:val="21"/>
          <w:szCs w:val="21"/>
          <w:u w:val="single" w:color="auto"/>
          <w:color w:val="auto"/>
        </w:rPr>
        <w:t>Common Stock</w:t>
      </w:r>
      <w:r>
        <w:rPr>
          <w:rFonts w:ascii="Arial" w:cs="Arial" w:eastAsia="Arial" w:hAnsi="Arial"/>
          <w:sz w:val="21"/>
          <w:szCs w:val="21"/>
          <w:color w:val="auto"/>
        </w:rPr>
        <w:t>”), in lieu of Director Cash Compensation, all in accordance with the terms set forth in this Plan and the 2016 Omnibus Incentive Plan of the Company (the “</w:t>
      </w:r>
      <w:r>
        <w:rPr>
          <w:rFonts w:ascii="Arial" w:cs="Arial" w:eastAsia="Arial" w:hAnsi="Arial"/>
          <w:sz w:val="21"/>
          <w:szCs w:val="21"/>
          <w:u w:val="single" w:color="auto"/>
          <w:color w:val="auto"/>
        </w:rPr>
        <w:t>Incentive Plan</w:t>
      </w:r>
      <w:r>
        <w:rPr>
          <w:rFonts w:ascii="Arial" w:cs="Arial" w:eastAsia="Arial" w:hAnsi="Arial"/>
          <w:sz w:val="21"/>
          <w:szCs w:val="21"/>
          <w:color w:val="auto"/>
        </w:rPr>
        <w: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1"/>
          <w:szCs w:val="21"/>
          <w:b w:val="1"/>
          <w:bCs w:val="1"/>
          <w:u w:val="single" w:color="auto"/>
          <w:color w:val="auto"/>
        </w:rPr>
        <w:t>Section 2. Election Mechanics</w:t>
      </w:r>
      <w:r>
        <w:rPr>
          <w:rFonts w:ascii="Arial" w:cs="Arial" w:eastAsia="Arial" w:hAnsi="Arial"/>
          <w:sz w:val="21"/>
          <w:szCs w:val="21"/>
          <w:color w:val="auto"/>
        </w:rPr>
        <w:t>.</w:t>
      </w:r>
    </w:p>
    <w:p>
      <w:pPr>
        <w:spacing w:after="0" w:line="247" w:lineRule="exact"/>
        <w:rPr>
          <w:sz w:val="20"/>
          <w:szCs w:val="20"/>
          <w:color w:val="auto"/>
        </w:rPr>
      </w:pPr>
    </w:p>
    <w:p>
      <w:pPr>
        <w:jc w:val="both"/>
        <w:ind w:firstLine="871"/>
        <w:spacing w:after="0" w:line="258" w:lineRule="auto"/>
        <w:tabs>
          <w:tab w:leader="none" w:pos="174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Director Election Form.</w:t>
      </w:r>
      <w:r>
        <w:rPr>
          <w:rFonts w:ascii="Arial" w:cs="Arial" w:eastAsia="Arial" w:hAnsi="Arial"/>
          <w:sz w:val="20"/>
          <w:szCs w:val="20"/>
          <w:color w:val="auto"/>
        </w:rPr>
        <w:t xml:space="preserve"> At any time prior to the beginning of a calendar year (or other period made available by the Company), a Director may elect, by executing, completing and delivering to the Company an election form to be provided by the Company (the “</w:t>
      </w:r>
      <w:r>
        <w:rPr>
          <w:rFonts w:ascii="Arial" w:cs="Arial" w:eastAsia="Arial" w:hAnsi="Arial"/>
          <w:sz w:val="20"/>
          <w:szCs w:val="20"/>
          <w:u w:val="single" w:color="auto"/>
          <w:color w:val="auto"/>
        </w:rPr>
        <w:t>Election Form</w:t>
      </w:r>
      <w:r>
        <w:rPr>
          <w:rFonts w:ascii="Arial" w:cs="Arial" w:eastAsia="Arial" w:hAnsi="Arial"/>
          <w:sz w:val="20"/>
          <w:szCs w:val="20"/>
          <w:color w:val="auto"/>
        </w:rPr>
        <w:t>”), that all, but not less than all, of the Director Cash Compensation that would otherwise be payable to such Director during such calendar year or other period (the “</w:t>
      </w:r>
      <w:r>
        <w:rPr>
          <w:rFonts w:ascii="Arial" w:cs="Arial" w:eastAsia="Arial" w:hAnsi="Arial"/>
          <w:sz w:val="20"/>
          <w:szCs w:val="20"/>
          <w:u w:val="single" w:color="auto"/>
          <w:color w:val="auto"/>
        </w:rPr>
        <w:t>Applicable Year</w:t>
      </w:r>
      <w:r>
        <w:rPr>
          <w:rFonts w:ascii="Arial" w:cs="Arial" w:eastAsia="Arial" w:hAnsi="Arial"/>
          <w:sz w:val="20"/>
          <w:szCs w:val="20"/>
          <w:color w:val="auto"/>
        </w:rPr>
        <w:t>”) (any Director Cash Compensation that any Director elects to receive in the form of Unrestricted Shares (as defined below) as specified in the Election Form, the “</w:t>
      </w:r>
      <w:r>
        <w:rPr>
          <w:rFonts w:ascii="Arial" w:cs="Arial" w:eastAsia="Arial" w:hAnsi="Arial"/>
          <w:sz w:val="20"/>
          <w:szCs w:val="20"/>
          <w:u w:val="single" w:color="auto"/>
          <w:color w:val="auto"/>
        </w:rPr>
        <w:t>Applicable Director Cash Compensation</w:t>
      </w:r>
      <w:r>
        <w:rPr>
          <w:rFonts w:ascii="Arial" w:cs="Arial" w:eastAsia="Arial" w:hAnsi="Arial"/>
          <w:sz w:val="20"/>
          <w:szCs w:val="20"/>
          <w:color w:val="auto"/>
        </w:rPr>
        <w:t>”) be paid in the form of unrestricted shares of Common Stock issued by the Company (the “</w:t>
      </w:r>
      <w:r>
        <w:rPr>
          <w:rFonts w:ascii="Arial" w:cs="Arial" w:eastAsia="Arial" w:hAnsi="Arial"/>
          <w:sz w:val="20"/>
          <w:szCs w:val="20"/>
          <w:u w:val="single" w:color="auto"/>
          <w:color w:val="auto"/>
        </w:rPr>
        <w:t>Unrestricted Shares</w:t>
      </w:r>
      <w:r>
        <w:rPr>
          <w:rFonts w:ascii="Arial" w:cs="Arial" w:eastAsia="Arial" w:hAnsi="Arial"/>
          <w:sz w:val="20"/>
          <w:szCs w:val="20"/>
          <w:color w:val="auto"/>
        </w:rPr>
        <w:t>”) in lieu of such Applicable Director Cash Compensation.</w:t>
      </w:r>
    </w:p>
    <w:p>
      <w:pPr>
        <w:spacing w:after="0" w:line="197" w:lineRule="exact"/>
        <w:rPr>
          <w:rFonts w:ascii="Arial" w:cs="Arial" w:eastAsia="Arial" w:hAnsi="Arial"/>
          <w:sz w:val="20"/>
          <w:szCs w:val="20"/>
          <w:color w:val="auto"/>
        </w:rPr>
      </w:pPr>
    </w:p>
    <w:p>
      <w:pPr>
        <w:jc w:val="both"/>
        <w:ind w:firstLine="871"/>
        <w:spacing w:after="0" w:line="254" w:lineRule="auto"/>
        <w:tabs>
          <w:tab w:leader="none" w:pos="1756"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Common Stock</w:t>
      </w:r>
      <w:r>
        <w:rPr>
          <w:rFonts w:ascii="Arial" w:cs="Arial" w:eastAsia="Arial" w:hAnsi="Arial"/>
          <w:sz w:val="20"/>
          <w:szCs w:val="20"/>
          <w:color w:val="auto"/>
        </w:rPr>
        <w:t>. Any Director electing to receive an award of Unrestricted Shares pursuant to the Election Form will be entitled to receive, on the dates on which such Director would otherwise be entitled to receive Applicable Director Cash Compensation during such Applicable Year, which dates (unless otherwise determined by the Plan Committee) will be the tenth day of the final month in each calendar quarter during such Applicable Year (or, if such day is not a business day, the next succeeding business day) (the “</w:t>
      </w:r>
      <w:r>
        <w:rPr>
          <w:rFonts w:ascii="Arial" w:cs="Arial" w:eastAsia="Arial" w:hAnsi="Arial"/>
          <w:sz w:val="20"/>
          <w:szCs w:val="20"/>
          <w:u w:val="single" w:color="auto"/>
          <w:color w:val="auto"/>
        </w:rPr>
        <w:t>Payment Dates</w:t>
      </w:r>
      <w:r>
        <w:rPr>
          <w:rFonts w:ascii="Arial" w:cs="Arial" w:eastAsia="Arial" w:hAnsi="Arial"/>
          <w:sz w:val="20"/>
          <w:szCs w:val="20"/>
          <w:color w:val="auto"/>
        </w:rPr>
        <w:t>”), an award of Unrestricted Shares in an amount (rounded to the nearest whole share) equal to the quotient of (i) the Applicable Director Cash Compensation otherwise payable on any such Payment Date, divided by (ii) the closing price of the Common Stock as reported on the Nasdaq Global Select Market on the Payment Date, or if the applicable Payment Date falls on a day when markets are closed, then on the most recently ended trading date in proximity thereto. For purposes of clarification, in no event will any Director be entitled to receive any award of Unrestricted Shares except to the extent that the Applicable Director Cash Compensation would otherwise be (or have been) payable to such Director in or with respect to the Applicable Year. In addition, notwithstanding the foregoing or anything contained herein to the contrary, in the event that, between the date of the Election Form and the Payment Date, any adjustments occur with respect to the Common Stock within the scope of Section 4.2 of the Incentive Plan, or any Change in Control (as defined in the Incentive Plan) is consummated, the Plan Committee may, in its discretion, determine any changes in the consideration to be paid to any Director hereunder (including changes in the form(s) and timing of payment of such consideration payable hereunder consistent with any restrictions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1761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spacing w:after="0" w:line="270" w:lineRule="auto"/>
        <w:rPr>
          <w:sz w:val="20"/>
          <w:szCs w:val="20"/>
          <w:color w:val="auto"/>
        </w:rPr>
      </w:pPr>
      <w:r>
        <w:rPr>
          <w:rFonts w:ascii="Arial" w:cs="Arial" w:eastAsia="Arial" w:hAnsi="Arial"/>
          <w:sz w:val="21"/>
          <w:szCs w:val="21"/>
          <w:color w:val="auto"/>
        </w:rPr>
        <w:t>Section 4.2 of the Incentive Plan), provided that the total value of the consideration payable to any Director after such adjustment shall be equivalent to the pre-adjustment value.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1"/>
          <w:szCs w:val="21"/>
          <w:b w:val="1"/>
          <w:bCs w:val="1"/>
          <w:u w:val="single" w:color="auto"/>
          <w:color w:val="auto"/>
        </w:rPr>
        <w:t>Section 3. Administration</w:t>
      </w:r>
    </w:p>
    <w:p>
      <w:pPr>
        <w:spacing w:after="0" w:line="247" w:lineRule="exact"/>
        <w:rPr>
          <w:sz w:val="20"/>
          <w:szCs w:val="20"/>
          <w:color w:val="auto"/>
        </w:rPr>
      </w:pPr>
    </w:p>
    <w:p>
      <w:pPr>
        <w:jc w:val="both"/>
        <w:ind w:firstLine="871"/>
        <w:spacing w:after="0" w:line="273" w:lineRule="auto"/>
        <w:tabs>
          <w:tab w:leader="none" w:pos="1744"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Plan Committee</w:t>
      </w:r>
      <w:r>
        <w:rPr>
          <w:rFonts w:ascii="Arial" w:cs="Arial" w:eastAsia="Arial" w:hAnsi="Arial"/>
          <w:sz w:val="20"/>
          <w:szCs w:val="20"/>
          <w:color w:val="auto"/>
        </w:rPr>
        <w:t>. This Plan will be administered by the Compensation Committee, or such other committee as may be appointed by the Board (any such committee, the “</w:t>
      </w:r>
      <w:r>
        <w:rPr>
          <w:rFonts w:ascii="Arial" w:cs="Arial" w:eastAsia="Arial" w:hAnsi="Arial"/>
          <w:sz w:val="20"/>
          <w:szCs w:val="20"/>
          <w:u w:val="single" w:color="auto"/>
          <w:color w:val="auto"/>
        </w:rPr>
        <w:t>Plan Committee</w:t>
      </w:r>
      <w:r>
        <w:rPr>
          <w:rFonts w:ascii="Arial" w:cs="Arial" w:eastAsia="Arial" w:hAnsi="Arial"/>
          <w:sz w:val="20"/>
          <w:szCs w:val="20"/>
          <w:color w:val="auto"/>
        </w:rPr>
        <w:t>”), and may include Directors who have elected to participate in the Plan. No member of the Plan Committee will be liable for any act done or determination made in good faith.</w:t>
      </w:r>
    </w:p>
    <w:p>
      <w:pPr>
        <w:spacing w:after="0" w:line="179" w:lineRule="exact"/>
        <w:rPr>
          <w:rFonts w:ascii="Arial" w:cs="Arial" w:eastAsia="Arial" w:hAnsi="Arial"/>
          <w:sz w:val="20"/>
          <w:szCs w:val="20"/>
          <w:color w:val="auto"/>
        </w:rPr>
      </w:pPr>
    </w:p>
    <w:p>
      <w:pPr>
        <w:ind w:firstLine="871"/>
        <w:spacing w:after="0" w:line="296" w:lineRule="auto"/>
        <w:tabs>
          <w:tab w:leader="none" w:pos="1756"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Committee Determination Final</w:t>
      </w:r>
      <w:r>
        <w:rPr>
          <w:rFonts w:ascii="Arial" w:cs="Arial" w:eastAsia="Arial" w:hAnsi="Arial"/>
          <w:sz w:val="20"/>
          <w:szCs w:val="20"/>
          <w:color w:val="auto"/>
        </w:rPr>
        <w:t>. The construction and interpretation of any provision of the Plan by the Plan Committee, and a determination by the Plan Committee of the amount of any deferral account, will be final and conclusive.</w:t>
      </w:r>
    </w:p>
    <w:p>
      <w:pPr>
        <w:spacing w:after="0" w:line="155" w:lineRule="exact"/>
        <w:rPr>
          <w:rFonts w:ascii="Arial" w:cs="Arial" w:eastAsia="Arial" w:hAnsi="Arial"/>
          <w:sz w:val="20"/>
          <w:szCs w:val="20"/>
          <w:color w:val="auto"/>
        </w:rPr>
      </w:pPr>
    </w:p>
    <w:p>
      <w:pPr>
        <w:jc w:val="both"/>
        <w:ind w:firstLine="871"/>
        <w:spacing w:after="0" w:line="249" w:lineRule="auto"/>
        <w:tabs>
          <w:tab w:leader="none" w:pos="1744"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 The Company reserves the right to terminate, modify or amend this Plan, as may be determined by the Plan Committee; provided, however, that no such termination, modification or amendment that would materially and adversely affect the rights of any Director who has previously made an election hereunder shall not to that extent be effective without the consent of such Director.</w:t>
      </w:r>
    </w:p>
    <w:p>
      <w:pPr>
        <w:spacing w:after="0" w:line="202" w:lineRule="exact"/>
        <w:rPr>
          <w:rFonts w:ascii="Arial" w:cs="Arial" w:eastAsia="Arial" w:hAnsi="Arial"/>
          <w:sz w:val="21"/>
          <w:szCs w:val="21"/>
          <w:color w:val="auto"/>
        </w:rPr>
      </w:pPr>
    </w:p>
    <w:p>
      <w:pPr>
        <w:jc w:val="both"/>
        <w:ind w:firstLine="871"/>
        <w:spacing w:after="0" w:line="247" w:lineRule="auto"/>
        <w:tabs>
          <w:tab w:leader="none" w:pos="1756"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Non-Alienation</w:t>
      </w:r>
      <w:r>
        <w:rPr>
          <w:rFonts w:ascii="Arial" w:cs="Arial" w:eastAsia="Arial" w:hAnsi="Arial"/>
          <w:sz w:val="21"/>
          <w:szCs w:val="21"/>
          <w:color w:val="auto"/>
        </w:rPr>
        <w:t>. Prior to the issuance of the unrestricted Shares to which an election hereunder relates, no Director (or estate of a Director) will have power to transfer, assign, anticipate, mortgage or otherwise encumber any rights or any amounts payable to him or her hereunder; nor will any such rights or payments be subject to seizure for the payment of any debts, judgments, alimony, or separate maintenance, or be transferable by operation of law in the event of bankruptcy, insolvency, or otherwise.</w:t>
      </w:r>
    </w:p>
    <w:p>
      <w:pPr>
        <w:spacing w:after="0" w:line="203" w:lineRule="exact"/>
        <w:rPr>
          <w:rFonts w:ascii="Arial" w:cs="Arial" w:eastAsia="Arial" w:hAnsi="Arial"/>
          <w:sz w:val="21"/>
          <w:szCs w:val="21"/>
          <w:color w:val="auto"/>
        </w:rPr>
      </w:pPr>
    </w:p>
    <w:p>
      <w:pPr>
        <w:jc w:val="both"/>
        <w:ind w:firstLine="871"/>
        <w:spacing w:after="0" w:line="279" w:lineRule="auto"/>
        <w:tabs>
          <w:tab w:leader="none" w:pos="174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Any Director to whom Unrestricted Shares are issued hereunder will become subject to federal, state and local income taxes and other amounts as may be required by law with respect to the receipt of the Unrestricted Shares. By acknowledging and accepting any such award, any such Director will acknowledge that the Company will be required to report the compensation to the IRS, that such Director will be responsible for his or her tax liability, and that the Company will prepare or cause to be prepared an IRS Form 1099 (or other applicable form) reporting such compensation to the Director.</w:t>
      </w:r>
    </w:p>
    <w:p>
      <w:pPr>
        <w:sectPr>
          <w:pgSz w:w="11900" w:h="16838" w:orient="portrait"/>
          <w:cols w:equalWidth="0" w:num="1">
            <w:col w:w="11240"/>
          </w:cols>
          <w:pgMar w:left="320" w:top="346" w:right="339" w:bottom="1440" w:gutter="0" w:footer="0" w:header="0"/>
        </w:sectPr>
      </w:pPr>
    </w:p>
    <w:bookmarkStart w:id="37" w:name="page38"/>
    <w:bookmarkEnd w:id="37"/>
    <w:p>
      <w:pPr>
        <w:jc w:val="right"/>
        <w:ind w:right="100"/>
        <w:spacing w:after="0"/>
        <w:rPr>
          <w:sz w:val="20"/>
          <w:szCs w:val="20"/>
          <w:color w:val="auto"/>
        </w:rPr>
      </w:pPr>
      <w:r>
        <w:rPr>
          <w:rFonts w:ascii="Arial" w:cs="Arial" w:eastAsia="Arial" w:hAnsi="Arial"/>
          <w:sz w:val="17"/>
          <w:szCs w:val="17"/>
          <w:color w:val="auto"/>
        </w:rPr>
        <w:t>EXHIBIT 31.1</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Robert A. Frist, Jr., certify that:</w:t>
      </w:r>
    </w:p>
    <w:p>
      <w:pPr>
        <w:spacing w:after="0" w:line="220" w:lineRule="exact"/>
        <w:rPr>
          <w:sz w:val="20"/>
          <w:szCs w:val="20"/>
          <w:color w:val="auto"/>
        </w:rPr>
      </w:pPr>
    </w:p>
    <w:p>
      <w:pPr>
        <w:ind w:left="180" w:hanging="173"/>
        <w:spacing w:after="0"/>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right="100" w:firstLine="7"/>
        <w:spacing w:after="0" w:line="338" w:lineRule="auto"/>
        <w:tabs>
          <w:tab w:leader="none" w:pos="18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5"/>
          <w:szCs w:val="15"/>
          <w:color w:val="auto"/>
        </w:rPr>
      </w:pPr>
    </w:p>
    <w:p>
      <w:pPr>
        <w:jc w:val="both"/>
        <w:ind w:left="560" w:right="100" w:firstLine="8"/>
        <w:spacing w:after="0" w:line="258" w:lineRule="auto"/>
        <w:tabs>
          <w:tab w:leader="none" w:pos="73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560" w:right="100" w:firstLine="8"/>
        <w:spacing w:after="0" w:line="258" w:lineRule="auto"/>
        <w:tabs>
          <w:tab w:leader="none" w:pos="753"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560" w:right="100" w:firstLine="8"/>
        <w:spacing w:after="0" w:line="270" w:lineRule="auto"/>
        <w:tabs>
          <w:tab w:leader="none" w:pos="73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560" w:right="100" w:firstLine="8"/>
        <w:spacing w:after="0" w:line="258" w:lineRule="auto"/>
        <w:tabs>
          <w:tab w:leader="none" w:pos="764"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7"/>
          <w:szCs w:val="17"/>
          <w:color w:val="auto"/>
        </w:rPr>
      </w:pPr>
    </w:p>
    <w:p>
      <w:pPr>
        <w:ind w:right="100" w:firstLine="7"/>
        <w:spacing w:after="0" w:line="270" w:lineRule="auto"/>
        <w:tabs>
          <w:tab w:leader="none" w:pos="18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4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62"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20"/>
                <w:szCs w:val="20"/>
                <w:color w:val="auto"/>
              </w:rPr>
            </w:pPr>
            <w:r>
              <w:rPr>
                <w:rFonts w:ascii="Arial" w:cs="Arial" w:eastAsia="Arial" w:hAnsi="Arial"/>
                <w:sz w:val="17"/>
                <w:szCs w:val="17"/>
                <w:color w:val="auto"/>
              </w:rPr>
              <w:t>Date: April 29,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tc>
      </w:tr>
      <w:tr>
        <w:trPr>
          <w:trHeight w:val="178"/>
        </w:trPr>
        <w:tc>
          <w:tcPr>
            <w:tcW w:w="6840" w:type="dxa"/>
            <w:vAlign w:val="bottom"/>
          </w:tcPr>
          <w:p>
            <w:pPr>
              <w:spacing w:after="0"/>
              <w:rPr>
                <w:sz w:val="15"/>
                <w:szCs w:val="15"/>
                <w:color w:val="auto"/>
              </w:rPr>
            </w:pPr>
          </w:p>
        </w:tc>
        <w:tc>
          <w:tcPr>
            <w:tcW w:w="4500" w:type="dxa"/>
            <w:vAlign w:val="bottom"/>
          </w:tcPr>
          <w:p>
            <w:pPr>
              <w:spacing w:after="0" w:line="178" w:lineRule="exact"/>
              <w:rPr>
                <w:sz w:val="20"/>
                <w:szCs w:val="20"/>
                <w:color w:val="auto"/>
              </w:rPr>
            </w:pPr>
            <w:r>
              <w:rPr>
                <w:rFonts w:ascii="Arial" w:cs="Arial" w:eastAsia="Arial" w:hAnsi="Arial"/>
                <w:sz w:val="17"/>
                <w:szCs w:val="17"/>
                <w:color w:val="auto"/>
              </w:rPr>
              <w:t>Robert A. Frist, Jr.</w:t>
            </w:r>
          </w:p>
        </w:tc>
      </w:tr>
      <w:tr>
        <w:trPr>
          <w:trHeight w:val="215"/>
        </w:trPr>
        <w:tc>
          <w:tcPr>
            <w:tcW w:w="68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340"/>
          </w:cols>
          <w:pgMar w:left="320" w:top="349" w:right="239" w:bottom="1440" w:gutter="0" w:footer="0" w:header="0"/>
        </w:sectPr>
      </w:pPr>
    </w:p>
    <w:bookmarkStart w:id="38" w:name="page39"/>
    <w:bookmarkEnd w:id="38"/>
    <w:p>
      <w:pPr>
        <w:jc w:val="right"/>
        <w:ind w:right="100"/>
        <w:spacing w:after="0"/>
        <w:rPr>
          <w:sz w:val="20"/>
          <w:szCs w:val="20"/>
          <w:color w:val="auto"/>
        </w:rPr>
      </w:pPr>
      <w:r>
        <w:rPr>
          <w:rFonts w:ascii="Arial" w:cs="Arial" w:eastAsia="Arial" w:hAnsi="Arial"/>
          <w:sz w:val="17"/>
          <w:szCs w:val="17"/>
          <w:color w:val="auto"/>
        </w:rPr>
        <w:t>EXHIBIT 31.2</w:t>
      </w:r>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Scott A. Roberts, certify that:</w:t>
      </w:r>
    </w:p>
    <w:p>
      <w:pPr>
        <w:spacing w:after="0" w:line="220" w:lineRule="exact"/>
        <w:rPr>
          <w:sz w:val="20"/>
          <w:szCs w:val="20"/>
          <w:color w:val="auto"/>
        </w:rPr>
      </w:pPr>
    </w:p>
    <w:p>
      <w:pPr>
        <w:ind w:left="180" w:hanging="173"/>
        <w:spacing w:after="0"/>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93"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right="100" w:firstLine="7"/>
        <w:spacing w:after="0" w:line="338" w:lineRule="auto"/>
        <w:tabs>
          <w:tab w:leader="none" w:pos="188"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5"/>
          <w:szCs w:val="15"/>
          <w:color w:val="auto"/>
        </w:rPr>
      </w:pPr>
    </w:p>
    <w:p>
      <w:pPr>
        <w:jc w:val="both"/>
        <w:ind w:left="560" w:right="100" w:firstLine="8"/>
        <w:spacing w:after="0" w:line="258" w:lineRule="auto"/>
        <w:tabs>
          <w:tab w:leader="none" w:pos="73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560" w:right="100" w:firstLine="8"/>
        <w:spacing w:after="0" w:line="258" w:lineRule="auto"/>
        <w:tabs>
          <w:tab w:leader="none" w:pos="753"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560" w:right="100" w:firstLine="8"/>
        <w:spacing w:after="0" w:line="270" w:lineRule="auto"/>
        <w:tabs>
          <w:tab w:leader="none" w:pos="73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560" w:right="100" w:firstLine="8"/>
        <w:spacing w:after="0" w:line="258" w:lineRule="auto"/>
        <w:tabs>
          <w:tab w:leader="none" w:pos="764"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7"/>
          <w:szCs w:val="17"/>
          <w:color w:val="auto"/>
        </w:rPr>
      </w:pPr>
    </w:p>
    <w:p>
      <w:pPr>
        <w:ind w:right="100" w:firstLine="7"/>
        <w:spacing w:after="0" w:line="270" w:lineRule="auto"/>
        <w:tabs>
          <w:tab w:leader="none" w:pos="18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43"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62"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7"/>
                <w:szCs w:val="17"/>
                <w:color w:val="auto"/>
              </w:rPr>
              <w:t>Date: April 29, 2021</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tc>
      </w:tr>
      <w:tr>
        <w:trPr>
          <w:trHeight w:val="178"/>
        </w:trPr>
        <w:tc>
          <w:tcPr>
            <w:tcW w:w="6960" w:type="dxa"/>
            <w:vAlign w:val="bottom"/>
          </w:tcPr>
          <w:p>
            <w:pPr>
              <w:spacing w:after="0"/>
              <w:rPr>
                <w:sz w:val="15"/>
                <w:szCs w:val="15"/>
                <w:color w:val="auto"/>
              </w:rPr>
            </w:pPr>
          </w:p>
        </w:tc>
        <w:tc>
          <w:tcPr>
            <w:tcW w:w="4380" w:type="dxa"/>
            <w:vAlign w:val="bottom"/>
          </w:tcPr>
          <w:p>
            <w:pPr>
              <w:spacing w:after="0" w:line="178" w:lineRule="exact"/>
              <w:rPr>
                <w:sz w:val="20"/>
                <w:szCs w:val="20"/>
                <w:color w:val="auto"/>
              </w:rPr>
            </w:pPr>
            <w:r>
              <w:rPr>
                <w:rFonts w:ascii="Arial" w:cs="Arial" w:eastAsia="Arial" w:hAnsi="Arial"/>
                <w:sz w:val="17"/>
                <w:szCs w:val="17"/>
                <w:color w:val="auto"/>
              </w:rPr>
              <w:t>Scott A. Roberts</w:t>
            </w:r>
          </w:p>
        </w:tc>
      </w:tr>
      <w:tr>
        <w:trPr>
          <w:trHeight w:val="215"/>
        </w:trPr>
        <w:tc>
          <w:tcPr>
            <w:tcW w:w="69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340"/>
          </w:cols>
          <w:pgMar w:left="320" w:top="34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March 31, 2021,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6" w:lineRule="exact"/>
        <w:rPr>
          <w:sz w:val="20"/>
          <w:szCs w:val="20"/>
          <w:color w:val="auto"/>
        </w:rPr>
      </w:pPr>
    </w:p>
    <w:p>
      <w:pPr>
        <w:ind w:left="1720" w:hanging="856"/>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1720" w:right="420" w:hanging="856"/>
        <w:spacing w:after="0" w:line="270" w:lineRule="auto"/>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491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29, 2021</w:t>
      </w:r>
    </w:p>
    <w:p>
      <w:pPr>
        <w:sectPr>
          <w:pgSz w:w="11900" w:h="16838" w:orient="portrait"/>
          <w:cols w:equalWidth="0" w:num="1">
            <w:col w:w="11240"/>
          </w:cols>
          <w:pgMar w:left="320" w:top="34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March 31, 2021,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6" w:lineRule="exact"/>
        <w:rPr>
          <w:sz w:val="20"/>
          <w:szCs w:val="20"/>
          <w:color w:val="auto"/>
        </w:rPr>
      </w:pPr>
    </w:p>
    <w:p>
      <w:pPr>
        <w:ind w:left="1720" w:hanging="856"/>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1720" w:right="420" w:hanging="856"/>
        <w:spacing w:after="0" w:line="270" w:lineRule="auto"/>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4911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29, 2021</w:t>
      </w:r>
    </w:p>
    <w:sectPr>
      <w:pgSz w:w="11900" w:h="16838" w:orient="portrait"/>
      <w:cols w:equalWidth="0" w:num="1">
        <w:col w:w="11240"/>
      </w:cols>
      <w:pgMar w:left="320" w:top="3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2021-04-29T16:57:10Z</dcterms:created>
  <dcterms:modified xsi:type="dcterms:W3CDTF">2021-04-29T16:57:10Z</dcterms:modified>
</cp:coreProperties>
</file>