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234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No.: 000-27701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529"/>
        </w:trPr>
        <w:tc>
          <w:tcPr>
            <w:tcW w:w="11420" w:type="dxa"/>
            <w:vAlign w:val="bottom"/>
            <w:gridSpan w:val="3"/>
          </w:tcPr>
          <w:p>
            <w:pPr>
              <w:jc w:val="center"/>
              <w:spacing w:after="0"/>
              <w:rPr>
                <w:sz w:val="20"/>
                <w:szCs w:val="20"/>
                <w:color w:val="auto"/>
              </w:rPr>
            </w:pPr>
            <w:r>
              <w:rPr>
                <w:rFonts w:ascii="Arial" w:cs="Arial" w:eastAsia="Arial" w:hAnsi="Arial"/>
                <w:sz w:val="43"/>
                <w:szCs w:val="43"/>
                <w:b w:val="1"/>
                <w:bCs w:val="1"/>
                <w:color w:val="auto"/>
                <w:w w:val="93"/>
              </w:rPr>
              <w:t>HealthStream, Inc.</w:t>
            </w:r>
          </w:p>
        </w:tc>
      </w:tr>
      <w:tr>
        <w:trPr>
          <w:trHeight w:val="230"/>
        </w:trPr>
        <w:tc>
          <w:tcPr>
            <w:tcW w:w="11420" w:type="dxa"/>
            <w:vAlign w:val="bottom"/>
            <w:gridSpan w:val="3"/>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32"/>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1"/>
              </w:rPr>
              <w:t>Tennessee</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62-1443555</w:t>
            </w:r>
          </w:p>
        </w:tc>
      </w:tr>
      <w:tr>
        <w:trPr>
          <w:trHeight w:val="209"/>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58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1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9"/>
              </w:rPr>
              <w:t>209 10th Avenue South, Suite 450</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5"/>
              </w:rPr>
              <w:t>Nashville, Tennessee</w:t>
            </w:r>
          </w:p>
        </w:tc>
        <w:tc>
          <w:tcPr>
            <w:tcW w:w="6000" w:type="dxa"/>
            <w:vAlign w:val="bottom"/>
            <w:gridSpan w:val="2"/>
          </w:tcPr>
          <w:p>
            <w:pPr>
              <w:jc w:val="right"/>
              <w:ind w:right="2390"/>
              <w:spacing w:after="0"/>
              <w:rPr>
                <w:sz w:val="20"/>
                <w:szCs w:val="20"/>
                <w:color w:val="auto"/>
              </w:rPr>
            </w:pPr>
            <w:r>
              <w:rPr>
                <w:rFonts w:ascii="Arial" w:cs="Arial" w:eastAsia="Arial" w:hAnsi="Arial"/>
                <w:sz w:val="18"/>
                <w:szCs w:val="18"/>
                <w:b w:val="1"/>
                <w:bCs w:val="1"/>
                <w:color w:val="auto"/>
              </w:rPr>
              <w:t>37203</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(615) 301-3100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96" w:lineRule="exact"/>
        <w:rPr>
          <w:sz w:val="20"/>
          <w:szCs w:val="20"/>
          <w:color w:val="auto"/>
        </w:rPr>
      </w:pPr>
    </w:p>
    <w:p>
      <w:pPr>
        <w:ind w:right="2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141" w:lineRule="exact"/>
        <w:rPr>
          <w:sz w:val="20"/>
          <w:szCs w:val="20"/>
          <w:color w:val="auto"/>
        </w:rPr>
      </w:pPr>
    </w:p>
    <w:p>
      <w:pPr>
        <w:jc w:val="both"/>
        <w:ind w:right="20" w:firstLine="25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sectPr>
      </w:pPr>
    </w:p>
    <w:p>
      <w:pPr>
        <w:spacing w:after="0" w:line="12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56" w:lineRule="exact"/>
        <w:rPr>
          <w:sz w:val="20"/>
          <w:szCs w:val="20"/>
          <w:color w:val="auto"/>
        </w:rPr>
      </w:pPr>
    </w:p>
    <w:p>
      <w:pPr>
        <w:sectPr>
          <w:pgSz w:w="11900" w:h="16838" w:orient="portrait"/>
          <w:cols w:equalWidth="0" w:num="4">
            <w:col w:w="2420" w:space="720"/>
            <w:col w:w="1440" w:space="720"/>
            <w:col w:w="3340" w:space="460"/>
            <w:col w:w="2320"/>
          </w:cols>
          <w:pgMar w:left="240" w:top="122" w:right="239" w:bottom="1440" w:gutter="0" w:footer="0" w:header="0"/>
          <w:type w:val="continuous"/>
        </w:sectPr>
      </w:pPr>
    </w:p>
    <w:p>
      <w:pPr>
        <w:ind w:right="228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August 10, 2009, 21,429,430 shares of the registrant’s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60" w:type="dxa"/>
            <w:vAlign w:val="bottom"/>
          </w:tcPr>
          <w:p>
            <w:pPr>
              <w:jc w:val="right"/>
              <w:ind w:right="19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1"/>
        </w:trPr>
        <w:tc>
          <w:tcPr>
            <w:tcW w:w="10560" w:type="dxa"/>
            <w:vAlign w:val="bottom"/>
            <w:gridSpan w:val="16"/>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 Financial Information</w:t>
              </w:r>
            </w:hyperlink>
          </w:p>
        </w:tc>
        <w:tc>
          <w:tcPr>
            <w:tcW w:w="8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Number</w:t>
            </w:r>
          </w:p>
        </w:tc>
        <w:tc>
          <w:tcPr>
            <w:tcW w:w="0" w:type="dxa"/>
            <w:vAlign w:val="bottom"/>
          </w:tcPr>
          <w:p>
            <w:pPr>
              <w:spacing w:after="0"/>
              <w:rPr>
                <w:sz w:val="1"/>
                <w:szCs w:val="1"/>
                <w:color w:val="auto"/>
              </w:rPr>
            </w:pPr>
          </w:p>
        </w:tc>
      </w:tr>
      <w:tr>
        <w:trPr>
          <w:trHeight w:val="169"/>
        </w:trPr>
        <w:tc>
          <w:tcPr>
            <w:tcW w:w="10560" w:type="dxa"/>
            <w:vAlign w:val="bottom"/>
            <w:gridSpan w:val="16"/>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6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20" w:type="dxa"/>
            <w:vAlign w:val="bottom"/>
          </w:tcPr>
          <w:p>
            <w:pPr>
              <w:spacing w:after="0"/>
              <w:rPr>
                <w:sz w:val="24"/>
                <w:szCs w:val="24"/>
                <w:color w:val="auto"/>
              </w:rPr>
            </w:pPr>
          </w:p>
        </w:tc>
        <w:tc>
          <w:tcPr>
            <w:tcW w:w="68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 June 30, 2009 (Unaudited) and December 31, 2008</w:t>
              </w:r>
            </w:hyperlink>
          </w:p>
        </w:tc>
        <w:tc>
          <w:tcPr>
            <w:tcW w:w="3460" w:type="dxa"/>
            <w:vAlign w:val="bottom"/>
            <w:gridSpan w:val="5"/>
          </w:tcPr>
          <w:p>
            <w:pPr>
              <w:spacing w:after="0"/>
              <w:rPr>
                <w:sz w:val="24"/>
                <w:szCs w:val="24"/>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784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Income (Unaudited) — Three Months ended June 30, 2009 and 2008</w:t>
              </w:r>
            </w:hyperlink>
          </w:p>
        </w:tc>
        <w:tc>
          <w:tcPr>
            <w:tcW w:w="2500" w:type="dxa"/>
            <w:vAlign w:val="bottom"/>
            <w:gridSpan w:val="3"/>
          </w:tcPr>
          <w:p>
            <w:pPr>
              <w:spacing w:after="0"/>
              <w:rPr>
                <w:sz w:val="24"/>
                <w:szCs w:val="24"/>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76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Income (Unaudited) — Six Months ended June 30, 2009 and 2008</w:t>
              </w:r>
            </w:hyperlink>
          </w:p>
        </w:tc>
        <w:tc>
          <w:tcPr>
            <w:tcW w:w="2680" w:type="dxa"/>
            <w:vAlign w:val="bottom"/>
            <w:gridSpan w:val="4"/>
          </w:tcPr>
          <w:p>
            <w:pPr>
              <w:spacing w:after="0"/>
              <w:rPr>
                <w:sz w:val="24"/>
                <w:szCs w:val="24"/>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786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Condensed Consolidated Statement of Shareholders’ Equity (Unaudited) — Six Months ended June 30, 2009</w:t>
              </w:r>
            </w:hyperlink>
          </w:p>
        </w:tc>
        <w:tc>
          <w:tcPr>
            <w:tcW w:w="2480" w:type="dxa"/>
            <w:vAlign w:val="bottom"/>
            <w:gridSpan w:val="2"/>
          </w:tcPr>
          <w:p>
            <w:pPr>
              <w:spacing w:after="0"/>
              <w:rPr>
                <w:sz w:val="24"/>
                <w:szCs w:val="24"/>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79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Condensed Consolidated Statements of Cash Flows (Unaudited) — Six Months ended June 30, 2009 and 2008</w:t>
              </w:r>
            </w:hyperlink>
          </w:p>
        </w:tc>
        <w:tc>
          <w:tcPr>
            <w:tcW w:w="2380" w:type="dxa"/>
            <w:vAlign w:val="bottom"/>
          </w:tcPr>
          <w:p>
            <w:pPr>
              <w:spacing w:after="0"/>
              <w:rPr>
                <w:sz w:val="24"/>
                <w:szCs w:val="24"/>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220" w:type="dxa"/>
            <w:vAlign w:val="bottom"/>
          </w:tcPr>
          <w:p>
            <w:pPr>
              <w:spacing w:after="0"/>
              <w:rPr>
                <w:sz w:val="24"/>
                <w:szCs w:val="24"/>
                <w:color w:val="auto"/>
              </w:rPr>
            </w:pPr>
          </w:p>
        </w:tc>
        <w:tc>
          <w:tcPr>
            <w:tcW w:w="10340" w:type="dxa"/>
            <w:vAlign w:val="bottom"/>
            <w:gridSpan w:val="15"/>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w:t>
              </w:r>
            </w:hyperlink>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40" w:type="dxa"/>
            <w:vAlign w:val="bottom"/>
            <w:gridSpan w:val="6"/>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60" w:type="dxa"/>
            <w:vAlign w:val="bottom"/>
            <w:gridSpan w:val="16"/>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Item 2. Management’s Discussion and Analysis of Financial Condition and Results of Operations</w:t>
              </w:r>
            </w:hyperlink>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2"/>
        </w:trPr>
        <w:tc>
          <w:tcPr>
            <w:tcW w:w="7020" w:type="dxa"/>
            <w:vAlign w:val="bottom"/>
            <w:tcBorders>
              <w:top w:val="single" w:sz="8" w:color="0000EE"/>
            </w:tcBorders>
            <w:gridSpan w:val="1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3. Quantitative and Qualitative Disclosures About Market Risk</w:t>
              </w:r>
            </w:hyperlink>
          </w:p>
        </w:tc>
        <w:tc>
          <w:tcPr>
            <w:tcW w:w="3540" w:type="dxa"/>
            <w:vAlign w:val="bottom"/>
            <w:gridSpan w:val="6"/>
          </w:tcPr>
          <w:p>
            <w:pPr>
              <w:spacing w:after="0"/>
              <w:rPr>
                <w:sz w:val="24"/>
                <w:szCs w:val="24"/>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2"/>
        </w:trPr>
        <w:tc>
          <w:tcPr>
            <w:tcW w:w="4920" w:type="dxa"/>
            <w:vAlign w:val="bottom"/>
            <w:tcBorders>
              <w:top w:val="single" w:sz="8" w:color="0000EE"/>
            </w:tcBorders>
            <w:gridSpan w:val="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4T. Controls and Procedures</w:t>
              </w:r>
            </w:hyperlink>
          </w:p>
        </w:tc>
        <w:tc>
          <w:tcPr>
            <w:tcW w:w="5640" w:type="dxa"/>
            <w:vAlign w:val="bottom"/>
            <w:gridSpan w:val="7"/>
          </w:tcPr>
          <w:p>
            <w:pPr>
              <w:spacing w:after="0"/>
              <w:rPr>
                <w:sz w:val="24"/>
                <w:szCs w:val="24"/>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2420" w:type="dxa"/>
            <w:vAlign w:val="bottom"/>
            <w:tcBorders>
              <w:top w:val="single" w:sz="8" w:color="0000EE"/>
            </w:tcBorders>
            <w:gridSpan w:val="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Part II. Other Information</w:t>
              </w:r>
            </w:hyperlink>
          </w:p>
        </w:tc>
        <w:tc>
          <w:tcPr>
            <w:tcW w:w="8140" w:type="dxa"/>
            <w:vAlign w:val="bottom"/>
            <w:gridSpan w:val="10"/>
          </w:tcPr>
          <w:p>
            <w:pPr>
              <w:spacing w:after="0"/>
              <w:rPr>
                <w:sz w:val="24"/>
                <w:szCs w:val="24"/>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9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624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560" w:type="dxa"/>
            <w:vAlign w:val="bottom"/>
            <w:gridSpan w:val="1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4. Submission of Matters to a Vote of Security Holders</w:t>
              </w:r>
            </w:hyperlink>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4320" w:type="dxa"/>
            <w:vAlign w:val="bottom"/>
            <w:tcBorders>
              <w:top w:val="single" w:sz="8" w:color="0000EE"/>
            </w:tcBorders>
            <w:gridSpan w:val="8"/>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6. Exhibits</w:t>
              </w:r>
            </w:hyperlink>
          </w:p>
        </w:tc>
        <w:tc>
          <w:tcPr>
            <w:tcW w:w="6240" w:type="dxa"/>
            <w:vAlign w:val="bottom"/>
            <w:gridSpan w:val="8"/>
          </w:tcPr>
          <w:p>
            <w:pPr>
              <w:spacing w:after="0"/>
              <w:rPr>
                <w:sz w:val="24"/>
                <w:szCs w:val="24"/>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12"/>
        </w:trPr>
        <w:tc>
          <w:tcPr>
            <w:tcW w:w="220" w:type="dxa"/>
            <w:vAlign w:val="bottom"/>
            <w:tcBorders>
              <w:top w:val="single" w:sz="8" w:color="0000EE"/>
            </w:tcBorders>
          </w:tcPr>
          <w:p>
            <w:pPr>
              <w:spacing w:after="0"/>
              <w:rPr>
                <w:sz w:val="24"/>
                <w:szCs w:val="24"/>
                <w:color w:val="auto"/>
              </w:rPr>
            </w:pPr>
          </w:p>
        </w:tc>
        <w:tc>
          <w:tcPr>
            <w:tcW w:w="940" w:type="dxa"/>
            <w:vAlign w:val="bottom"/>
            <w:tcBorders>
              <w:top w:val="single" w:sz="8" w:color="0000EE"/>
            </w:tcBorders>
            <w:gridSpan w:val="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Signature</w:t>
              </w:r>
            </w:hyperlink>
          </w:p>
        </w:tc>
        <w:tc>
          <w:tcPr>
            <w:tcW w:w="9400" w:type="dxa"/>
            <w:vAlign w:val="bottom"/>
            <w:gridSpan w:val="13"/>
          </w:tcPr>
          <w:p>
            <w:pPr>
              <w:spacing w:after="0"/>
              <w:rPr>
                <w:sz w:val="24"/>
                <w:szCs w:val="24"/>
                <w:color w:val="auto"/>
              </w:rPr>
            </w:pPr>
          </w:p>
        </w:tc>
        <w:tc>
          <w:tcPr>
            <w:tcW w:w="860" w:type="dxa"/>
            <w:vAlign w:val="bottom"/>
          </w:tcPr>
          <w:p>
            <w:pPr>
              <w:jc w:val="right"/>
              <w:ind w:right="25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June 30,</w:t>
            </w:r>
          </w:p>
        </w:tc>
        <w:tc>
          <w:tcPr>
            <w:tcW w:w="28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2009</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1"/>
              <w:spacing w:after="0" w:line="142" w:lineRule="exact"/>
              <w:rPr>
                <w:sz w:val="20"/>
                <w:szCs w:val="20"/>
                <w:color w:val="auto"/>
              </w:rPr>
            </w:pPr>
            <w:r>
              <w:rPr>
                <w:rFonts w:ascii="Arial" w:cs="Arial" w:eastAsia="Arial" w:hAnsi="Arial"/>
                <w:sz w:val="14"/>
                <w:szCs w:val="14"/>
                <w:b w:val="1"/>
                <w:bCs w:val="1"/>
                <w:color w:val="auto"/>
                <w:w w:val="95"/>
              </w:rPr>
              <w:t>(Unaudited)</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4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8,280,579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4,106,612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22,399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ind w:left="200"/>
              <w:spacing w:after="0" w:line="201" w:lineRule="exact"/>
              <w:rPr>
                <w:sz w:val="20"/>
                <w:szCs w:val="20"/>
                <w:color w:val="auto"/>
              </w:rPr>
            </w:pPr>
            <w:r>
              <w:rPr>
                <w:rFonts w:ascii="Arial" w:cs="Arial" w:eastAsia="Arial" w:hAnsi="Arial"/>
                <w:sz w:val="18"/>
                <w:szCs w:val="18"/>
                <w:color w:val="auto"/>
                <w:w w:val="98"/>
              </w:rPr>
              <w:t>Accounts receivable, net of allowance for doubtful accounts of $229,464 and $106,542 at June 30, 2009 and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December 31, 2008, respectively</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9,330,147</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8,303,212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 unbilled</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1,898,100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1,669,356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Prepaid royalties, net of amortization</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1,298,580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995,493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development fees, net of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508,906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Deferred tax assets, current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356,987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356,987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645,666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1,034,026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22,343,415</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16,862,770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Equipment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13,154,818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12,651,227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2,003,164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1,990,532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Furniture and fixtures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1,599,932</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16,757,914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16,221,351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w w:val="90"/>
              </w:rPr>
              <w:t>(13,699,830)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(12,746,487)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3,058,084</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3,474,864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700" w:type="dxa"/>
            <w:vAlign w:val="bottom"/>
            <w:gridSpan w:val="2"/>
          </w:tcPr>
          <w:p>
            <w:pPr>
              <w:spacing w:after="0"/>
              <w:rPr>
                <w:sz w:val="20"/>
                <w:szCs w:val="20"/>
                <w:color w:val="auto"/>
              </w:rPr>
            </w:pPr>
            <w:r>
              <w:rPr>
                <w:rFonts w:ascii="Arial" w:cs="Arial" w:eastAsia="Arial" w:hAnsi="Arial"/>
                <w:sz w:val="18"/>
                <w:szCs w:val="18"/>
                <w:color w:val="auto"/>
                <w:w w:val="99"/>
              </w:rPr>
              <w:t>Capitalized software feature enhancements, net of accumulated amortization of $3,222,872 and $2,500,017 at</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June 30, 2009 and December 31, 2008, respectively</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4,334,974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4,392,780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21,146,864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21,146,864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spacing w:after="0" w:line="201" w:lineRule="exact"/>
              <w:rPr>
                <w:sz w:val="20"/>
                <w:szCs w:val="20"/>
                <w:color w:val="auto"/>
              </w:rPr>
            </w:pPr>
            <w:r>
              <w:rPr>
                <w:rFonts w:ascii="Arial" w:cs="Arial" w:eastAsia="Arial" w:hAnsi="Arial"/>
                <w:sz w:val="18"/>
                <w:szCs w:val="18"/>
                <w:color w:val="auto"/>
              </w:rPr>
              <w:t>Intangible assets, net of accumulated amortization of $10,122,759 and $9,649,321 at June 30, 2009 and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December 31, 2008, respectively</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4,264,384</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4,737,821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noncurrent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2,008,342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2,008,342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503,205</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57,659,268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52,796,882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vMerge w:val="restart"/>
          </w:tcPr>
          <w:p>
            <w:pPr>
              <w:ind w:left="242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866,932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1,386,771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3,157,050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2,556,102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Accrued compensation and related expenses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957,757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477,277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support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176,726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12,144,089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10,202,309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 term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671,191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724,095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11,461</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17,985,206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15,714,380</w:t>
            </w: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Long term debt, less current portion</w:t>
            </w:r>
          </w:p>
        </w:tc>
        <w:tc>
          <w:tcPr>
            <w:tcW w:w="10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306,942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ind w:left="200"/>
              <w:spacing w:after="0" w:line="201" w:lineRule="exact"/>
              <w:rPr>
                <w:sz w:val="20"/>
                <w:szCs w:val="20"/>
                <w:color w:val="auto"/>
              </w:rPr>
            </w:pPr>
            <w:r>
              <w:rPr>
                <w:rFonts w:ascii="Arial" w:cs="Arial" w:eastAsia="Arial" w:hAnsi="Arial"/>
                <w:sz w:val="18"/>
                <w:szCs w:val="18"/>
                <w:color w:val="auto"/>
                <w:w w:val="98"/>
              </w:rPr>
              <w:t>Common stock, no par value, 75,000,000 shares authorized; 21,383,055 and 21,382,055 shares issued and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400"/>
              <w:spacing w:after="0"/>
              <w:rPr>
                <w:sz w:val="20"/>
                <w:szCs w:val="20"/>
                <w:color w:val="auto"/>
              </w:rPr>
            </w:pPr>
            <w:r>
              <w:rPr>
                <w:rFonts w:ascii="Arial" w:cs="Arial" w:eastAsia="Arial" w:hAnsi="Arial"/>
                <w:sz w:val="18"/>
                <w:szCs w:val="18"/>
                <w:color w:val="auto"/>
              </w:rPr>
              <w:t>outstanding at June 30, 2009 and December 31, 2008, respectively</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95,618,530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95,320,889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(55,952,461)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(58,558,107)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39,666,069</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36,762,782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57,659,268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52,796,882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Three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14,583,522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13,012,995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5,228,069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4,862,638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1,447,422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1,330,530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2,601,702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2,694,108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2,194,327</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2,192,591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1,250,065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1,208,872</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12,721,585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12,288,739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1,861,937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724,256</w:t>
            </w: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7,321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Interest and other expense</w:t>
            </w:r>
          </w:p>
        </w:tc>
        <w:tc>
          <w:tcPr>
            <w:tcW w:w="100" w:type="dxa"/>
            <w:vAlign w:val="bottom"/>
          </w:tcPr>
          <w:p>
            <w:pPr>
              <w:spacing w:after="0"/>
              <w:rPr>
                <w:sz w:val="18"/>
                <w:szCs w:val="18"/>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(9,391)</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(16,904)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(2,070)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23,185</w:t>
            </w: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1,859,867</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747,441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131,750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1,728,117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21,382,802</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21,961,252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21,626,406</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22,578,825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28,202,729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24,434,695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10,495,901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9,390,411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2,981,846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2,614,963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5,315,093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5,251,096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4,095,803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3,955,072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2,516,365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2,454,947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25,405,008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23,666,489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2,797,721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768,206</w:t>
            </w: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16,277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Interest and other expense</w:t>
            </w:r>
          </w:p>
        </w:tc>
        <w:tc>
          <w:tcPr>
            <w:tcW w:w="100" w:type="dxa"/>
            <w:vAlign w:val="bottom"/>
          </w:tcPr>
          <w:p>
            <w:pPr>
              <w:spacing w:after="0"/>
              <w:rPr>
                <w:sz w:val="18"/>
                <w:szCs w:val="18"/>
                <w:color w:val="auto"/>
              </w:rPr>
            </w:pPr>
          </w:p>
        </w:tc>
        <w:tc>
          <w:tcPr>
            <w:tcW w:w="1480" w:type="dxa"/>
            <w:vAlign w:val="bottom"/>
            <w:gridSpan w:val="3"/>
          </w:tcPr>
          <w:p>
            <w:pPr>
              <w:jc w:val="right"/>
              <w:ind w:right="600"/>
              <w:spacing w:after="0"/>
              <w:rPr>
                <w:sz w:val="20"/>
                <w:szCs w:val="20"/>
                <w:color w:val="auto"/>
              </w:rPr>
            </w:pPr>
            <w:r>
              <w:rPr>
                <w:rFonts w:ascii="Arial" w:cs="Arial" w:eastAsia="Arial" w:hAnsi="Arial"/>
                <w:sz w:val="18"/>
                <w:szCs w:val="18"/>
                <w:color w:val="auto"/>
              </w:rPr>
              <w:t>(19,232)</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(41,299)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other income (expense)</w:t>
            </w:r>
          </w:p>
        </w:tc>
        <w:tc>
          <w:tcPr>
            <w:tcW w:w="10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(2,955)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44,919</w:t>
            </w: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2,794,766</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813,125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189,120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2,605,646</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0.12</w:t>
            </w: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21,382,429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22,024,098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21,596,805</w:t>
            </w:r>
          </w:p>
        </w:tc>
        <w:tc>
          <w:tcPr>
            <w:tcW w:w="20" w:type="dxa"/>
            <w:vAlign w:val="bottom"/>
            <w:tcBorders>
              <w:bottom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22,652,960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2009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020" w:type="dxa"/>
            <w:vAlign w:val="bottom"/>
            <w:gridSpan w:val="4"/>
          </w:tcPr>
          <w:p>
            <w:pPr>
              <w:jc w:val="right"/>
              <w:ind w:right="1340"/>
              <w:spacing w:after="0"/>
              <w:rPr>
                <w:sz w:val="20"/>
                <w:szCs w:val="20"/>
                <w:color w:val="auto"/>
              </w:rPr>
            </w:pPr>
            <w:r>
              <w:rPr>
                <w:rFonts w:ascii="Arial" w:cs="Arial" w:eastAsia="Arial" w:hAnsi="Arial"/>
                <w:sz w:val="14"/>
                <w:szCs w:val="14"/>
                <w:b w:val="1"/>
                <w:bCs w:val="1"/>
                <w:color w:val="auto"/>
              </w:rPr>
              <w:t>Common Stock</w:t>
            </w: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9"/>
              </w:rPr>
              <w:t>Total 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2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Shares</w:t>
            </w:r>
          </w:p>
        </w:tc>
        <w:tc>
          <w:tcPr>
            <w:tcW w:w="580" w:type="dxa"/>
            <w:vAlign w:val="bottom"/>
          </w:tcPr>
          <w:p>
            <w:pPr>
              <w:spacing w:after="0"/>
              <w:rPr>
                <w:sz w:val="14"/>
                <w:szCs w:val="14"/>
                <w:color w:val="auto"/>
              </w:rPr>
            </w:pP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Amount</w:t>
            </w:r>
          </w:p>
        </w:tc>
        <w:tc>
          <w:tcPr>
            <w:tcW w:w="600" w:type="dxa"/>
            <w:vAlign w:val="bottom"/>
          </w:tcPr>
          <w:p>
            <w:pPr>
              <w:spacing w:after="0"/>
              <w:rPr>
                <w:sz w:val="14"/>
                <w:szCs w:val="14"/>
                <w:color w:val="auto"/>
              </w:rPr>
            </w:pPr>
          </w:p>
        </w:tc>
        <w:tc>
          <w:tcPr>
            <w:tcW w:w="9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Deficit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44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21,382,055</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$95,320,889</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(58,558,107)</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36,762,782</w:t>
            </w:r>
          </w:p>
        </w:tc>
        <w:tc>
          <w:tcPr>
            <w:tcW w:w="0" w:type="dxa"/>
            <w:vAlign w:val="bottom"/>
          </w:tcPr>
          <w:p>
            <w:pPr>
              <w:spacing w:after="0"/>
              <w:rPr>
                <w:sz w:val="1"/>
                <w:szCs w:val="1"/>
                <w:color w:val="auto"/>
              </w:rPr>
            </w:pPr>
          </w:p>
        </w:tc>
      </w:tr>
      <w:tr>
        <w:trPr>
          <w:trHeight w:val="432"/>
        </w:trPr>
        <w:tc>
          <w:tcPr>
            <w:tcW w:w="25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920" w:type="dxa"/>
            <w:vAlign w:val="bottom"/>
          </w:tcPr>
          <w:p>
            <w:pPr>
              <w:spacing w:after="0"/>
              <w:rPr>
                <w:sz w:val="24"/>
                <w:szCs w:val="24"/>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2,605,646</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2,605,646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5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29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296,401</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296,401</w:t>
            </w:r>
          </w:p>
        </w:tc>
        <w:tc>
          <w:tcPr>
            <w:tcW w:w="0" w:type="dxa"/>
            <w:vAlign w:val="bottom"/>
          </w:tcPr>
          <w:p>
            <w:pPr>
              <w:spacing w:after="0"/>
              <w:rPr>
                <w:sz w:val="1"/>
                <w:szCs w:val="1"/>
                <w:color w:val="auto"/>
              </w:rPr>
            </w:pPr>
          </w:p>
        </w:tc>
      </w:tr>
      <w:tr>
        <w:trPr>
          <w:trHeight w:val="432"/>
        </w:trPr>
        <w:tc>
          <w:tcPr>
            <w:tcW w:w="2580" w:type="dxa"/>
            <w:vAlign w:val="bottom"/>
            <w:gridSpan w:val="2"/>
          </w:tcPr>
          <w:p>
            <w:pPr>
              <w:spacing w:after="0"/>
              <w:rPr>
                <w:sz w:val="20"/>
                <w:szCs w:val="20"/>
                <w:color w:val="auto"/>
              </w:rPr>
            </w:pPr>
            <w:r>
              <w:rPr>
                <w:rFonts w:ascii="Arial" w:cs="Arial" w:eastAsia="Arial" w:hAnsi="Arial"/>
                <w:sz w:val="18"/>
                <w:szCs w:val="18"/>
                <w:color w:val="auto"/>
              </w:rPr>
              <w:t>Exercise of stock options</w:t>
            </w:r>
          </w:p>
        </w:tc>
        <w:tc>
          <w:tcPr>
            <w:tcW w:w="38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580" w:type="dxa"/>
            <w:vAlign w:val="bottom"/>
          </w:tcPr>
          <w:p>
            <w:pPr>
              <w:spacing w:after="0"/>
              <w:rPr>
                <w:sz w:val="24"/>
                <w:szCs w:val="24"/>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1,240</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5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2009</w:t>
            </w:r>
          </w:p>
        </w:tc>
        <w:tc>
          <w:tcPr>
            <w:tcW w:w="29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21,383,055</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95,618,530</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(55,952,461)</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39,666,069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940" w:type="dxa"/>
            <w:vAlign w:val="bottom"/>
            <w:gridSpan w:val="5"/>
          </w:tcPr>
          <w:p>
            <w:pPr>
              <w:jc w:val="right"/>
              <w:ind w:right="40"/>
              <w:spacing w:after="0"/>
              <w:rPr>
                <w:sz w:val="20"/>
                <w:szCs w:val="20"/>
                <w:color w:val="auto"/>
              </w:rPr>
            </w:pPr>
            <w:r>
              <w:rPr>
                <w:rFonts w:ascii="Arial" w:cs="Arial" w:eastAsia="Arial" w:hAnsi="Arial"/>
                <w:sz w:val="18"/>
                <w:szCs w:val="18"/>
                <w:color w:val="auto"/>
                <w:w w:val="94"/>
              </w:rPr>
              <w:t>See accompanying notes to the condensed consolidated financial statements.</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840" w:type="dxa"/>
            <w:vAlign w:val="bottom"/>
            <w:gridSpan w:val="2"/>
          </w:tcPr>
          <w:p>
            <w:pPr>
              <w:jc w:val="right"/>
              <w:ind w:right="577"/>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29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Net income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2,605,646</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805,125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2,516,365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2,454,947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 based compensation expense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296,401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400"/>
              <w:spacing w:after="0"/>
              <w:rPr>
                <w:sz w:val="20"/>
                <w:szCs w:val="20"/>
                <w:color w:val="auto"/>
              </w:rPr>
            </w:pPr>
            <w:r>
              <w:rPr>
                <w:rFonts w:ascii="Arial" w:cs="Arial" w:eastAsia="Arial" w:hAnsi="Arial"/>
                <w:sz w:val="18"/>
                <w:szCs w:val="18"/>
                <w:color w:val="auto"/>
              </w:rPr>
              <w:t>Provision for doubtful accounts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125,000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Realized loss on disposal of property and equipment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and unbilled receivables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(1,380,679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1,302,992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600"/>
              <w:spacing w:after="0"/>
              <w:rPr>
                <w:sz w:val="20"/>
                <w:szCs w:val="20"/>
                <w:color w:val="auto"/>
              </w:rPr>
            </w:pPr>
            <w:r>
              <w:rPr>
                <w:rFonts w:ascii="Arial" w:cs="Arial" w:eastAsia="Arial" w:hAnsi="Arial"/>
                <w:sz w:val="18"/>
                <w:szCs w:val="18"/>
                <w:color w:val="auto"/>
              </w:rPr>
              <w:t>Restricted cash</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(5,271)</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(84,181)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Interest receivable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600"/>
              <w:spacing w:after="0"/>
              <w:rPr>
                <w:sz w:val="20"/>
                <w:szCs w:val="20"/>
                <w:color w:val="auto"/>
              </w:rPr>
            </w:pPr>
            <w:r>
              <w:rPr>
                <w:rFonts w:ascii="Arial" w:cs="Arial" w:eastAsia="Arial" w:hAnsi="Arial"/>
                <w:sz w:val="18"/>
                <w:szCs w:val="18"/>
                <w:color w:val="auto"/>
              </w:rPr>
              <w:t>Prepaid royalties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(303,087)</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(306,297)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development fees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(94,281)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600"/>
              <w:spacing w:after="0"/>
              <w:rPr>
                <w:sz w:val="20"/>
                <w:szCs w:val="20"/>
                <w:color w:val="auto"/>
              </w:rPr>
            </w:pPr>
            <w:r>
              <w:rPr>
                <w:rFonts w:ascii="Arial" w:cs="Arial" w:eastAsia="Arial" w:hAnsi="Arial"/>
                <w:sz w:val="18"/>
                <w:szCs w:val="18"/>
                <w:color w:val="auto"/>
              </w:rPr>
              <w:t>Other prepaid expenses and other current assets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388,360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(211,606)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assets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58,152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600"/>
              <w:spacing w:after="0"/>
              <w:rPr>
                <w:sz w:val="20"/>
                <w:szCs w:val="20"/>
                <w:color w:val="auto"/>
              </w:rPr>
            </w:pPr>
            <w:r>
              <w:rPr>
                <w:rFonts w:ascii="Arial" w:cs="Arial" w:eastAsia="Arial" w:hAnsi="Arial"/>
                <w:sz w:val="18"/>
                <w:szCs w:val="18"/>
                <w:color w:val="auto"/>
              </w:rPr>
              <w:t>Accounts payable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(519,839)</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1"/>
              </w:rPr>
              <w:t>(1,090,843)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Accrued liabilities and accrued compensation and related expenses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471,844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ind w:left="600"/>
              <w:spacing w:after="0"/>
              <w:rPr>
                <w:sz w:val="20"/>
                <w:szCs w:val="20"/>
                <w:color w:val="auto"/>
              </w:rPr>
            </w:pPr>
            <w:r>
              <w:rPr>
                <w:rFonts w:ascii="Arial" w:cs="Arial" w:eastAsia="Arial" w:hAnsi="Arial"/>
                <w:sz w:val="18"/>
                <w:szCs w:val="18"/>
                <w:color w:val="auto"/>
              </w:rPr>
              <w:t>Commercial support liabilities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(170,508)</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268,588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Deferred revenue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1,41,780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747,751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5,933,341</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4,063,959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Acquisition, net of cash acquired</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Payments associated with capitalized software feature enhancements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(665,048)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Purchases of property and equipment, net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(721,804)</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(480,477)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investing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1"/>
              </w:rPr>
              <w:t>(1,386,852)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(779,213)</w:t>
            </w:r>
          </w:p>
        </w:tc>
        <w:tc>
          <w:tcPr>
            <w:tcW w:w="0" w:type="dxa"/>
            <w:vAlign w:val="bottom"/>
          </w:tcPr>
          <w:p>
            <w:pPr>
              <w:spacing w:after="0"/>
              <w:rPr>
                <w:sz w:val="1"/>
                <w:szCs w:val="1"/>
                <w:color w:val="auto"/>
              </w:rPr>
            </w:pPr>
          </w:p>
        </w:tc>
      </w:tr>
      <w:tr>
        <w:trPr>
          <w:trHeight w:val="439"/>
        </w:trPr>
        <w:tc>
          <w:tcPr>
            <w:tcW w:w="736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Issuance of common stock to Employee Stock Purchase Plan</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130,911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Payments on promissory note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(359,846)</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(351,200)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Payments on capital lease obligations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(13,916)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(84,087)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ind w:left="800"/>
              <w:spacing w:after="0"/>
              <w:rPr>
                <w:sz w:val="20"/>
                <w:szCs w:val="20"/>
                <w:color w:val="auto"/>
              </w:rPr>
            </w:pPr>
            <w:r>
              <w:rPr>
                <w:rFonts w:ascii="Arial" w:cs="Arial" w:eastAsia="Arial" w:hAnsi="Arial"/>
                <w:sz w:val="18"/>
                <w:szCs w:val="18"/>
                <w:color w:val="auto"/>
              </w:rPr>
              <w:t>Net cash used in financing activities</w:t>
            </w:r>
          </w:p>
        </w:tc>
        <w:tc>
          <w:tcPr>
            <w:tcW w:w="1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(372,522)</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(1,238,037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4,173,967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2,046,709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4,106,612</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3,599,346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8,280,579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5,646,055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Accordingly, condensed consolidated financial statements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six months ended June 30, 2009 are not necessarily indicative of the results that may be expected for the year ending December 31, 2009.</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balance sheet at December 31, 2008 is consistent with the audited financial statements at that date but does not include all of the information and footnotes required by accounting principles generally accepted in the United States for a complete set of financial statements. For further information, refer to the consolidated financial statements and footnotes thereto for the year ended December 31, 2008 (included in the Company’s Annual Report on Form 10-K, filed with the Securities and Exchange Commission on March 27, 2009).</w:t>
      </w:r>
    </w:p>
    <w:p>
      <w:pPr>
        <w:spacing w:after="0" w:line="7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the second quarter of 2009 we recorded an adjustment related to capitalized software feature enhancements and product development expense that resulted in an increase to net income of approximately $105,000. The error resulted from improperly expensing software development costs incurred during the first quarter of 2009. Management evaluated the effect of this error on the first quarter financial statements, and concluded the error is immaterial to the Company’s financial position and results of operations on an annualized basis, and therefore has corrected the error in the second quarter financial statements. The correction of the error resulted in a reduction of product development expenses and an increase to capitalized software feature enhancements during the second quarter of 2009, but did not have an effect on net income for the six months ended June 30, 2009.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December 2007, the Financial Accounting Standards Board (“FASB”) issued Statement of Financial Accounting Standards (“SFAS”) No. 141(R), “Business Combinations” (“SFAS No. 141(R)”). SFAS No. 141(R) establishes principles and requirements for how an acquirer recognizes and measures in its financial statements the identifiable assets acquired, the liabilities assumed, contractual contingencies, any noncontrolling interest in the acquiree and the goodwill acquired. SFAS No. 141(R) changes the accounting for acquisition-related restructuring cost accruals and the recognition of changes in the acquirer’s income tax valuation allowance, and no longer permits the capitalization of certain acquisition costs. In addition, SFAS No. 141(R) establishes disclosure requirements to enable the evaluation of the nature and financial effects of the business combination. SFAS No. 141(R) is effective prospectively, except for certain retrospective adjustments for deferred tax balances. The Company’s consolidated financial statements will be impacted by SFAS 141(R) in relation to business combination activities subsequent to January 1, 2009.</w:t>
      </w:r>
    </w:p>
    <w:p>
      <w:pPr>
        <w:spacing w:after="0" w:line="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December 2007, the FASB issued SFAS No. 160, “Noncontrolling Interests in Consolidated Financial Statements—an amendment of Accounting Research Bulletin No. 51” (“SFAS No. 160”). SFAS No. 160 establishes accounting and reporting standards for ownership interests in subsidiaries held by parties other than the parent, the amount of consolidated net income attributable to the parent and to the noncontrolling interest, changes in a parent’s ownership interest, and the valuation of retained noncontrolling equity investments when a subsidiary is deconsolidated. SFAS No. 160 also establishes disclosure requirements that clearly identify and distinguish between the interests of the parent and the interests of the noncontrolling owners. The Company adopted SFAS No. 160 on January 1, 2009. The adoption of this new standard did not have an effect on the Company’s financial position, results of operations, or cash flows.</w:t>
      </w:r>
    </w:p>
    <w:p>
      <w:pPr>
        <w:spacing w:after="0" w:line="57"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In April 2008, FASB Staff Position (“FSP”) No. FAS 142-3, “Determination of the Useful Life of Intangible Assets” (“FSP No. FAS 142-3”), was issued. FSP No. FAS 142-3 amends the factors that should be considered in developing renewal or extension assumptions used to determine the useful life of a recognized intangible asset under SFAS No. 142, “Goodwill and Other Intangible Assets.” The Company adopted FSP No. FAS 142-3 on January 1, 2009. The adoption of this new standard did not have a material effect on the Company’s financial position, results of operations, or cash flows.</w:t>
      </w:r>
    </w:p>
    <w:p>
      <w:pPr>
        <w:spacing w:after="0" w:line="4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May 2009, the FASB issued SFAS No. 165, “Subsequent Events” (“SFAS No. 165”), which establishes general standards of accounting for and disclosure of events that occur after the balance sheet date but before financial statements are issued or available to be issued. This statement sets forth the circumstances under which an entity should recognize events or transactions occurring after the balance sheet date in its financial statements. SFAS No. 165 also requires the disclosure of the date through which an entity has evaluated subsequent events and the basis for that date, that is, whether that date represents the date the financial statements were issued or were available to be issued. This statement is effective for interim or annual reporting periods ending after June 15, 2009. During the quarter ended June 30, 2009, we adopted SFAS No. 165. The adoption of this new standard did not have a material effect on the Company’s financial position, results of operations, or cash flows.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12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 Management evaluates all available evidence, both positive and negative, to determine whether, based on the weight of that evidence, a valuation allowance is needed. Future realization of the tax benefit of an existing deductible temporary difference or carryforward ultimately depends on the existence of sufficient taxable income of the appropriate character within the carryback or carryforward period available under the tax law. There are four possible sources of taxable income that may be available under the tax law to realize a tax benefit for deductible temporary differences and carryforwards: 1) future reversals of existing taxable temporary differences, 2) future taxable income exclusive of reversing temporary differences and carryforwards, 3) taxable income in prior carryback year(s) if carryback is permitted under the tax law, and 4) tax-planning strategies that would, if necessary, be implemented to realize deductible temporary differences or carryforwards prior to their expiration. Management’s estimate of future taxable income is performed during the fourth quarter in connection with the Company’s annual budget process. Management reviews the realizability of its deferred tax assets each reporting period to identify whether any significant changes in circumstances or assumptions have occurred that could materially affect the realizability of deferred tax assets. As of June 30, 2009, the Company had established a valuation allowance of $11.0 million for the portion of its net deferred tax assets that are not more likely than not expected to be realized.</w:t>
      </w:r>
    </w:p>
    <w:p>
      <w:pPr>
        <w:spacing w:after="0" w:line="6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The Company’s effective tax rate for the three and six months ended June 30, 2009 and 2008 is substantially less than the statutory rate because a significant portion of our taxable income has been offset through utilization of our net operating loss (“NOL”) carryforwards. Taxable income for the six months ended June 30, 2009 has been applied towards our NOL carryforwards and resulted in a reduction of the valuation allowance of approximately $1.2 million. The Company’s effective tax rate could change in the future based on our projections of taxable income, changes in federal or state tax rates, or changes in state apportionment factors, as well as changes in the valuation allowance applied to the Company’s deferred tax assets.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BASED COMPENSATION</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currently maintains one stock incentive plan. We account for our stock based compensation plan using the fair-value based method for costs related to share-based payments, including stock options. We use the Black Scholes option pricing model for calculating the fair value of awards issued under our stock based compensation plan. During the six months ended June 30, 2009, we granted 289,000 stock options with a weighted average grant date fair value of $1.17. During the six months ended June 30, 2008, we granted 498,000 stock options with a weighted average grant date fair value of $1.69. The fair value of stock based awards granted during the six months ended June 30, 2009 and 2008 was estimated using the Black Scholes option pricing model, with the assumptions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2480" w:type="dxa"/>
            <w:vAlign w:val="bottom"/>
            <w:gridSpan w:val="3"/>
          </w:tcPr>
          <w:p>
            <w:pPr>
              <w:jc w:val="center"/>
              <w:spacing w:after="0"/>
              <w:rPr>
                <w:sz w:val="20"/>
                <w:szCs w:val="20"/>
                <w:color w:val="auto"/>
              </w:rPr>
            </w:pPr>
            <w:r>
              <w:rPr>
                <w:rFonts w:ascii="Arial" w:cs="Arial" w:eastAsia="Arial" w:hAnsi="Arial"/>
                <w:sz w:val="14"/>
                <w:szCs w:val="14"/>
                <w:color w:val="auto"/>
                <w:w w:val="95"/>
              </w:rPr>
              <w:t>Six Months Ended</w:t>
            </w:r>
          </w:p>
        </w:tc>
      </w:tr>
      <w:tr>
        <w:trPr>
          <w:trHeight w:val="149"/>
        </w:trPr>
        <w:tc>
          <w:tcPr>
            <w:tcW w:w="8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540" w:type="dxa"/>
            <w:vAlign w:val="bottom"/>
            <w:gridSpan w:val="2"/>
          </w:tcPr>
          <w:p>
            <w:pPr>
              <w:jc w:val="center"/>
              <w:ind w:right="859"/>
              <w:spacing w:after="0" w:line="149" w:lineRule="exact"/>
              <w:rPr>
                <w:sz w:val="20"/>
                <w:szCs w:val="20"/>
                <w:color w:val="auto"/>
              </w:rPr>
            </w:pPr>
            <w:r>
              <w:rPr>
                <w:rFonts w:ascii="Arial" w:cs="Arial" w:eastAsia="Arial" w:hAnsi="Arial"/>
                <w:sz w:val="14"/>
                <w:szCs w:val="14"/>
                <w:color w:val="auto"/>
                <w:w w:val="89"/>
              </w:rPr>
              <w:t>June 30,</w:t>
            </w:r>
          </w:p>
        </w:tc>
      </w:tr>
      <w:tr>
        <w:trPr>
          <w:trHeight w:val="167"/>
        </w:trPr>
        <w:tc>
          <w:tcPr>
            <w:tcW w:w="894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2009</w:t>
            </w:r>
          </w:p>
        </w:tc>
        <w:tc>
          <w:tcPr>
            <w:tcW w:w="56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2008</w:t>
            </w: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1.73 - 3.22%</w:t>
            </w:r>
          </w:p>
        </w:tc>
        <w:tc>
          <w:tcPr>
            <w:tcW w:w="1540" w:type="dxa"/>
            <w:vAlign w:val="bottom"/>
            <w:gridSpan w:val="2"/>
            <w:shd w:val="clear" w:color="auto" w:fill="CCEEFF"/>
          </w:tcPr>
          <w:p>
            <w:pPr>
              <w:jc w:val="center"/>
              <w:ind w:left="474"/>
              <w:spacing w:after="0"/>
              <w:rPr>
                <w:sz w:val="20"/>
                <w:szCs w:val="20"/>
                <w:color w:val="auto"/>
              </w:rPr>
            </w:pPr>
            <w:r>
              <w:rPr>
                <w:rFonts w:ascii="Arial" w:cs="Arial" w:eastAsia="Arial" w:hAnsi="Arial"/>
                <w:sz w:val="18"/>
                <w:szCs w:val="18"/>
                <w:color w:val="auto"/>
                <w:w w:val="92"/>
              </w:rPr>
              <w:t>2.63 - 3.56%</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540" w:type="dxa"/>
            <w:vAlign w:val="bottom"/>
            <w:gridSpan w:val="2"/>
          </w:tcPr>
          <w:p>
            <w:pPr>
              <w:jc w:val="center"/>
              <w:ind w:left="474"/>
              <w:spacing w:after="0"/>
              <w:rPr>
                <w:sz w:val="20"/>
                <w:szCs w:val="20"/>
                <w:color w:val="auto"/>
              </w:rPr>
            </w:pPr>
            <w:r>
              <w:rPr>
                <w:rFonts w:ascii="Arial" w:cs="Arial" w:eastAsia="Arial" w:hAnsi="Arial"/>
                <w:sz w:val="18"/>
                <w:szCs w:val="18"/>
                <w:color w:val="auto"/>
                <w:w w:val="92"/>
              </w:rPr>
              <w:t>0.0%</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9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5 - 7 years</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6"/>
              </w:rPr>
              <w:t>5 - 8 years</w:t>
            </w:r>
          </w:p>
        </w:tc>
      </w:tr>
      <w:tr>
        <w:trPr>
          <w:trHeight w:val="216"/>
        </w:trPr>
        <w:tc>
          <w:tcPr>
            <w:tcW w:w="894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0-20%</w:t>
            </w:r>
          </w:p>
        </w:tc>
        <w:tc>
          <w:tcPr>
            <w:tcW w:w="1540" w:type="dxa"/>
            <w:vAlign w:val="bottom"/>
            <w:gridSpan w:val="2"/>
          </w:tcPr>
          <w:p>
            <w:pPr>
              <w:jc w:val="center"/>
              <w:ind w:left="454"/>
              <w:spacing w:after="0"/>
              <w:rPr>
                <w:sz w:val="20"/>
                <w:szCs w:val="20"/>
                <w:color w:val="auto"/>
              </w:rPr>
            </w:pPr>
            <w:r>
              <w:rPr>
                <w:rFonts w:ascii="Arial" w:cs="Arial" w:eastAsia="Arial" w:hAnsi="Arial"/>
                <w:sz w:val="18"/>
                <w:szCs w:val="18"/>
                <w:color w:val="auto"/>
                <w:w w:val="92"/>
              </w:rPr>
              <w:t>0-20%</w:t>
            </w:r>
          </w:p>
        </w:tc>
      </w:tr>
      <w:tr>
        <w:trPr>
          <w:trHeight w:val="216"/>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60%</w:t>
            </w:r>
          </w:p>
        </w:tc>
        <w:tc>
          <w:tcPr>
            <w:tcW w:w="1540" w:type="dxa"/>
            <w:vAlign w:val="bottom"/>
            <w:gridSpan w:val="2"/>
            <w:shd w:val="clear" w:color="auto" w:fill="CCEEFF"/>
          </w:tcPr>
          <w:p>
            <w:pPr>
              <w:jc w:val="center"/>
              <w:ind w:left="474"/>
              <w:spacing w:after="0"/>
              <w:rPr>
                <w:sz w:val="20"/>
                <w:szCs w:val="20"/>
                <w:color w:val="auto"/>
              </w:rPr>
            </w:pPr>
            <w:r>
              <w:rPr>
                <w:rFonts w:ascii="Arial" w:cs="Arial" w:eastAsia="Arial" w:hAnsi="Arial"/>
                <w:sz w:val="18"/>
                <w:szCs w:val="18"/>
                <w:color w:val="auto"/>
                <w:w w:val="94"/>
              </w:rPr>
              <w:t>65%</w:t>
            </w:r>
          </w:p>
        </w:tc>
      </w:tr>
    </w:tbl>
    <w:p>
      <w:pPr>
        <w:spacing w:after="0" w:line="94"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Total stock based compensation expense recorded for the three and six months ended June 30, 2009 and 2008, which is recorded in our condensed consolidated statements of income,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ind w:left="32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080" w:type="dxa"/>
            <w:vAlign w:val="bottom"/>
            <w:gridSpan w:val="6"/>
          </w:tcPr>
          <w:p>
            <w:pPr>
              <w:ind w:left="40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82"/>
        </w:trPr>
        <w:tc>
          <w:tcPr>
            <w:tcW w:w="4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115"/>
              <w:spacing w:after="0"/>
              <w:rPr>
                <w:sz w:val="20"/>
                <w:szCs w:val="20"/>
                <w:color w:val="auto"/>
              </w:rPr>
            </w:pPr>
            <w:r>
              <w:rPr>
                <w:rFonts w:ascii="Arial" w:cs="Arial" w:eastAsia="Arial" w:hAnsi="Arial"/>
                <w:sz w:val="14"/>
                <w:szCs w:val="14"/>
                <w:color w:val="auto"/>
              </w:rPr>
              <w:t>2009</w:t>
            </w:r>
          </w:p>
        </w:tc>
        <w:tc>
          <w:tcPr>
            <w:tcW w:w="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June 30,</w:t>
            </w:r>
          </w:p>
        </w:tc>
        <w:tc>
          <w:tcPr>
            <w:tcW w:w="600" w:type="dxa"/>
            <w:vAlign w:val="bottom"/>
            <w:vMerge w:val="restart"/>
          </w:tcPr>
          <w:p>
            <w:pPr>
              <w:jc w:val="right"/>
              <w:ind w:right="133"/>
              <w:spacing w:after="0"/>
              <w:rPr>
                <w:sz w:val="20"/>
                <w:szCs w:val="20"/>
                <w:color w:val="auto"/>
              </w:rPr>
            </w:pPr>
            <w:r>
              <w:rPr>
                <w:rFonts w:ascii="Arial" w:cs="Arial" w:eastAsia="Arial" w:hAnsi="Arial"/>
                <w:sz w:val="14"/>
                <w:szCs w:val="14"/>
                <w:color w:val="auto"/>
              </w:rPr>
              <w:t>2008</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135"/>
              <w:spacing w:after="0"/>
              <w:rPr>
                <w:sz w:val="20"/>
                <w:szCs w:val="20"/>
                <w:color w:val="auto"/>
              </w:rPr>
            </w:pPr>
            <w:r>
              <w:rPr>
                <w:rFonts w:ascii="Arial" w:cs="Arial" w:eastAsia="Arial" w:hAnsi="Arial"/>
                <w:sz w:val="14"/>
                <w:szCs w:val="14"/>
                <w:color w:val="auto"/>
              </w:rPr>
              <w:t>2009</w:t>
            </w:r>
          </w:p>
        </w:tc>
        <w:tc>
          <w:tcPr>
            <w:tcW w:w="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w w:val="96"/>
              </w:rPr>
              <w:t>June 30,</w:t>
            </w:r>
          </w:p>
        </w:tc>
        <w:tc>
          <w:tcPr>
            <w:tcW w:w="600" w:type="dxa"/>
            <w:vAlign w:val="bottom"/>
            <w:vMerge w:val="restart"/>
          </w:tcPr>
          <w:p>
            <w:pPr>
              <w:jc w:val="right"/>
              <w:ind w:right="133"/>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49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8,299</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12,750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13,491</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23,549</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Product development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27,903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40,072</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62,989</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73,319</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49,110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55,610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87,751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105,824</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65,473</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164,745</w:t>
            </w:r>
          </w:p>
        </w:tc>
        <w:tc>
          <w:tcPr>
            <w:tcW w:w="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132,170</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223,420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 based compensation expense</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150,785</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273,177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296,401</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426,112</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500" w:type="dxa"/>
            <w:vAlign w:val="bottom"/>
            <w:vMerge w:val="restart"/>
          </w:tcPr>
          <w:p>
            <w:pPr>
              <w:jc w:val="right"/>
              <w:ind w:right="630"/>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9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98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INCOME PER SHARE</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Basic net income per share is computed by dividing the net income available to common shareholders for the period by the weighted-average number of common shares outstanding during the period. Diluted net income per share is computed by dividing the net income for the period by the weighted average number of common and common equivalent shares outstanding during the period. Common equivalent shares, composed of incremental common shares issuable upon the exercise of stock options and warrants, escrowed or restricted shares, and shares subject to vesting are included in diluted net income per share only to the extent these shares are dilutive. Common equivalent shares are dilutive when the average market price during the period exceeds the exercise price of the underlying shares. The total number of common equivalent shares excluded from the calculations of diluted net income per share, due to their anti-dilutive effect, was approximately 2.3 million and 2.2 million for the three and six months ended June 30, 2009, respectively, and approximately 2.0 million and 1.8 million for the three and six months ended June 30, 2008, respectively.</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computation of basic and diluted net income per share for three and six months ended June 30, 2009 and 2008: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6"/>
          </w:tcPr>
          <w:p>
            <w:pPr>
              <w:jc w:val="right"/>
              <w:ind w:right="122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460" w:type="dxa"/>
            <w:vAlign w:val="bottom"/>
            <w:gridSpan w:val="6"/>
          </w:tcPr>
          <w:p>
            <w:pPr>
              <w:ind w:left="58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restart"/>
          </w:tcPr>
          <w:p>
            <w:pPr>
              <w:jc w:val="right"/>
              <w:ind w:right="234"/>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5"/>
                <w:szCs w:val="15"/>
                <w:color w:val="auto"/>
              </w:rPr>
            </w:pPr>
          </w:p>
        </w:tc>
        <w:tc>
          <w:tcPr>
            <w:tcW w:w="680" w:type="dxa"/>
            <w:vAlign w:val="bottom"/>
            <w:gridSpan w:val="2"/>
          </w:tcPr>
          <w:p>
            <w:pPr>
              <w:jc w:val="right"/>
              <w:ind w:right="70"/>
              <w:spacing w:after="0"/>
              <w:rPr>
                <w:sz w:val="20"/>
                <w:szCs w:val="20"/>
                <w:color w:val="auto"/>
              </w:rPr>
            </w:pPr>
            <w:r>
              <w:rPr>
                <w:rFonts w:ascii="Arial" w:cs="Arial" w:eastAsia="Arial" w:hAnsi="Arial"/>
                <w:sz w:val="14"/>
                <w:szCs w:val="14"/>
                <w:color w:val="auto"/>
                <w:w w:val="93"/>
              </w:rPr>
              <w:t>June 30,</w:t>
            </w:r>
          </w:p>
        </w:tc>
        <w:tc>
          <w:tcPr>
            <w:tcW w:w="820" w:type="dxa"/>
            <w:vAlign w:val="bottom"/>
            <w:vMerge w:val="restart"/>
          </w:tcPr>
          <w:p>
            <w:pPr>
              <w:jc w:val="right"/>
              <w:ind w:right="213"/>
              <w:spacing w:after="0"/>
              <w:rPr>
                <w:sz w:val="20"/>
                <w:szCs w:val="20"/>
                <w:color w:val="auto"/>
              </w:rPr>
            </w:pPr>
            <w:r>
              <w:rPr>
                <w:rFonts w:ascii="Arial" w:cs="Arial" w:eastAsia="Arial" w:hAnsi="Arial"/>
                <w:sz w:val="14"/>
                <w:szCs w:val="14"/>
                <w:color w:val="auto"/>
              </w:rPr>
              <w:t>2008</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restart"/>
          </w:tcPr>
          <w:p>
            <w:pPr>
              <w:jc w:val="right"/>
              <w:ind w:right="234"/>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5"/>
                <w:szCs w:val="15"/>
                <w:color w:val="auto"/>
              </w:rPr>
            </w:pPr>
          </w:p>
        </w:tc>
        <w:tc>
          <w:tcPr>
            <w:tcW w:w="700" w:type="dxa"/>
            <w:vAlign w:val="bottom"/>
            <w:gridSpan w:val="2"/>
          </w:tcPr>
          <w:p>
            <w:pPr>
              <w:jc w:val="right"/>
              <w:ind w:right="105"/>
              <w:spacing w:after="0"/>
              <w:rPr>
                <w:sz w:val="20"/>
                <w:szCs w:val="20"/>
                <w:color w:val="auto"/>
              </w:rPr>
            </w:pPr>
            <w:r>
              <w:rPr>
                <w:rFonts w:ascii="Arial" w:cs="Arial" w:eastAsia="Arial" w:hAnsi="Arial"/>
                <w:sz w:val="14"/>
                <w:szCs w:val="14"/>
                <w:color w:val="auto"/>
                <w:w w:val="93"/>
              </w:rPr>
              <w:t>June 30,</w:t>
            </w:r>
          </w:p>
        </w:tc>
        <w:tc>
          <w:tcPr>
            <w:tcW w:w="820" w:type="dxa"/>
            <w:vAlign w:val="bottom"/>
            <w:vMerge w:val="restart"/>
          </w:tcPr>
          <w:p>
            <w:pPr>
              <w:jc w:val="right"/>
              <w:ind w:right="233"/>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1,728,117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739,441</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2,605,646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805,125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20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21,382,802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21,961,252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21,382,429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22,024,098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Pr>
          <w:p>
            <w:pPr>
              <w:ind w:left="400"/>
              <w:spacing w:after="0"/>
              <w:rPr>
                <w:sz w:val="20"/>
                <w:szCs w:val="20"/>
                <w:color w:val="auto"/>
              </w:rPr>
            </w:pPr>
            <w:r>
              <w:rPr>
                <w:rFonts w:ascii="Arial" w:cs="Arial" w:eastAsia="Arial" w:hAnsi="Arial"/>
                <w:sz w:val="18"/>
                <w:szCs w:val="18"/>
                <w:color w:val="auto"/>
              </w:rPr>
              <w:t>Employee stock options and escrowed shares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243,604</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617,573</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214,376</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21,626,406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8"/>
              </w:rPr>
              <w:t>22,578,825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21,596,805</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22,652,960</w:t>
            </w:r>
          </w:p>
        </w:tc>
        <w:tc>
          <w:tcPr>
            <w:tcW w:w="0" w:type="dxa"/>
            <w:vAlign w:val="bottom"/>
          </w:tcPr>
          <w:p>
            <w:pPr>
              <w:spacing w:after="0"/>
              <w:rPr>
                <w:sz w:val="1"/>
                <w:szCs w:val="1"/>
                <w:color w:val="auto"/>
              </w:rPr>
            </w:pPr>
          </w:p>
        </w:tc>
      </w:tr>
      <w:tr>
        <w:trPr>
          <w:trHeight w:val="20"/>
        </w:trPr>
        <w:tc>
          <w:tcPr>
            <w:tcW w:w="580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SEGMENTS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provide our services to healthcare organizations, pharmaceutical and medical device companies, and other members within the healthcare industry. Our services are primarily focused on the delivery of education and training products and services (HealthStream Learning), as well as survey and research services (HealthStream Research). The accounting policies of the segments are the same as those described in the summary of significant accounting policies in our Annual Report on Form 10-K for the year ended December 31, 2008.</w:t>
      </w:r>
    </w:p>
    <w:p>
      <w:pPr>
        <w:spacing w:after="0" w:line="7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measure segment performance based on operating income (loss) before income taxes and prior to the allocation of certain corporate overhead expenses, interest income, interest expense, and depreciation. The following is our business segment information as of and for the three and six months ended June 30, 2009 and 2008.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60" w:type="dxa"/>
            <w:vAlign w:val="bottom"/>
            <w:gridSpan w:val="6"/>
          </w:tcPr>
          <w:p>
            <w:pPr>
              <w:jc w:val="right"/>
              <w:ind w:right="122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460" w:type="dxa"/>
            <w:vAlign w:val="bottom"/>
            <w:gridSpan w:val="6"/>
          </w:tcPr>
          <w:p>
            <w:pPr>
              <w:jc w:val="right"/>
              <w:ind w:right="80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restart"/>
          </w:tcPr>
          <w:p>
            <w:pPr>
              <w:jc w:val="right"/>
              <w:ind w:right="234"/>
              <w:spacing w:after="0"/>
              <w:rPr>
                <w:sz w:val="20"/>
                <w:szCs w:val="20"/>
                <w:color w:val="auto"/>
              </w:rPr>
            </w:pPr>
            <w:r>
              <w:rPr>
                <w:rFonts w:ascii="Arial" w:cs="Arial" w:eastAsia="Arial" w:hAnsi="Arial"/>
                <w:sz w:val="14"/>
                <w:szCs w:val="14"/>
                <w:color w:val="auto"/>
              </w:rPr>
              <w:t>2009</w:t>
            </w:r>
          </w:p>
        </w:tc>
        <w:tc>
          <w:tcPr>
            <w:tcW w:w="60" w:type="dxa"/>
            <w:vAlign w:val="bottom"/>
          </w:tcPr>
          <w:p>
            <w:pPr>
              <w:spacing w:after="0"/>
              <w:rPr>
                <w:sz w:val="15"/>
                <w:szCs w:val="15"/>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4"/>
                <w:szCs w:val="14"/>
                <w:color w:val="auto"/>
                <w:w w:val="85"/>
              </w:rPr>
              <w:t>June 30,</w:t>
            </w:r>
          </w:p>
        </w:tc>
        <w:tc>
          <w:tcPr>
            <w:tcW w:w="820" w:type="dxa"/>
            <w:vAlign w:val="bottom"/>
            <w:vMerge w:val="restart"/>
          </w:tcPr>
          <w:p>
            <w:pPr>
              <w:jc w:val="right"/>
              <w:ind w:right="212"/>
              <w:spacing w:after="0"/>
              <w:rPr>
                <w:sz w:val="20"/>
                <w:szCs w:val="20"/>
                <w:color w:val="auto"/>
              </w:rPr>
            </w:pPr>
            <w:r>
              <w:rPr>
                <w:rFonts w:ascii="Arial" w:cs="Arial" w:eastAsia="Arial" w:hAnsi="Arial"/>
                <w:sz w:val="14"/>
                <w:szCs w:val="14"/>
                <w:color w:val="auto"/>
              </w:rPr>
              <w:t>2008</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restart"/>
          </w:tcPr>
          <w:p>
            <w:pPr>
              <w:jc w:val="right"/>
              <w:ind w:right="234"/>
              <w:spacing w:after="0"/>
              <w:rPr>
                <w:sz w:val="20"/>
                <w:szCs w:val="20"/>
                <w:color w:val="auto"/>
              </w:rPr>
            </w:pPr>
            <w:r>
              <w:rPr>
                <w:rFonts w:ascii="Arial" w:cs="Arial" w:eastAsia="Arial" w:hAnsi="Arial"/>
                <w:sz w:val="14"/>
                <w:szCs w:val="14"/>
                <w:color w:val="auto"/>
              </w:rPr>
              <w:t>2009</w:t>
            </w:r>
          </w:p>
        </w:tc>
        <w:tc>
          <w:tcPr>
            <w:tcW w:w="60" w:type="dxa"/>
            <w:vAlign w:val="bottom"/>
          </w:tcPr>
          <w:p>
            <w:pPr>
              <w:spacing w:after="0"/>
              <w:rPr>
                <w:sz w:val="15"/>
                <w:szCs w:val="15"/>
                <w:color w:val="auto"/>
              </w:rPr>
            </w:pPr>
          </w:p>
        </w:tc>
        <w:tc>
          <w:tcPr>
            <w:tcW w:w="660" w:type="dxa"/>
            <w:vAlign w:val="bottom"/>
            <w:gridSpan w:val="2"/>
          </w:tcPr>
          <w:p>
            <w:pPr>
              <w:jc w:val="right"/>
              <w:ind w:right="105"/>
              <w:spacing w:after="0"/>
              <w:rPr>
                <w:sz w:val="20"/>
                <w:szCs w:val="20"/>
                <w:color w:val="auto"/>
              </w:rPr>
            </w:pPr>
            <w:r>
              <w:rPr>
                <w:rFonts w:ascii="Arial" w:cs="Arial" w:eastAsia="Arial" w:hAnsi="Arial"/>
                <w:sz w:val="14"/>
                <w:szCs w:val="14"/>
                <w:color w:val="auto"/>
                <w:w w:val="85"/>
              </w:rPr>
              <w:t>June 30,</w:t>
            </w:r>
          </w:p>
        </w:tc>
        <w:tc>
          <w:tcPr>
            <w:tcW w:w="820" w:type="dxa"/>
            <w:vAlign w:val="bottom"/>
            <w:vMerge w:val="restart"/>
          </w:tcPr>
          <w:p>
            <w:pPr>
              <w:jc w:val="right"/>
              <w:ind w:right="232"/>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Learning</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9,315,512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8,172,642</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18,309,122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15,669,348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5,268,010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4,840,353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9,893,607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8,765,347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400"/>
              <w:spacing w:after="0"/>
              <w:rPr>
                <w:sz w:val="20"/>
                <w:szCs w:val="20"/>
                <w:color w:val="auto"/>
              </w:rPr>
            </w:pPr>
            <w:r>
              <w:rPr>
                <w:rFonts w:ascii="Arial" w:cs="Arial" w:eastAsia="Arial" w:hAnsi="Arial"/>
                <w:sz w:val="18"/>
                <w:szCs w:val="18"/>
                <w:color w:val="auto"/>
              </w:rPr>
              <w:t>Total net revenue</w:t>
            </w:r>
          </w:p>
        </w:tc>
        <w:tc>
          <w:tcPr>
            <w:tcW w:w="1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14,583,522</w:t>
            </w: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13,012,995</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28,202,729</w:t>
            </w: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24,434,695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Learning</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2,441,212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1,665,897</w:t>
            </w:r>
          </w:p>
        </w:tc>
        <w:tc>
          <w:tcPr>
            <w:tcW w:w="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4,488,377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3,325,529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1,287,190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972,534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1,860,347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1,001,478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Unallocated</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3"/>
              </w:rPr>
              <w:t>(1,866,465)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(1,914,175)</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3"/>
              </w:rPr>
              <w:t>(3,551,003)</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(3,558,801)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income from operations</w:t>
            </w: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1,861,937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724,256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2,797,721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SEGMENTS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9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4"/>
                <w:szCs w:val="14"/>
                <w:color w:val="auto"/>
                <w:w w:val="94"/>
              </w:rPr>
              <w:t>June 30, 2009</w:t>
            </w:r>
          </w:p>
        </w:tc>
        <w:tc>
          <w:tcPr>
            <w:tcW w:w="3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w w:val="99"/>
              </w:rPr>
              <w:t>December 31, 2008</w:t>
            </w: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 *</w:t>
            </w:r>
          </w:p>
        </w:tc>
        <w:tc>
          <w:tcPr>
            <w:tcW w:w="37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Learning</w:t>
            </w:r>
          </w:p>
        </w:tc>
        <w:tc>
          <w:tcPr>
            <w:tcW w:w="4940" w:type="dxa"/>
            <w:vAlign w:val="bottom"/>
            <w:gridSpan w:val="3"/>
          </w:tcPr>
          <w:p>
            <w:pPr>
              <w:jc w:val="right"/>
              <w:ind w:right="340"/>
              <w:spacing w:after="0"/>
              <w:rPr>
                <w:sz w:val="20"/>
                <w:szCs w:val="20"/>
                <w:color w:val="auto"/>
              </w:rPr>
            </w:pPr>
            <w:r>
              <w:rPr>
                <w:rFonts w:ascii="Arial" w:cs="Arial" w:eastAsia="Arial" w:hAnsi="Arial"/>
                <w:sz w:val="18"/>
                <w:szCs w:val="18"/>
                <w:color w:val="auto"/>
              </w:rPr>
              <w:t>$16,994,869</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16,027,451</w:t>
            </w: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w:t>
            </w:r>
          </w:p>
        </w:tc>
        <w:tc>
          <w:tcPr>
            <w:tcW w:w="4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27,115,832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27,018,000</w:t>
            </w: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Unallocated</w:t>
            </w:r>
          </w:p>
        </w:tc>
        <w:tc>
          <w:tcPr>
            <w:tcW w:w="37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13,548,567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9,751,431</w:t>
            </w:r>
          </w:p>
        </w:tc>
      </w:tr>
      <w:tr>
        <w:trPr>
          <w:trHeight w:val="27"/>
        </w:trPr>
        <w:tc>
          <w:tcPr>
            <w:tcW w:w="49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49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57,659,268</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52,796,882</w:t>
            </w:r>
          </w:p>
        </w:tc>
      </w:tr>
      <w:tr>
        <w:trPr>
          <w:trHeight w:val="20"/>
        </w:trPr>
        <w:tc>
          <w:tcPr>
            <w:tcW w:w="49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40" w:hanging="452"/>
        <w:spacing w:after="0" w:line="31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Segment assets include restricted cash, accounts and unbilled receivables, prepaid and other current assets, other assets, capitalized software feature enhancements, certain property and equipment, and intangible assets. Cash and cash equivalents are not allocated to individual segments, and are included within Unallocated. A significant portion of property and equipment assets are included within Unallocated.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SUBSEQUENT EVENTS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July 17, 2009, the Company signed an amendment to its revolving credit facility, renewing the agreement through July 21, 2011. The availability under the line of credit was maintained at $15.0 million, and a tangible net worth covenant was reinstated. The loan bears interest at 30 Day LIBOR plus a margin of either 190 or 220 basis points determined in accordance with a pricing grid, but has a minimum interest rate of not less than three percent. The Company’s fee for unused funds was increased from 10 to 25 basis points per annum of the average daily unused amount of the loan. No other material terms were modified within the loan agreement.</w:t>
      </w:r>
    </w:p>
    <w:p>
      <w:pPr>
        <w:spacing w:after="0" w:line="8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Management has evaluated subsequent events and transactions in consideration for disclosure of or recognition in our condensed consolidated financial statements through August 10, 2009, the date which they were issued.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120"/>
        <w:spacing w:after="0" w:line="378"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Special Cautionary Notice Regarding Forward-Looking Statements</w:t>
      </w:r>
    </w:p>
    <w:p>
      <w:pPr>
        <w:ind w:right="80"/>
        <w:spacing w:after="0" w:line="291" w:lineRule="auto"/>
        <w:rPr>
          <w:sz w:val="20"/>
          <w:szCs w:val="20"/>
          <w:color w:val="auto"/>
        </w:rPr>
      </w:pPr>
      <w:r>
        <w:rPr>
          <w:rFonts w:ascii="Arial" w:cs="Arial" w:eastAsia="Arial" w:hAnsi="Arial"/>
          <w:sz w:val="16"/>
          <w:szCs w:val="16"/>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2008, appearing in our Annual Report on Form 10-K that was filed with the Securities and Exchange Commission (“SEC”) on March 27, 2009 (the “2008 Form 10-K”). Statements contained in this Quarterly Report on Form 10-Q that are not historical fact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 projects,” “should,” “will,” “would,” and similar expressions are forward-looking statements.</w:t>
      </w:r>
    </w:p>
    <w:p>
      <w:pPr>
        <w:spacing w:after="0" w:line="5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6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evaluating any forward-looking statement, you should specifically consider the information regarding forward-looking statements and the information set forth under the caption “Item 1A. Risk Factors” in our 2008 Form 10-K and the information regarding forward-looking statements in our earnings releases,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what we expect.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HealthStream’s services are focused on the professionals who work within healthcare organizations, and include the delivery of education and training products and services (“HealthStream Learning”), as well as survey and research services (“HealthStream Research”). HealthStream Learning products and services are used by healthcare organizations to meet a broad range of their training and assessment needs, while HealthStream Research products and services provide our customers valuable insight into measuring quality and satisfaction of patients, physicians, employees, and members of the community. Across both our HealthStream Learning and HealthStream Research segments, our customers include approximately 2,400 healthcare organization facilities (predominately acute-care facilities) throughout the United States.</w:t>
      </w:r>
    </w:p>
    <w:p>
      <w:pPr>
        <w:spacing w:after="0" w:line="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Company’s flagship learning product is the HealthStream Learning Center</w:t>
      </w:r>
      <w:r>
        <w:rPr>
          <w:rFonts w:ascii="Arial" w:cs="Arial" w:eastAsia="Arial" w:hAnsi="Arial"/>
          <w:sz w:val="15"/>
          <w:szCs w:val="15"/>
          <w:color w:val="auto"/>
        </w:rPr>
        <w:t>®</w:t>
      </w:r>
      <w:r>
        <w:rPr>
          <w:rFonts w:ascii="Arial" w:cs="Arial" w:eastAsia="Arial" w:hAnsi="Arial"/>
          <w:sz w:val="18"/>
          <w:szCs w:val="18"/>
          <w:color w:val="auto"/>
        </w:rPr>
        <w:t xml:space="preserve"> (“HLC”), our proprietary, Internet-based learning platform. We deliver educational and training courseware to our customers through the HLC platform. HealthStream Learning products and services are focused on education and training initiatives designed to reach hospital-based healthcare professionals, as well as physicians and medical device and pharmaceutical industry sales representatives.</w:t>
      </w:r>
    </w:p>
    <w:p>
      <w:pPr>
        <w:spacing w:after="0" w:line="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HealthStream Research products and services include quality and satisfaction surveys, data analyses of survey results, and other research-based measurement tools focused on patients, physicians, employees, and members of the community. HealthStream Research services are designed to provide customers thorough analyses that provide insightful recommendations for change, benchmarking capabilities using our comprehensive databases, and consulting services to identify solutions based on their survey results. As a certified vendor designated by the Centers for Medicare &amp; Medicaid Services, we offer our customers HCAHPS</w:t>
      </w:r>
      <w:r>
        <w:rPr>
          <w:rFonts w:ascii="Arial" w:cs="Arial" w:eastAsia="Arial" w:hAnsi="Arial"/>
          <w:sz w:val="14"/>
          <w:szCs w:val="14"/>
          <w:color w:val="auto"/>
        </w:rPr>
        <w:t>®</w:t>
      </w:r>
      <w:r>
        <w:rPr>
          <w:rFonts w:ascii="Arial" w:cs="Arial" w:eastAsia="Arial" w:hAnsi="Arial"/>
          <w:sz w:val="17"/>
          <w:szCs w:val="17"/>
          <w:color w:val="auto"/>
        </w:rPr>
        <w:t xml:space="preserve"> (Hospital Consumer Assessment of Healthcare Providers and Systems) survey services.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Key financial and operational indicators for the second quarter of 2009 include:</w:t>
      </w:r>
    </w:p>
    <w:p>
      <w:pPr>
        <w:spacing w:after="0" w:line="117"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Revenues of $14.6 million in the second quarter of 2009, up 12% over the second quarter of 2008</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income of $1.7 million in the second quarter of 2009, up from $739,000 in the second quarter of 2008</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Earnings per share (EPS) of $0.08, up from $0.03 in the second quarter of 2008</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Revenues of $28.2 million for the first six months of 2009, up 15% over the first six months of 2008</w:t>
      </w:r>
    </w:p>
    <w:p>
      <w:pPr>
        <w:spacing w:after="0" w:line="130" w:lineRule="exact"/>
        <w:rPr>
          <w:rFonts w:ascii="Arial" w:cs="Arial" w:eastAsia="Arial" w:hAnsi="Arial"/>
          <w:sz w:val="18"/>
          <w:szCs w:val="18"/>
          <w:b w:val="1"/>
          <w:bCs w:val="1"/>
          <w:color w:val="auto"/>
        </w:rPr>
      </w:pPr>
    </w:p>
    <w:p>
      <w:pPr>
        <w:ind w:left="900" w:hanging="446"/>
        <w:spacing w:after="0" w:line="277" w:lineRule="auto"/>
        <w:tabs>
          <w:tab w:leader="none" w:pos="9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income of $2.6 million and EPS of $0.12 for the first six months of 2009, up from a net income of $805,000 and EPS of $0.04 for the first six months of 2008</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62"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Revenue recognition</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Accounting for income taxes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Product development costs and related capitalization</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Goodwill, intangibles, and other long-lived assets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Allowance for doubtful accounts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Accrual for service credits</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Stock based compensation</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Nonmonetary exchange of content rights and deferred service credits</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many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See Notes to Consolidated Financial Statements in our 2008 Form 10-K, which contains additional information regarding our accounting policies and other disclosures required by US GAAP. There have been no changes in our critical accounting policies and estimates from those reported in our 2008 Form 10-K.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Expense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descriptions of the components of revenues and expenses apply to the comparison of results of operations.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our HealthStream Learning business segment consist of the provision of services through our Internet-based HLC, authoring tools, a</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courseware subscriptions (add-on courseware), implementation and consulting services, maintenance of third party content, online sales training courses (RepDirect™), online training and content development, HospitalDirect</w:t>
      </w:r>
      <w:r>
        <w:rPr>
          <w:rFonts w:ascii="Arial" w:cs="Arial" w:eastAsia="Arial" w:hAnsi="Arial"/>
          <w:sz w:val="15"/>
          <w:szCs w:val="15"/>
          <w:color w:val="auto"/>
        </w:rPr>
        <w:t>®</w:t>
      </w:r>
      <w:r>
        <w:rPr>
          <w:rFonts w:ascii="Arial" w:cs="Arial" w:eastAsia="Arial" w:hAnsi="Arial"/>
          <w:sz w:val="18"/>
          <w:szCs w:val="18"/>
          <w:color w:val="auto"/>
        </w:rPr>
        <w:t>, and a variety of other educational activities for physicians, nurses and other professionals within healthcare organizations. Revenues for our HealthStream Research business segment consist of quality and satisfaction surveys, data analyses of survey results, and other research-based measurement tools focused on patients, physicians, employees, and other members of the community.</w:t>
      </w:r>
    </w:p>
    <w:p>
      <w:pPr>
        <w:spacing w:after="0" w:line="85"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(excluding depreciation and amortization) consists primarily of salaries and</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benefits, stock based compensation, employee travel and lodging, royalties paid by us to content providers based on a percentage of revenues, materials, outsourced phone survey support, contract labor, hosting costs, as well as other direct expenses associated with revenues. Personnel costs within cost of revenues are associated with individuals that facilitate product delivery, provide services, conduct, process and manage phone and paper-based surveys, handle customer support calls or inquiries, manage the technology infrastructure for our hosted applications, manage content and survey services, coordinate content maintenance services, and provide training or implementation services.</w:t>
      </w:r>
    </w:p>
    <w:p>
      <w:pPr>
        <w:spacing w:after="0" w:line="70"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 xml:space="preserve">Product Development. </w:t>
      </w:r>
      <w:r>
        <w:rPr>
          <w:rFonts w:ascii="Arial" w:cs="Arial" w:eastAsia="Arial" w:hAnsi="Arial"/>
          <w:sz w:val="17"/>
          <w:szCs w:val="17"/>
          <w:color w:val="auto"/>
        </w:rPr>
        <w:t>Product development expenses consist primarily of salaries and employee benefits, stock based compensation, content acquisition</w:t>
      </w:r>
      <w:r>
        <w:rPr>
          <w:rFonts w:ascii="Arial" w:cs="Arial" w:eastAsia="Arial" w:hAnsi="Arial"/>
          <w:sz w:val="17"/>
          <w:szCs w:val="17"/>
          <w:i w:val="1"/>
          <w:iCs w:val="1"/>
          <w:color w:val="auto"/>
        </w:rPr>
        <w:t xml:space="preserve"> </w:t>
      </w:r>
      <w:r>
        <w:rPr>
          <w:rFonts w:ascii="Arial" w:cs="Arial" w:eastAsia="Arial" w:hAnsi="Arial"/>
          <w:sz w:val="17"/>
          <w:szCs w:val="17"/>
          <w:color w:val="auto"/>
        </w:rPr>
        <w:t>costs before technological feasibility is achieved, costs associated with the development of content and expenditures associated with maintaining, developing and operating our training, delivery and administration platforms. In addition, product development expenses are associated with the development of new software feature enhancements and new products. Personnel costs within product development include our systems, application development, and quality assurance teams, product managers, and other personnel associated with content and product development.</w:t>
      </w:r>
    </w:p>
    <w:p>
      <w:pPr>
        <w:spacing w:after="0" w:line="6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consist primarily of salaries, commissions and employee benefits, stock 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travel and lodging, advertising, trade shows, promotions, and related marketing costs. Personnel costs within sales and marketing include our HealthStream Learning and HealthStream Research sales teams, strategic account management, and marketing personnel, as well as our account management group.</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of depreciation of property and equipment, amortization of intangibles considered to</w:t>
      </w:r>
      <w:r>
        <w:rPr>
          <w:rFonts w:ascii="Arial" w:cs="Arial" w:eastAsia="Arial" w:hAnsi="Arial"/>
          <w:sz w:val="18"/>
          <w:szCs w:val="18"/>
          <w:i w:val="1"/>
          <w:iCs w:val="1"/>
          <w:color w:val="auto"/>
        </w:rPr>
        <w:t xml:space="preserve"> </w:t>
      </w:r>
      <w:r>
        <w:rPr>
          <w:rFonts w:ascii="Arial" w:cs="Arial" w:eastAsia="Arial" w:hAnsi="Arial"/>
          <w:sz w:val="18"/>
          <w:szCs w:val="18"/>
          <w:color w:val="auto"/>
        </w:rPr>
        <w:t>have definite lives, amortization of content development fees, and amortization of capitalized software feature enhancements.</w:t>
      </w:r>
    </w:p>
    <w:p>
      <w:pPr>
        <w:spacing w:after="0" w:line="62"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consist primarily of salaries and employee benefits, stock 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employee travel and lodging, facility costs, office expenses, fees for professional services, and other operational expenses. Personnel costs within general and administrative expenses include individuals associated with normal corporate functions (accounting, legal, human resources, administrative, internal information systems, and executive management) as well as personnel who maintain our accreditation status with various organizations.</w:t>
      </w:r>
    </w:p>
    <w:p>
      <w:pPr>
        <w:spacing w:after="0" w:line="80"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i w:val="1"/>
          <w:iCs w:val="1"/>
          <w:color w:val="auto"/>
        </w:rPr>
        <w:t xml:space="preserve">Other Income/Expense. </w:t>
      </w:r>
      <w:r>
        <w:rPr>
          <w:rFonts w:ascii="Arial" w:cs="Arial" w:eastAsia="Arial" w:hAnsi="Arial"/>
          <w:sz w:val="17"/>
          <w:szCs w:val="17"/>
          <w:color w:val="auto"/>
        </w:rPr>
        <w:t>The primary component of other income is interest income related to interest earned on cash and cash equivalents. The primary</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 of other expense is interest expense related to a promissory note, capital leases and our revolving credit facility.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2009 Compared to Three Months Ended June 30, 2008</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increased approximately $1.6 million, or 12.1%, to $14.6 million for the three months ended June 30, 2009 from $13.0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June 30, 2008. Revenues for 2009 consisted of $9.3 million, or 64% of total revenue, for HealthStream Learning and $5.3 million, or 36% of total revenue, for HealthStream Research. In 2008, revenues consisted of $8.2 million, or 63% of total revenue, for HealthStream Learning and $4.8 million, or 37% of total revenue, for HealthStream Research.</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Revenues for HealthStream Learning increased $1.1 million, or 14.0%, over the second quarter of 2008. Revenues from our Internet-based subscription learning products increased by $1.2 million, and were comprised of revenue increases from the HLC of $696,000 and from courseware subscriptions of $505,000. Revenues from our Internet-based subscription products increased 18.0% over the prior year quarter due to a higher number of subscribers and more courseware consumption by more subscribers. Our HLC subscriber base increased to 1,863,000 fully-implemented subscribers and 1,945,000 contracted subscribers at June 30, 2009 compared to 1,639,000 fully-implemented subscribers and 1,758,000 contracted subscribers at June 30, 2008. Revenues associated with implementation, development, and consulting services increased $287,000 over the prior year quarter due to increased courseware development service revenues compared to the prior year. These increases in revenues were partially offset by a decline in revenues from live events, study guides, and other project-based activities, which collectively declined $376,000 from the second quarter of 2008 due to a de-emphasis on live events and other similar project-based services.</w:t>
      </w:r>
    </w:p>
    <w:p>
      <w:pPr>
        <w:spacing w:after="0" w:line="7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Revenues for HealthStream Research increased $428,000, or 8.8%, over the second quarter of 2008. This revenue growth is attributable to increased survey volumes with new and existing customers compared to the prior year quarter. HealthStream Research provides four survey product lines: patient, physician, employee and community.</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increased approximately $365,000, or 7.5%, to $5.2 million for the three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June 30, 2009 from $4.9 million for the three months ended June 30, 2008. Cost of revenues as a percentage of revenues were 35.8%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revenues for the three months ended June 30, 2009 down favorably from 37.4% of revenues for the three months ended June 30, 2008. Cost of revenues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HealthStream Learning increased approximately $159,000 to $2.9 million and approximated 31.2% and 33.7% of revenues for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2009 and 2008, respectively. The expense increase was primarily associated with increased royalties paid by us resulting from growth in courseware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subscription revenues and were partially offset by expense decreases associated with the declines in live events and other project-based revenues. Cost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revenues for HealthStream Research increased approximately $206,000 to $2.3 million and approximated 44.0% and 43.6% of revenues for the three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2009 and 2008, respectively. The increase in cost of revenues for HealthStream Research is primarily a result of the costs associated with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survey volumes compared to the same quarter in the prior year.</w:t>
      </w:r>
    </w:p>
    <w:p>
      <w:pPr>
        <w:spacing w:after="0" w:line="103"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expenses increased approximately $117,000, or 8.8%, to $1.4 million for the three months ended June 30, 2009</w:t>
      </w:r>
      <w:r>
        <w:rPr>
          <w:rFonts w:ascii="Arial" w:cs="Arial" w:eastAsia="Arial" w:hAnsi="Arial"/>
          <w:sz w:val="16"/>
          <w:szCs w:val="16"/>
          <w:i w:val="1"/>
          <w:iCs w:val="1"/>
          <w:color w:val="auto"/>
        </w:rPr>
        <w:t xml:space="preserve"> </w:t>
      </w:r>
      <w:r>
        <w:rPr>
          <w:rFonts w:ascii="Arial" w:cs="Arial" w:eastAsia="Arial" w:hAnsi="Arial"/>
          <w:sz w:val="16"/>
          <w:szCs w:val="16"/>
          <w:color w:val="auto"/>
        </w:rPr>
        <w:t>from $1.3 million for the three months ended June 30, 2008. Product development expenses as a percentage of revenues were 9.9% and 10.2% of revenues for the three months ended June 30, 2009 and 2008, respectively. Product development expenses for the three months ended June 30, 2009 has been reduced by $105,000 to reflect the correction of an error related to software development that should have been capitalized during the first quarter of 2009.</w:t>
      </w:r>
    </w:p>
    <w:p>
      <w:pPr>
        <w:spacing w:after="0" w:line="4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Product development expenses for HealthStream Learning increased approximately $161,000 and approximated 13.4% and 13.3% of revenues for the three months ended June 30, 2009 and 2008, respectively. This expense increase resulted from additional personnel and contract labor associated with maintenance and support of our learning platform products. Product development expenses for HealthStream Research decreased approximately $44,000 and approximated 3.8% and 5.1% of revenues for the three months ended June 30, 2009 and 2008, respectively. The decrease was a result of using internal resources for software development projects which were eligible for capitalization.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decreased approximately $92,000, or 3.4%, to $2.6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2009 from $2.7 million for the three months ended June 30, 2008. Sales and marketing expenses approximated 17.8% and 20.7% of revenues for the three months ended June 30, 2009 and 2008, respectively.</w:t>
      </w:r>
    </w:p>
    <w:p>
      <w:pPr>
        <w:spacing w:after="0" w:line="7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Sales and marketing expenses for HealthStream Learning increased $36,000 and approximated 19.4% and 21.7% of revenues for the three months ended June 30, 2009 and 2008, respectively. This expense increase primarily resulted from additional sales personnel and related expenses and was partially offset by lower travel expenses. Sales and marketing expenses for HealthStream Research decreased approximately $135,000, and approximated 13.6% and 17.5% of revenues for the three months ended June 30, 2009 and 2008, respectively. This decrease resulted primarily from fewer sales and marketing personnel and related expenses when compared to the prior year quarter.</w:t>
      </w:r>
    </w:p>
    <w:p>
      <w:pPr>
        <w:spacing w:after="0" w:line="80" w:lineRule="exact"/>
        <w:rPr>
          <w:sz w:val="20"/>
          <w:szCs w:val="20"/>
          <w:color w:val="auto"/>
        </w:rPr>
      </w:pPr>
    </w:p>
    <w:p>
      <w:pPr>
        <w:jc w:val="both"/>
        <w:ind w:right="100"/>
        <w:spacing w:after="0" w:line="340" w:lineRule="auto"/>
        <w:rPr>
          <w:sz w:val="20"/>
          <w:szCs w:val="20"/>
          <w:color w:val="auto"/>
        </w:rPr>
      </w:pPr>
      <w:r>
        <w:rPr>
          <w:rFonts w:ascii="Arial" w:cs="Arial" w:eastAsia="Arial" w:hAnsi="Arial"/>
          <w:sz w:val="15"/>
          <w:szCs w:val="15"/>
          <w:i w:val="1"/>
          <w:iCs w:val="1"/>
          <w:color w:val="auto"/>
        </w:rPr>
        <w:t xml:space="preserve">Other General and Administrative. </w:t>
      </w:r>
      <w:r>
        <w:rPr>
          <w:rFonts w:ascii="Arial" w:cs="Arial" w:eastAsia="Arial" w:hAnsi="Arial"/>
          <w:sz w:val="15"/>
          <w:szCs w:val="15"/>
          <w:color w:val="auto"/>
        </w:rPr>
        <w:t>Other general and administrative expenses were comparable between periods and approximated $2.2 million for both the</w:t>
      </w:r>
      <w:r>
        <w:rPr>
          <w:rFonts w:ascii="Arial" w:cs="Arial" w:eastAsia="Arial" w:hAnsi="Arial"/>
          <w:sz w:val="15"/>
          <w:szCs w:val="15"/>
          <w:i w:val="1"/>
          <w:iCs w:val="1"/>
          <w:color w:val="auto"/>
        </w:rPr>
        <w:t xml:space="preserve"> </w:t>
      </w:r>
      <w:r>
        <w:rPr>
          <w:rFonts w:ascii="Arial" w:cs="Arial" w:eastAsia="Arial" w:hAnsi="Arial"/>
          <w:sz w:val="15"/>
          <w:szCs w:val="15"/>
          <w:color w:val="auto"/>
        </w:rPr>
        <w:t>three months ended June 30, 2009 and 2008. Other general and administrative expenses as a percentage of revenues decreased to 15.0% for the three months ended June 30, 2009 from 16.8% for the three months ended June 30, 2008. The percentage decrease is a result of the revenue increases mentioned above.</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Other general and administrative expenses for HealthStream Learning increased $22,000 compared to the prior year quarter. Other general and administrative expenses for HealthStream Research increased approximately $85,000 over the prior year quarter, primarily due to recruiting fees and bad debt expense. The unallocated corporate portion of other general and administrative expenses decreased $106,000 from the prior year quarter, primarily due to lower stock based compensation, facility costs, recruiting fees, and travel expense, offset by expense increases associated with additional personnel and related costs.</w:t>
      </w:r>
    </w:p>
    <w:p>
      <w:pPr>
        <w:spacing w:after="0" w:line="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increased approximately $41,000, or 3.4%, to $1.3 million for the three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2009 from $1.2 million for the three months ended June 30, 2008. The increase resulted from depreciation expense associated with capital expenditures.</w:t>
      </w:r>
    </w:p>
    <w:p>
      <w:pPr>
        <w:spacing w:after="0" w:line="16"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i w:val="1"/>
          <w:iCs w:val="1"/>
          <w:color w:val="auto"/>
        </w:rPr>
        <w:t xml:space="preserve">Other Income (Expense). </w:t>
      </w:r>
      <w:r>
        <w:rPr>
          <w:rFonts w:ascii="Arial" w:cs="Arial" w:eastAsia="Arial" w:hAnsi="Arial"/>
          <w:sz w:val="16"/>
          <w:szCs w:val="16"/>
          <w:color w:val="auto"/>
        </w:rPr>
        <w:t>Other income (expense) decreased approximately $25,000, or 108.9%, to an expense of $2,000 for the three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2009 from income of $23,000 for the three months ended June 30, 2008. Interest income decreased $33,000 from the prior year quarter resulting from lower yield rates on cash and cash equivalents. Interest expense decreased $8,000 from the prior year quarter due to reductions in debt and capital lease balances.</w:t>
      </w:r>
    </w:p>
    <w:p>
      <w:pPr>
        <w:spacing w:after="0" w:line="3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Company’s income tax provision primarily consists of the federal alternative minimum tax and state income taxes. Taxable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for 2009 is expected to be substantially offset by the utilization of our net operating loss carryforwards.</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approximately $1.7 million for the three months ended June 30, 2009, up from $739,000 for the three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2008. Net income per share was $0.08 per share for the three months ended June 30, 2009, up from $0.03 per share for the three months ended June 30, 2008. This improvement is a result of the factors mentioned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2009 Compared to Six Months Ended June 30, 2008</w:t>
      </w:r>
    </w:p>
    <w:p>
      <w:pPr>
        <w:spacing w:after="0" w:line="12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increased approximately $3.8 million, or 15.4%, to $28.2 million for the six months ended June 30, 2009 from $24.4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2008. Revenues for 2009 consisted of $18.3 million, or 65% of total revenue, for HealthStream Learning and $9.9 million, or 35% of total revenue, for HealthStream Research. In 2008, revenues consisted of $15.7 million, or 64% of total revenue, for HealthStream Learning and $8.8 million, or 36% of total revenue, for HealthStream Research.</w:t>
      </w:r>
    </w:p>
    <w:p>
      <w:pPr>
        <w:spacing w:after="0" w:line="79"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Revenues for HealthStream Learning increased $2.6 million, or 16.8%, over the first six months of 2008. Revenues from our Internet-based subscription learning products accounted for $2.5 million of the increase, and were comprised of revenue increases from the HLC of $1.3 million and from courseware subscriptions of $1.1 million. Revenues from Internet-based subscription products increased 18.0% over the prior year period due to a higher number of subscribers and more courseware consumption by more subscribers. Our HLC subscriber base increased to 1,863,000 fully-implemented subscribers and 1,945,000 contracted subscribers at June 30, 2009 compared to 1,639,000 fully-implemented subscribers and 1,758,000 contracted subscribers at June 30, 2008. Revenues associated with implementation, development, and consulting services increased $846,000 over the prior year period due to increased courseware development service revenues compared to the prior year. These increases in revenues were partially offset by a decline in revenues from live events, study guides, and other project-based activities, which collectively declined $676,000 from the prior year period due to a de-emphasis on live events and other similar project-based services.</w:t>
      </w:r>
    </w:p>
    <w:p>
      <w:pPr>
        <w:spacing w:after="0" w:line="7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Revenues for HealthStream Research increased $1.1 million, or 12.9%, over the first six months of 2008. This revenue growth is attributable to increased survey volumes with new and existing customers compared to the prior year.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Cost of Revenues (excluding depreciation and amortization). </w:t>
      </w:r>
      <w:r>
        <w:rPr>
          <w:rFonts w:ascii="Arial" w:cs="Arial" w:eastAsia="Arial" w:hAnsi="Arial"/>
          <w:sz w:val="16"/>
          <w:szCs w:val="16"/>
          <w:color w:val="auto"/>
        </w:rPr>
        <w:t>Cost of revenues increased approximately $1.1 million, or 11.8%, to $10.5 million for the six</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June 30, 2009 from $9.4 million for the six months ended June 30, 2008. Cost of revenues as a percentage of revenues were 37.2% of revenues for the six months ended June 30, 2009 down favorably from 38.4% of revenues for the six months ended June 30, 2008. Cost of revenues for HealthStream Learning increased approximately $708,000 to $5.9 million and approximated 32.3% and 33.2% of revenues for the six months ended June 30, 2009 and 2008, respectively. The expense increase was primarily associated with increased royalties paid by us resulting from growth in courseware subscription revenues as well as increased costs to support the growth in implementation, development, and consulting revenues, and was partially offset by expense decreases associated with the declines in live events and other project-based revenues. Cost of revenues for HealthStream Research increased approximately $398,000 to $4.6 million and approximated 46.3% and 47.7% of revenues for the six months ended June 30, 2009 and 2008, respectively. The increase in cost of revenues for HealthStream Research is primarily a result of the costs associated with increased survey volumes compared to the prior year. The decrease in cost of revenues as a percentage of revenues resulted from improved operating efficiencies compared to the same period in the prior year.</w:t>
      </w:r>
    </w:p>
    <w:p>
      <w:pPr>
        <w:spacing w:after="0" w:line="6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approximately $367,000, or 14.0%, to $3.0 million for the six months ended June 30, 2009</w:t>
      </w:r>
      <w:r>
        <w:rPr>
          <w:rFonts w:ascii="Arial" w:cs="Arial" w:eastAsia="Arial" w:hAnsi="Arial"/>
          <w:sz w:val="18"/>
          <w:szCs w:val="18"/>
          <w:i w:val="1"/>
          <w:iCs w:val="1"/>
          <w:color w:val="auto"/>
        </w:rPr>
        <w:t xml:space="preserve"> </w:t>
      </w:r>
      <w:r>
        <w:rPr>
          <w:rFonts w:ascii="Arial" w:cs="Arial" w:eastAsia="Arial" w:hAnsi="Arial"/>
          <w:sz w:val="18"/>
          <w:szCs w:val="18"/>
          <w:color w:val="auto"/>
        </w:rPr>
        <w:t>from $2.6 million for the six months ended June 30, 2008. Product development expenses as a percentage of revenues were 10.6% and 10.7% of revenues for the six months ended June 30, 2009 and 2008, respectively.</w:t>
      </w:r>
    </w:p>
    <w:p>
      <w:pPr>
        <w:spacing w:after="0" w:line="7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Product development expenses for HealthStream Learning increased approximately $361,000 and approximated 13.6% of revenues for both the six months ended June 30, 2009 and 2008. This expense increase resulted from additional personnel and contract labor associated with maintenance and support of our learning platform products. Product development expenses for HealthStream Research increased approximately $6,000 and approximated 5.0% and 5.6% of revenues for the six months ended June 30, 2009 and 2008, respectively.</w:t>
      </w:r>
    </w:p>
    <w:p>
      <w:pPr>
        <w:spacing w:after="0" w:line="79"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Sales and marketing expenses, including personnel costs, increased approximately $64,000, or 1.2%, and approximated $5.3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both the six months ended June 30, 2009 and 2008. Sales and marketing expenses approximated 18.8% and 21.5% of revenues for the six months ended June 30, 2009 and 2008, respectively. The percentage decrease is a result of the revenue increases mentioned above.</w:t>
      </w:r>
    </w:p>
    <w:p>
      <w:pPr>
        <w:spacing w:after="0" w:line="5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Sales and marketing expenses for HealthStream Learning increased $266,000 and approximated 19.9% and 21.6% of revenues for the six months ended June 30, 2009 and 2008, respectively. This expense increase primarily resulted from additional sales personnel and related expenses. Sales and marketing expenses for HealthStream Research decreased approximately $220,000, and approximated 15.5% and 19.9% of revenues for the six months ended June 30, 2009 and 2008, respectively. This decrease resulted primarily from fewer sales and marketing personnel and related expenses when compared to the prior year.</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Other General and Administrative. </w:t>
      </w:r>
      <w:r>
        <w:rPr>
          <w:rFonts w:ascii="Arial" w:cs="Arial" w:eastAsia="Arial" w:hAnsi="Arial"/>
          <w:sz w:val="18"/>
          <w:szCs w:val="18"/>
          <w:color w:val="auto"/>
        </w:rPr>
        <w:t>Other general and administrative expenses increased approximately $141,000, or 3.6%, and approximated $4.1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2009 compared to $4.0 million for the six months ended June 30, 2008. Other general and administrative expenses as a percentage of revenues decreased to 14.5% for the six months ended June 30, 2009 from 16.2% for the six months ended June 30, 2008. The percentage decrease is a result of the revenue increases mentioned above.</w:t>
      </w:r>
    </w:p>
    <w:p>
      <w:pPr>
        <w:spacing w:after="0" w:line="7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Other general and administrative expenses for HealthStream Learning increased $163,000 compared to the prior year period, primarily due to recruiting fees, bad debt expense, and office expenses. Other general and administrative expenses for HealthStream Research increased approximately $105,000 over the prior year period, primarily due to recruiting fees, bad debt expense, and office expenses. The unallocated corporate portion of other general and administrative expenses decreased $127,000 from the prior year period, primarily due to lower stock based compensation, facility costs, recruiting fees, and travel, which were partially offset by expense increases associated with additional personnel and related costs.</w:t>
      </w:r>
    </w:p>
    <w:p>
      <w:pPr>
        <w:spacing w:after="0" w:line="5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increased approximately $61,000, or 2.5%, to $2.5 million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2009 from $2.4 million for the six months ended June 30, 2008. The increase resulted from depreciation expense associated with capital expenditures.</w:t>
      </w:r>
    </w:p>
    <w:p>
      <w:pPr>
        <w:spacing w:after="0" w:line="16"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i w:val="1"/>
          <w:iCs w:val="1"/>
          <w:color w:val="auto"/>
        </w:rPr>
        <w:t xml:space="preserve">Other Income (Expense). </w:t>
      </w:r>
      <w:r>
        <w:rPr>
          <w:rFonts w:ascii="Arial" w:cs="Arial" w:eastAsia="Arial" w:hAnsi="Arial"/>
          <w:sz w:val="16"/>
          <w:szCs w:val="16"/>
          <w:color w:val="auto"/>
        </w:rPr>
        <w:t>Other income (expense) decreased approximately $48,000, or 106.6%, to an expense of $3,000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2009 from income of $45,000 for the six months ended June 30, 2008. Interest income decreased $70,000 from the prior year period resulting from lower yield rates on cash and cash equivalents. Interest expense decreased $22,000 from the prior year period due to reductions in debt and capital lease balances.</w:t>
      </w:r>
    </w:p>
    <w:p>
      <w:pPr>
        <w:spacing w:after="0" w:line="3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Company’s income tax provision primarily consists of the federal alternative minimum tax and state income taxes. Taxable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for 2009 is expected to be substantially offset by the utilization of our net operating loss carryforwards.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approximately $2.6 million for the six months ended June 30, 2009, up from $805,000 for the six months ended June 30, 2008.</w:t>
      </w:r>
      <w:r>
        <w:rPr>
          <w:rFonts w:ascii="Arial" w:cs="Arial" w:eastAsia="Arial" w:hAnsi="Arial"/>
          <w:sz w:val="18"/>
          <w:szCs w:val="18"/>
          <w:i w:val="1"/>
          <w:iCs w:val="1"/>
          <w:color w:val="auto"/>
        </w:rPr>
        <w:t xml:space="preserve"> </w:t>
      </w:r>
      <w:r>
        <w:rPr>
          <w:rFonts w:ascii="Arial" w:cs="Arial" w:eastAsia="Arial" w:hAnsi="Arial"/>
          <w:sz w:val="18"/>
          <w:szCs w:val="18"/>
          <w:color w:val="auto"/>
        </w:rPr>
        <w:t>Net income per share was $0.12 per share for the six months ended June 30, 2009, up from $0.04 per share for the six months ended June 30, 2008. This improvement is a result of the factors mentioned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Net cash provided by operating activities was approximately $5.9 million and $4.1 million during the six months ended June 30, 2009 and 2008, respectively. Our primary sources of cash were generated from receipts from the sales of our products and services. Our days sales outstanding (“DSO”) which we calculate by dividing the accounts receivable balance, excluding unbilled and other receivables, by average daily revenues for the quarter, approximated 58 days for the second quarter of 2009 compared to 48 days for the second quarter of 2008. DSO for the second quarter of 2009 has improved compared to</w:t>
      </w:r>
    </w:p>
    <w:p>
      <w:pPr>
        <w:spacing w:after="0" w:line="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69 days for the first quarter of 2009. The increase over the prior year is due to slower payment processing by one of our project-based customers. The primary uses of cash to fund our operations for the six months ended June 30, 2009 included personnel expenses, sales commissions, royalty payments, payments for contract labor and other direct expenses associated with delivery of our products and services, and general corporate expenses. The increase in accounts receivable negatively impacted our cash flows from operations for the six months ended June 30, 2009.</w:t>
      </w:r>
    </w:p>
    <w:p>
      <w:pPr>
        <w:spacing w:after="0" w:line="69"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Net cash used in investing activities was approximately $1.4 million and $779,000 for the six months ended June 30, 2009 and 2008, respectively. The primary uses of cash for the six months ended June 30, 2009 were associated with property and equipment purchases of $722,000 and capitalized software feature enhancements of $665,000. These uses of cash were associated with technology investments in our platform products.</w:t>
      </w:r>
    </w:p>
    <w:p>
      <w:pPr>
        <w:spacing w:after="0" w:line="57"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Cash used in financing activities was approximately $373,000 and $1.2 million for the six months ended June 30, 2009 and 2008, respectively. The primary uses of cash for the six months ended June 30, 2009 related to payments under a promissory note and capital lease obligations. The primary uses of cash for the six months ended June 30, 2008 related to purchases of our common stock and payments under a promissory note and capital lease obligations.</w:t>
      </w:r>
    </w:p>
    <w:p>
      <w:pPr>
        <w:spacing w:after="0" w:line="3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revenues increased and our operating income improved over the prior year period, and our balance sheet reflects positive working capital of $4.4 million at June 30, 2009. Current assets increased approximately $5.5 million during the first six months of 2009 primarily due to increases in cash balances, accounts receivable, and prepaid royalties, while current liabilities increased approximately $2.3 million during the first six months of 2009 resulting primarily from increases in deferred revenue and accrued compensation. Our primary source of liquidity was $8.3 million of cash and cash equivalents, restricted cash, and interest receivable. We also have renewed our $15.0 million revolving credit facility loan agreement through July 21, 2011, all of which was available at June 30, 2009.</w:t>
      </w:r>
    </w:p>
    <w:p>
      <w:pPr>
        <w:spacing w:after="0" w:line="8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believe that our existing cash and cash equivalents, restricted cash, related interest receivable, cash generated from operations, and available borrowings under our revolving credit facility will be sufficient to meet anticipated cash needs for working capital, new product development and capital expenditures for at least the next 12 months. As part of our growth strategy, we review possible strategic alliances and acquisitions that complement our products and services. We anticipate that future strategic alliances and acquisitions, if any, would be effected through a combination of stock and cash consideration. We may need to raise additional capital through the issuance of equity or debt securities and/or borrowings under our revolving credit facility to finance any future acquisitions. The issuance of our stock as consideration for an acquisition would have a dilutive effect and could adversely affect our stock price. The credit markets have been experiencing extreme volatility and disruption,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are exposed to market risk from changes in interest rates. We do not have any foreign currency exchange rate risk or commodity price risk. As of June 30, 2009, our outstanding indebtedness included a promissory note of approximately $671,000 and approximately $19,000 of capital lease obligations. We may become subject to interest rate market risk associated with borrowings under our revolving credit facility, which was renewed through July 21, 2011. Effective with the July 2009 renewal of our revolving credit facility, the new interest rate will be based on 30 Day LIBOR plus a margin of either 190 or 220 basis points determined in accordance with a pricing grid, but has a minimum interest rate of not less than three percent. We are also exposed to market risk with respect to our cash balances. At June 30, 2009, the Company had cash and cash equivalents, restricted cash, and related interest receivable totaling approximately $8.3 million. Current investment rates of return approximate 1.00% — 1.50%. Assuming a 1.25% rate of return on $8.3 million, a hypothetical 10% decrease in interest rates would decrease interest income and decrease net income on an annualized basis by approximately $10,400.</w:t>
      </w:r>
    </w:p>
    <w:p>
      <w:pPr>
        <w:spacing w:after="0" w:line="58"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4T.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chief executive and principal financial officer, or persons performing similar functions,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period covered by this Quarterly Report that has materially affected, or that is reasonably likely to materially affect, HealthStream’s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May 28, 2009, the Company held its Annual Meeting of Shareholders. At the Annual Meeting, the shareholders of the Company elected the following persons as Class III directors to serve until the Annual Meeting of Shareholders in 2012 and until such time as their respective successors are duly elected and qualified, with the number of votes cast for, or withheld as set forth opposite their names.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Votes</w:t>
            </w:r>
          </w:p>
        </w:tc>
      </w:tr>
      <w:tr>
        <w:trPr>
          <w:trHeight w:val="123"/>
        </w:trPr>
        <w:tc>
          <w:tcPr>
            <w:tcW w:w="20" w:type="dxa"/>
            <w:vAlign w:val="bottom"/>
          </w:tcPr>
          <w:p>
            <w:pPr>
              <w:spacing w:after="0"/>
              <w:rPr>
                <w:sz w:val="10"/>
                <w:szCs w:val="10"/>
                <w:color w:val="auto"/>
              </w:rPr>
            </w:pPr>
          </w:p>
        </w:tc>
        <w:tc>
          <w:tcPr>
            <w:tcW w:w="77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40" w:type="dxa"/>
            <w:vAlign w:val="bottom"/>
          </w:tcPr>
          <w:p>
            <w:pPr>
              <w:jc w:val="center"/>
              <w:ind w:left="441"/>
              <w:spacing w:after="0" w:line="123" w:lineRule="exact"/>
              <w:rPr>
                <w:sz w:val="20"/>
                <w:szCs w:val="20"/>
                <w:color w:val="auto"/>
              </w:rPr>
            </w:pPr>
            <w:r>
              <w:rPr>
                <w:rFonts w:ascii="Arial" w:cs="Arial" w:eastAsia="Arial" w:hAnsi="Arial"/>
                <w:sz w:val="14"/>
                <w:szCs w:val="14"/>
                <w:color w:val="auto"/>
                <w:w w:val="95"/>
              </w:rPr>
              <w:t>Withheld</w:t>
            </w:r>
          </w:p>
        </w:tc>
      </w:tr>
      <w:tr>
        <w:trPr>
          <w:trHeight w:val="167"/>
        </w:trPr>
        <w:tc>
          <w:tcPr>
            <w:tcW w:w="20" w:type="dxa"/>
            <w:vAlign w:val="bottom"/>
          </w:tcPr>
          <w:p>
            <w:pPr>
              <w:spacing w:after="0"/>
              <w:rPr>
                <w:sz w:val="14"/>
                <w:szCs w:val="14"/>
                <w:color w:val="auto"/>
              </w:rPr>
            </w:pPr>
          </w:p>
        </w:tc>
        <w:tc>
          <w:tcPr>
            <w:tcW w:w="778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Nominee</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For</w:t>
            </w:r>
          </w:p>
        </w:tc>
        <w:tc>
          <w:tcPr>
            <w:tcW w:w="2240" w:type="dxa"/>
            <w:vAlign w:val="bottom"/>
            <w:tcBorders>
              <w:bottom w:val="single" w:sz="8" w:color="auto"/>
            </w:tcBorders>
          </w:tcPr>
          <w:p>
            <w:pPr>
              <w:jc w:val="center"/>
              <w:ind w:left="421"/>
              <w:spacing w:after="0"/>
              <w:rPr>
                <w:sz w:val="20"/>
                <w:szCs w:val="20"/>
                <w:color w:val="auto"/>
              </w:rPr>
            </w:pPr>
            <w:r>
              <w:rPr>
                <w:rFonts w:ascii="Arial" w:cs="Arial" w:eastAsia="Arial" w:hAnsi="Arial"/>
                <w:sz w:val="14"/>
                <w:szCs w:val="14"/>
                <w:color w:val="auto"/>
                <w:w w:val="97"/>
              </w:rPr>
              <w:t>Authority/Abstained</w:t>
            </w:r>
          </w:p>
        </w:tc>
      </w:tr>
      <w:tr>
        <w:trPr>
          <w:trHeight w:val="209"/>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Robert A. Frist, Jr.</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19,770,707</w:t>
            </w:r>
          </w:p>
        </w:tc>
        <w:tc>
          <w:tcPr>
            <w:tcW w:w="2240" w:type="dxa"/>
            <w:vAlign w:val="bottom"/>
          </w:tcPr>
          <w:p>
            <w:pPr>
              <w:jc w:val="center"/>
              <w:ind w:left="441"/>
              <w:spacing w:after="0"/>
              <w:rPr>
                <w:sz w:val="20"/>
                <w:szCs w:val="20"/>
                <w:color w:val="auto"/>
              </w:rPr>
            </w:pPr>
            <w:r>
              <w:rPr>
                <w:rFonts w:ascii="Arial" w:cs="Arial" w:eastAsia="Arial" w:hAnsi="Arial"/>
                <w:sz w:val="18"/>
                <w:szCs w:val="18"/>
                <w:color w:val="auto"/>
                <w:w w:val="89"/>
              </w:rPr>
              <w:t>1,076,124</w:t>
            </w: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color w:val="auto"/>
              </w:rPr>
              <w:t>Frank Gordon</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19,760,872</w:t>
            </w:r>
          </w:p>
        </w:tc>
        <w:tc>
          <w:tcPr>
            <w:tcW w:w="2240" w:type="dxa"/>
            <w:vAlign w:val="bottom"/>
          </w:tcPr>
          <w:p>
            <w:pPr>
              <w:jc w:val="center"/>
              <w:ind w:left="441"/>
              <w:spacing w:after="0"/>
              <w:rPr>
                <w:sz w:val="20"/>
                <w:szCs w:val="20"/>
                <w:color w:val="auto"/>
              </w:rPr>
            </w:pPr>
            <w:r>
              <w:rPr>
                <w:rFonts w:ascii="Arial" w:cs="Arial" w:eastAsia="Arial" w:hAnsi="Arial"/>
                <w:sz w:val="18"/>
                <w:szCs w:val="18"/>
                <w:color w:val="auto"/>
                <w:w w:val="89"/>
              </w:rPr>
              <w:t>1,085,959</w:t>
            </w:r>
          </w:p>
        </w:tc>
      </w:tr>
    </w:tbl>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shareholders of the Company ratified the appointment of Ernst and Young LLP to serve as the Company’s independent registered public accounting firm for the fiscal year ending December 31, 2009, with the number of votes cast for, against, or withheld as set forth below: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Votes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3780" w:type="dxa"/>
            <w:vAlign w:val="bottom"/>
            <w:tcBorders>
              <w:top w:val="single" w:sz="8" w:color="auto"/>
            </w:tcBorders>
          </w:tcPr>
          <w:p>
            <w:pPr>
              <w:spacing w:after="0"/>
              <w:rPr>
                <w:sz w:val="10"/>
                <w:szCs w:val="10"/>
                <w:color w:val="auto"/>
              </w:rPr>
            </w:pPr>
          </w:p>
        </w:tc>
        <w:tc>
          <w:tcPr>
            <w:tcW w:w="3760" w:type="dxa"/>
            <w:vAlign w:val="bottom"/>
            <w:tcBorders>
              <w:top w:val="single" w:sz="8" w:color="auto"/>
            </w:tcBorders>
          </w:tcPr>
          <w:p>
            <w:pPr>
              <w:spacing w:after="0"/>
              <w:rPr>
                <w:sz w:val="10"/>
                <w:szCs w:val="10"/>
                <w:color w:val="auto"/>
              </w:rPr>
            </w:pPr>
          </w:p>
        </w:tc>
        <w:tc>
          <w:tcPr>
            <w:tcW w:w="3880" w:type="dxa"/>
            <w:vAlign w:val="bottom"/>
            <w:tcBorders>
              <w:top w:val="single" w:sz="8" w:color="auto"/>
            </w:tcBorders>
          </w:tcPr>
          <w:p>
            <w:pPr>
              <w:jc w:val="center"/>
              <w:ind w:left="422"/>
              <w:spacing w:after="0" w:line="123" w:lineRule="exact"/>
              <w:rPr>
                <w:sz w:val="20"/>
                <w:szCs w:val="20"/>
                <w:color w:val="auto"/>
              </w:rPr>
            </w:pPr>
            <w:r>
              <w:rPr>
                <w:rFonts w:ascii="Arial" w:cs="Arial" w:eastAsia="Arial" w:hAnsi="Arial"/>
                <w:sz w:val="14"/>
                <w:szCs w:val="14"/>
                <w:color w:val="auto"/>
                <w:w w:val="99"/>
              </w:rPr>
              <w:t>Withheld</w:t>
            </w:r>
          </w:p>
        </w:tc>
      </w:tr>
      <w:tr>
        <w:trPr>
          <w:trHeight w:val="167"/>
        </w:trPr>
        <w:tc>
          <w:tcPr>
            <w:tcW w:w="3780" w:type="dxa"/>
            <w:vAlign w:val="bottom"/>
            <w:tcBorders>
              <w:bottom w:val="single" w:sz="8" w:color="auto"/>
            </w:tcBorders>
          </w:tcPr>
          <w:p>
            <w:pPr>
              <w:jc w:val="center"/>
              <w:ind w:right="339"/>
              <w:spacing w:after="0"/>
              <w:rPr>
                <w:sz w:val="20"/>
                <w:szCs w:val="20"/>
                <w:color w:val="auto"/>
              </w:rPr>
            </w:pPr>
            <w:r>
              <w:rPr>
                <w:rFonts w:ascii="Arial" w:cs="Arial" w:eastAsia="Arial" w:hAnsi="Arial"/>
                <w:sz w:val="14"/>
                <w:szCs w:val="14"/>
                <w:color w:val="auto"/>
                <w:w w:val="95"/>
              </w:rPr>
              <w:t>For</w:t>
            </w: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Against</w:t>
            </w:r>
          </w:p>
        </w:tc>
        <w:tc>
          <w:tcPr>
            <w:tcW w:w="3880" w:type="dxa"/>
            <w:vAlign w:val="bottom"/>
            <w:tcBorders>
              <w:bottom w:val="single" w:sz="8" w:color="auto"/>
            </w:tcBorders>
          </w:tcPr>
          <w:p>
            <w:pPr>
              <w:jc w:val="center"/>
              <w:ind w:left="422"/>
              <w:spacing w:after="0"/>
              <w:rPr>
                <w:sz w:val="20"/>
                <w:szCs w:val="20"/>
                <w:color w:val="auto"/>
              </w:rPr>
            </w:pPr>
            <w:r>
              <w:rPr>
                <w:rFonts w:ascii="Arial" w:cs="Arial" w:eastAsia="Arial" w:hAnsi="Arial"/>
                <w:sz w:val="14"/>
                <w:szCs w:val="14"/>
                <w:color w:val="auto"/>
                <w:w w:val="97"/>
              </w:rPr>
              <w:t>Authority/Abstained</w:t>
            </w:r>
          </w:p>
        </w:tc>
      </w:tr>
      <w:tr>
        <w:trPr>
          <w:trHeight w:val="224"/>
        </w:trPr>
        <w:tc>
          <w:tcPr>
            <w:tcW w:w="3780" w:type="dxa"/>
            <w:vAlign w:val="bottom"/>
          </w:tcPr>
          <w:p>
            <w:pPr>
              <w:jc w:val="right"/>
              <w:ind w:right="1599"/>
              <w:spacing w:after="0"/>
              <w:rPr>
                <w:sz w:val="20"/>
                <w:szCs w:val="20"/>
                <w:color w:val="auto"/>
              </w:rPr>
            </w:pPr>
            <w:r>
              <w:rPr>
                <w:rFonts w:ascii="Arial" w:cs="Arial" w:eastAsia="Arial" w:hAnsi="Arial"/>
                <w:sz w:val="18"/>
                <w:szCs w:val="18"/>
                <w:color w:val="auto"/>
              </w:rPr>
              <w:t>20,805,230</w:t>
            </w:r>
          </w:p>
        </w:tc>
        <w:tc>
          <w:tcPr>
            <w:tcW w:w="3760" w:type="dxa"/>
            <w:vAlign w:val="bottom"/>
          </w:tcPr>
          <w:p>
            <w:pPr>
              <w:jc w:val="right"/>
              <w:ind w:right="1519"/>
              <w:spacing w:after="0"/>
              <w:rPr>
                <w:sz w:val="20"/>
                <w:szCs w:val="20"/>
                <w:color w:val="auto"/>
              </w:rPr>
            </w:pPr>
            <w:r>
              <w:rPr>
                <w:rFonts w:ascii="Arial" w:cs="Arial" w:eastAsia="Arial" w:hAnsi="Arial"/>
                <w:sz w:val="18"/>
                <w:szCs w:val="18"/>
                <w:color w:val="auto"/>
              </w:rPr>
              <w:t>37,001</w:t>
            </w:r>
          </w:p>
        </w:tc>
        <w:tc>
          <w:tcPr>
            <w:tcW w:w="3880" w:type="dxa"/>
            <w:vAlign w:val="bottom"/>
          </w:tcPr>
          <w:p>
            <w:pPr>
              <w:jc w:val="center"/>
              <w:ind w:left="402"/>
              <w:spacing w:after="0"/>
              <w:rPr>
                <w:sz w:val="20"/>
                <w:szCs w:val="20"/>
                <w:color w:val="auto"/>
              </w:rPr>
            </w:pPr>
            <w:r>
              <w:rPr>
                <w:rFonts w:ascii="Arial" w:cs="Arial" w:eastAsia="Arial" w:hAnsi="Arial"/>
                <w:sz w:val="18"/>
                <w:szCs w:val="18"/>
                <w:color w:val="auto"/>
                <w:w w:val="88"/>
              </w:rPr>
              <w:t>4,600</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31.1  — Certification of the Chief Executive Officer Pursuant to Section 302 of the Sarbanes-Oxley Act of 2002</w:t>
      </w:r>
    </w:p>
    <w:p>
      <w:pPr>
        <w:spacing w:after="0" w:line="13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31.2  — Certification of the Principal Financial Officer Pursuant to Section 302 of the Sarbanes-Oxley Act of 2002</w:t>
      </w:r>
    </w:p>
    <w:p>
      <w:pPr>
        <w:spacing w:after="0" w:line="13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32.1  — Certification Pursuant to 18 U.S.C. Section 1350, as Adopted Pursuant to Section 906 of the Sarbanes-Oxley Act of 2002</w:t>
      </w:r>
    </w:p>
    <w:p>
      <w:pPr>
        <w:spacing w:after="0" w:line="130"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32.2  — Certification Pursuant to 18 U.S.C. Section 1350, as Adopted Pursuant to Section 906 of the Sarbanes-Oxley Act of 2002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right="84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6460" w:type="dxa"/>
            <w:vAlign w:val="bottom"/>
            <w:gridSpan w:val="2"/>
          </w:tcPr>
          <w:p>
            <w:pPr>
              <w:ind w:left="2080"/>
              <w:spacing w:after="0"/>
              <w:rPr>
                <w:sz w:val="20"/>
                <w:szCs w:val="20"/>
                <w:color w:val="auto"/>
              </w:rPr>
            </w:pPr>
            <w:r>
              <w:rPr>
                <w:rFonts w:ascii="Arial" w:cs="Arial" w:eastAsia="Arial" w:hAnsi="Arial"/>
                <w:sz w:val="18"/>
                <w:szCs w:val="18"/>
                <w:color w:val="auto"/>
              </w:rPr>
              <w:t>HEALTHSTREAM, INC.</w:t>
            </w:r>
          </w:p>
        </w:tc>
        <w:tc>
          <w:tcPr>
            <w:tcW w:w="1680" w:type="dxa"/>
            <w:vAlign w:val="bottom"/>
          </w:tcPr>
          <w:p>
            <w:pPr>
              <w:spacing w:after="0"/>
              <w:rPr>
                <w:sz w:val="20"/>
                <w:szCs w:val="20"/>
                <w:color w:val="auto"/>
              </w:rPr>
            </w:pPr>
          </w:p>
        </w:tc>
      </w:tr>
      <w:tr>
        <w:trPr>
          <w:trHeight w:val="432"/>
        </w:trPr>
        <w:tc>
          <w:tcPr>
            <w:tcW w:w="3280" w:type="dxa"/>
            <w:vAlign w:val="bottom"/>
          </w:tcPr>
          <w:p>
            <w:pPr>
              <w:spacing w:after="0"/>
              <w:rPr>
                <w:sz w:val="20"/>
                <w:szCs w:val="20"/>
                <w:color w:val="auto"/>
              </w:rPr>
            </w:pPr>
            <w:r>
              <w:rPr>
                <w:rFonts w:ascii="Arial" w:cs="Arial" w:eastAsia="Arial" w:hAnsi="Arial"/>
                <w:sz w:val="18"/>
                <w:szCs w:val="18"/>
                <w:color w:val="auto"/>
              </w:rPr>
              <w:t>August 10, 2009</w:t>
            </w:r>
          </w:p>
        </w:tc>
        <w:tc>
          <w:tcPr>
            <w:tcW w:w="6460" w:type="dxa"/>
            <w:vAlign w:val="bottom"/>
            <w:gridSpan w:val="2"/>
          </w:tcPr>
          <w:p>
            <w:pPr>
              <w:ind w:left="2080"/>
              <w:spacing w:after="0"/>
              <w:rPr>
                <w:sz w:val="20"/>
                <w:szCs w:val="20"/>
                <w:color w:val="auto"/>
              </w:rPr>
            </w:pPr>
            <w:r>
              <w:rPr>
                <w:rFonts w:ascii="Arial" w:cs="Arial" w:eastAsia="Arial" w:hAnsi="Arial"/>
                <w:sz w:val="18"/>
                <w:szCs w:val="18"/>
                <w:color w:val="auto"/>
              </w:rPr>
              <w:t>By: /s/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c>
          <w:tcPr>
            <w:tcW w:w="1680" w:type="dxa"/>
            <w:vAlign w:val="bottom"/>
          </w:tcPr>
          <w:p>
            <w:pPr>
              <w:spacing w:after="0"/>
              <w:rPr>
                <w:sz w:val="24"/>
                <w:szCs w:val="24"/>
                <w:color w:val="auto"/>
              </w:rPr>
            </w:pPr>
          </w:p>
        </w:tc>
      </w:tr>
      <w:tr>
        <w:trPr>
          <w:trHeight w:val="195"/>
        </w:trPr>
        <w:tc>
          <w:tcPr>
            <w:tcW w:w="32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Gerard M. Hayden, Jr.</w:t>
            </w:r>
          </w:p>
        </w:tc>
        <w:tc>
          <w:tcPr>
            <w:tcW w:w="1680" w:type="dxa"/>
            <w:vAlign w:val="bottom"/>
          </w:tcPr>
          <w:p>
            <w:pPr>
              <w:spacing w:after="0"/>
              <w:rPr>
                <w:sz w:val="16"/>
                <w:szCs w:val="16"/>
                <w:color w:val="auto"/>
              </w:rPr>
            </w:pPr>
          </w:p>
        </w:tc>
      </w:tr>
      <w:tr>
        <w:trPr>
          <w:trHeight w:val="230"/>
        </w:trPr>
        <w:tc>
          <w:tcPr>
            <w:tcW w:w="3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680" w:type="dxa"/>
            <w:vAlign w:val="bottom"/>
          </w:tcPr>
          <w:p>
            <w:pPr>
              <w:spacing w:after="0"/>
              <w:rPr>
                <w:sz w:val="20"/>
                <w:szCs w:val="20"/>
                <w:color w:val="auto"/>
              </w:rPr>
            </w:pPr>
          </w:p>
        </w:tc>
      </w:tr>
      <w:tr>
        <w:trPr>
          <w:trHeight w:val="405"/>
        </w:trPr>
        <w:tc>
          <w:tcPr>
            <w:tcW w:w="3280" w:type="dxa"/>
            <w:vAlign w:val="bottom"/>
          </w:tcPr>
          <w:p>
            <w:pPr>
              <w:spacing w:after="0"/>
              <w:rPr>
                <w:sz w:val="24"/>
                <w:szCs w:val="24"/>
                <w:color w:val="auto"/>
              </w:rPr>
            </w:pPr>
          </w:p>
        </w:tc>
        <w:tc>
          <w:tcPr>
            <w:tcW w:w="6460" w:type="dxa"/>
            <w:vAlign w:val="bottom"/>
            <w:gridSpan w:val="2"/>
          </w:tcPr>
          <w:p>
            <w:pPr>
              <w:jc w:val="right"/>
              <w:ind w:right="3850"/>
              <w:spacing w:after="0"/>
              <w:rPr>
                <w:sz w:val="20"/>
                <w:szCs w:val="20"/>
                <w:color w:val="auto"/>
              </w:rPr>
            </w:pPr>
            <w:r>
              <w:rPr>
                <w:rFonts w:ascii="Arial" w:cs="Arial" w:eastAsia="Arial" w:hAnsi="Arial"/>
                <w:sz w:val="18"/>
                <w:szCs w:val="18"/>
                <w:color w:val="auto"/>
              </w:rPr>
              <w:t>17</w:t>
            </w:r>
          </w:p>
        </w:tc>
        <w:tc>
          <w:tcPr>
            <w:tcW w:w="1680" w:type="dxa"/>
            <w:vAlign w:val="bottom"/>
          </w:tcPr>
          <w:p>
            <w:pPr>
              <w:spacing w:after="0"/>
              <w:rPr>
                <w:sz w:val="24"/>
                <w:szCs w:val="24"/>
                <w:color w:val="auto"/>
              </w:rPr>
            </w:pPr>
          </w:p>
        </w:tc>
      </w:tr>
      <w:tr>
        <w:trPr>
          <w:trHeight w:val="226"/>
        </w:trPr>
        <w:tc>
          <w:tcPr>
            <w:tcW w:w="328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HEALTHSTREAM, INC.</w:t>
      </w:r>
    </w:p>
    <w:p>
      <w:pPr>
        <w:spacing w:after="0" w:line="11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the Chief Executive Officer Pursuant to Section 302 of the Sarbanes-Oxley Act of 2002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the Principal Financial Officer Pursuant to Section 302 of the Sarbanes-Oxley Act of 2002</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32.1  Certification Pursuant to 18 U.S.C. Section 1350, as Adopted Pursuant to Section 906 of the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32.2  Certification Pursuant to 18 U.S.C. Section 1350, as Adopted Pursuant to Section 906 of the Sarbanes-Oxley Act of 2002</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219"/>
          </w:cols>
          <w:pgMar w:left="240" w:top="419" w:right="1440"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u w:val="single" w:color="auto"/>
          <w:color w:val="auto"/>
        </w:rPr>
        <w:t>Exhibit 31.1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117"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40" w:firstLine="4"/>
        <w:spacing w:after="0" w:line="264" w:lineRule="auto"/>
        <w:tabs>
          <w:tab w:leader="none" w:pos="64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65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80" w:firstLine="4"/>
        <w:spacing w:after="0" w:line="308" w:lineRule="auto"/>
        <w:tabs>
          <w:tab w:leader="none" w:pos="645"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right="100" w:firstLine="4"/>
        <w:spacing w:after="0" w:line="264" w:lineRule="auto"/>
        <w:tabs>
          <w:tab w:leader="none" w:pos="655"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
        <w:spacing w:after="0" w:line="277" w:lineRule="auto"/>
        <w:tabs>
          <w:tab w:leader="none" w:pos="645"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40" w:firstLine="4"/>
        <w:spacing w:after="0" w:line="277" w:lineRule="auto"/>
        <w:tabs>
          <w:tab w:leader="none" w:pos="655"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10,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ROBERT A</w:t>
            </w:r>
            <w:r>
              <w:rPr>
                <w:rFonts w:ascii="Arial" w:cs="Arial" w:eastAsia="Arial" w:hAnsi="Arial"/>
                <w:sz w:val="18"/>
                <w:szCs w:val="18"/>
                <w:color w:val="auto"/>
              </w:rPr>
              <w:t xml:space="preserve">. </w:t>
            </w:r>
            <w:r>
              <w:rPr>
                <w:rFonts w:ascii="Arial" w:cs="Arial" w:eastAsia="Arial" w:hAnsi="Arial"/>
                <w:sz w:val="12"/>
                <w:szCs w:val="12"/>
                <w:color w:val="auto"/>
              </w:rPr>
              <w:t>FRIST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Robert A. Frist, Jr.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5"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u w:val="single" w:color="auto"/>
          <w:color w:val="auto"/>
        </w:rPr>
        <w:t>Exhibit 31.2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117"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460" w:right="40" w:firstLine="4"/>
        <w:spacing w:after="0" w:line="264" w:lineRule="auto"/>
        <w:tabs>
          <w:tab w:leader="none" w:pos="64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60" w:right="20" w:firstLine="4"/>
        <w:spacing w:after="0" w:line="264" w:lineRule="auto"/>
        <w:tabs>
          <w:tab w:leader="none" w:pos="65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80" w:firstLine="4"/>
        <w:spacing w:after="0" w:line="308" w:lineRule="auto"/>
        <w:tabs>
          <w:tab w:leader="none" w:pos="645"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60" w:right="100" w:firstLine="4"/>
        <w:spacing w:after="0" w:line="264" w:lineRule="auto"/>
        <w:tabs>
          <w:tab w:leader="none" w:pos="655"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60" w:firstLine="4"/>
        <w:spacing w:after="0" w:line="277" w:lineRule="auto"/>
        <w:tabs>
          <w:tab w:leader="none" w:pos="64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60" w:right="40" w:firstLine="4"/>
        <w:spacing w:after="0" w:line="277" w:lineRule="auto"/>
        <w:tabs>
          <w:tab w:leader="none" w:pos="655"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August 10, 2009</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Gerard M. Hayden, Jr.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665" w:right="23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u w:val="single" w:color="auto"/>
          <w:color w:val="auto"/>
        </w:rPr>
        <w:t>Exhibit 32.1</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June 30, 2009,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73"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ROBERT A</w:t>
      </w:r>
      <w:r>
        <w:rPr>
          <w:rFonts w:ascii="Arial" w:cs="Arial" w:eastAsia="Arial" w:hAnsi="Arial"/>
          <w:sz w:val="18"/>
          <w:szCs w:val="18"/>
          <w:color w:val="auto"/>
        </w:rPr>
        <w:t xml:space="preserve">. </w:t>
      </w:r>
      <w:r>
        <w:rPr>
          <w:rFonts w:ascii="Arial" w:cs="Arial" w:eastAsia="Arial" w:hAnsi="Arial"/>
          <w:sz w:val="12"/>
          <w:szCs w:val="12"/>
          <w:color w:val="auto"/>
        </w:rPr>
        <w:t>FRIST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10, 2009</w:t>
      </w:r>
    </w:p>
    <w:p>
      <w:pPr>
        <w:sectPr>
          <w:pgSz w:w="11900" w:h="16838" w:orient="portrait"/>
          <w:cols w:equalWidth="0" w:num="1">
            <w:col w:w="11380"/>
          </w:cols>
          <w:pgMar w:left="240" w:top="665" w:right="279" w:bottom="1440" w:gutter="0" w:footer="0" w:header="0"/>
        </w:sectPr>
      </w:pPr>
    </w:p>
    <w:bookmarkStart w:id="24" w:name="page25"/>
    <w:bookmarkEnd w:id="24"/>
    <w:p>
      <w:pPr>
        <w:jc w:val="center"/>
        <w:ind w:right="-59"/>
        <w:spacing w:after="0"/>
        <w:rPr>
          <w:sz w:val="20"/>
          <w:szCs w:val="20"/>
          <w:color w:val="auto"/>
        </w:rPr>
      </w:pPr>
      <w:r>
        <w:rPr>
          <w:rFonts w:ascii="Arial" w:cs="Arial" w:eastAsia="Arial" w:hAnsi="Arial"/>
          <w:sz w:val="18"/>
          <w:szCs w:val="18"/>
          <w:u w:val="single" w:color="auto"/>
          <w:color w:val="auto"/>
        </w:rPr>
        <w:t>Exhibit 32.2</w:t>
      </w: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June 30, 2009, as filed with the Securities and Exchange Commission on the date hereof (the “Report”), Gerard M. Hayden, Jr., Chief Financial Officer of the Company, certifies, pursuant to 18 U.S.C. Section 1350, as adopted pursuant to Section 906 of the Sarbanes-Oxley Act of 2002, that:</w:t>
      </w:r>
    </w:p>
    <w:p>
      <w:pPr>
        <w:spacing w:after="0" w:line="73"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10, 2009</w:t>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2019-12-10T18:58:22Z</dcterms:created>
  <dcterms:modified xsi:type="dcterms:W3CDTF">2019-12-10T18:58:22Z</dcterms:modified>
</cp:coreProperties>
</file>