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29"/>
        </w:trPr>
        <w:tc>
          <w:tcPr>
            <w:tcW w:w="11420" w:type="dxa"/>
            <w:vAlign w:val="bottom"/>
            <w:gridSpan w:val="3"/>
          </w:tcPr>
          <w:p>
            <w:pPr>
              <w:jc w:val="center"/>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62-1443555</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spacing w:after="0"/>
              <w:rPr>
                <w:sz w:val="18"/>
                <w:szCs w:val="18"/>
                <w:color w:val="auto"/>
              </w:rPr>
            </w:pP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209 10th Avenue South, Suite 450</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Nashville, Tennessee</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37203</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(615) 301-3100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30" w:lineRule="exact"/>
        <w:rPr>
          <w:sz w:val="20"/>
          <w:szCs w:val="20"/>
          <w:color w:val="auto"/>
        </w:rPr>
      </w:pPr>
    </w:p>
    <w:p>
      <w:pPr>
        <w:spacing w:after="0" w:line="207" w:lineRule="exact"/>
        <w:tabs>
          <w:tab w:leader="none" w:pos="2440" w:val="left"/>
          <w:tab w:leader="none" w:pos="58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17" w:lineRule="exact"/>
        <w:rPr>
          <w:sz w:val="20"/>
          <w:szCs w:val="20"/>
          <w:color w:val="auto"/>
        </w:rPr>
      </w:pPr>
    </w:p>
    <w:p>
      <w:pPr>
        <w:ind w:right="23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10, 2006, 21,927,687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Index to Form 10-Q</w:t>
      </w:r>
    </w:p>
    <w:p>
      <w:pPr>
        <w:spacing w:after="0" w:line="11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240" w:type="dxa"/>
            <w:vAlign w:val="bottom"/>
            <w:gridSpan w:val="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9160" w:type="dxa"/>
            <w:vAlign w:val="bottom"/>
            <w:gridSpan w:val="1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69"/>
        </w:trPr>
        <w:tc>
          <w:tcPr>
            <w:tcW w:w="1240" w:type="dxa"/>
            <w:vAlign w:val="bottom"/>
            <w:gridSpan w:val="4"/>
            <w:vMerge w:val="continue"/>
          </w:tcPr>
          <w:p>
            <w:pPr>
              <w:spacing w:after="0"/>
              <w:rPr>
                <w:sz w:val="14"/>
                <w:szCs w:val="14"/>
                <w:color w:val="auto"/>
              </w:rPr>
            </w:pPr>
          </w:p>
        </w:tc>
        <w:tc>
          <w:tcPr>
            <w:tcW w:w="9160" w:type="dxa"/>
            <w:vAlign w:val="bottom"/>
            <w:gridSpan w:val="16"/>
            <w:vMerge w:val="continue"/>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740" w:type="dxa"/>
            <w:vAlign w:val="bottom"/>
            <w:gridSpan w:val="2"/>
          </w:tcPr>
          <w:p>
            <w:pPr>
              <w:spacing w:after="0"/>
              <w:rPr>
                <w:sz w:val="24"/>
                <w:szCs w:val="24"/>
                <w:color w:val="auto"/>
              </w:rPr>
            </w:pPr>
          </w:p>
        </w:tc>
        <w:tc>
          <w:tcPr>
            <w:tcW w:w="91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 June 30, 2006 (Unaudited) and December 31, 2005</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1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(Unaudited) — Three Months ended June 30, 2006 and 2005</w:t>
              </w:r>
            </w:hyperlink>
          </w:p>
        </w:tc>
        <w:tc>
          <w:tcPr>
            <w:tcW w:w="10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9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Operations (Unaudited) — Six Months ended June 30, 2006 and 2005</w:t>
              </w:r>
            </w:hyperlink>
          </w:p>
        </w:tc>
        <w:tc>
          <w:tcPr>
            <w:tcW w:w="1240" w:type="dxa"/>
            <w:vAlign w:val="bottom"/>
            <w:gridSpan w:val="3"/>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 of Shareholders’ Equity (Unaudited) — Six Months ended June 30, 2006</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6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(Unaudited) — Six Months ended June 30, 2006 and 2005</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Condensed Consolidated Financial Statements</w:t>
              </w:r>
            </w:hyperlink>
          </w:p>
        </w:tc>
        <w:tc>
          <w:tcPr>
            <w:tcW w:w="3960" w:type="dxa"/>
            <w:vAlign w:val="bottom"/>
            <w:tcBorders>
              <w:top w:val="single" w:sz="8" w:color="0000EE"/>
            </w:tcBorders>
            <w:gridSpan w:val="6"/>
          </w:tcPr>
          <w:p>
            <w:pPr>
              <w:spacing w:after="0"/>
              <w:rPr>
                <w:sz w:val="24"/>
                <w:szCs w:val="24"/>
                <w:color w:val="auto"/>
              </w:rPr>
            </w:pPr>
          </w:p>
        </w:tc>
        <w:tc>
          <w:tcPr>
            <w:tcW w:w="120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Item 2.</w:t>
              </w:r>
            </w:hyperlink>
          </w:p>
        </w:tc>
        <w:tc>
          <w:tcPr>
            <w:tcW w:w="700" w:type="dxa"/>
            <w:vAlign w:val="bottom"/>
          </w:tcPr>
          <w:p>
            <w:pPr>
              <w:spacing w:after="0"/>
              <w:rPr>
                <w:sz w:val="24"/>
                <w:szCs w:val="24"/>
                <w:color w:val="auto"/>
              </w:rPr>
            </w:pPr>
          </w:p>
        </w:tc>
        <w:tc>
          <w:tcPr>
            <w:tcW w:w="64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2700" w:type="dxa"/>
            <w:vAlign w:val="bottom"/>
            <w:gridSpan w:val="6"/>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22">
              <w:r>
                <w:rPr>
                  <w:rFonts w:ascii="Arial" w:cs="Arial" w:eastAsia="Arial" w:hAnsi="Arial"/>
                  <w:sz w:val="18"/>
                  <w:szCs w:val="18"/>
                  <w:color w:val="0000EE"/>
                  <w:w w:val="94"/>
                </w:rPr>
                <w:t>Item 3.</w:t>
              </w:r>
            </w:hyperlink>
          </w:p>
        </w:tc>
        <w:tc>
          <w:tcPr>
            <w:tcW w:w="700" w:type="dxa"/>
            <w:vAlign w:val="bottom"/>
          </w:tcPr>
          <w:p>
            <w:pPr>
              <w:spacing w:after="0"/>
              <w:rPr>
                <w:sz w:val="24"/>
                <w:szCs w:val="24"/>
                <w:color w:val="auto"/>
              </w:rPr>
            </w:pPr>
          </w:p>
        </w:tc>
        <w:tc>
          <w:tcPr>
            <w:tcW w:w="43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Quantitative and Qualitative Disclosures About Market Risk</w:t>
              </w:r>
            </w:hyperlink>
          </w:p>
        </w:tc>
        <w:tc>
          <w:tcPr>
            <w:tcW w:w="480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w w:val="83"/>
              </w:rPr>
            </w:pPr>
            <w:hyperlink w:anchor="page22">
              <w:r>
                <w:rPr>
                  <w:rFonts w:ascii="Arial" w:cs="Arial" w:eastAsia="Arial" w:hAnsi="Arial"/>
                  <w:sz w:val="18"/>
                  <w:szCs w:val="18"/>
                  <w:color w:val="0000EE"/>
                  <w:w w:val="83"/>
                </w:rPr>
                <w:t>Item 4.</w:t>
              </w:r>
            </w:hyperlink>
          </w:p>
        </w:tc>
        <w:tc>
          <w:tcPr>
            <w:tcW w:w="740" w:type="dxa"/>
            <w:vAlign w:val="bottom"/>
            <w:gridSpan w:val="2"/>
          </w:tcPr>
          <w:p>
            <w:pPr>
              <w:spacing w:after="0"/>
              <w:rPr>
                <w:sz w:val="24"/>
                <w:szCs w:val="24"/>
                <w:color w:val="auto"/>
              </w:rPr>
            </w:pPr>
          </w:p>
        </w:tc>
        <w:tc>
          <w:tcPr>
            <w:tcW w:w="9160" w:type="dxa"/>
            <w:vAlign w:val="bottom"/>
            <w:gridSpan w:val="1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gridSpan w:val="2"/>
          </w:tcPr>
          <w:p>
            <w:pPr>
              <w:spacing w:after="0"/>
              <w:rPr>
                <w:rFonts w:ascii="Arial" w:cs="Arial" w:eastAsia="Arial" w:hAnsi="Arial"/>
                <w:sz w:val="18"/>
                <w:szCs w:val="18"/>
                <w:color w:val="0000EE"/>
                <w:w w:val="86"/>
              </w:rPr>
            </w:pPr>
            <w:hyperlink w:anchor="page23">
              <w:r>
                <w:rPr>
                  <w:rFonts w:ascii="Arial" w:cs="Arial" w:eastAsia="Arial" w:hAnsi="Arial"/>
                  <w:sz w:val="18"/>
                  <w:szCs w:val="18"/>
                  <w:color w:val="0000EE"/>
                  <w:w w:val="86"/>
                </w:rPr>
                <w:t>Part II.</w:t>
              </w:r>
            </w:hyperlink>
          </w:p>
        </w:tc>
        <w:tc>
          <w:tcPr>
            <w:tcW w:w="740" w:type="dxa"/>
            <w:vAlign w:val="bottom"/>
            <w:gridSpan w:val="2"/>
          </w:tcPr>
          <w:p>
            <w:pPr>
              <w:spacing w:after="0"/>
              <w:rPr>
                <w:sz w:val="24"/>
                <w:szCs w:val="24"/>
                <w:color w:val="auto"/>
              </w:rPr>
            </w:pP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7400" w:type="dxa"/>
            <w:vAlign w:val="bottom"/>
            <w:gridSpan w:val="10"/>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5400" w:type="dxa"/>
            <w:vAlign w:val="bottom"/>
            <w:gridSpan w:val="9"/>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4.</w:t>
              </w:r>
            </w:hyperlink>
          </w:p>
        </w:tc>
        <w:tc>
          <w:tcPr>
            <w:tcW w:w="700" w:type="dxa"/>
            <w:vAlign w:val="bottom"/>
          </w:tcPr>
          <w:p>
            <w:pPr>
              <w:spacing w:after="0"/>
              <w:rPr>
                <w:sz w:val="24"/>
                <w:szCs w:val="24"/>
                <w:color w:val="auto"/>
              </w:rPr>
            </w:pPr>
          </w:p>
        </w:tc>
        <w:tc>
          <w:tcPr>
            <w:tcW w:w="9160" w:type="dxa"/>
            <w:vAlign w:val="bottom"/>
            <w:gridSpan w:val="16"/>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Submission of Matters to a Vote of Security Holders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23">
              <w:r>
                <w:rPr>
                  <w:rFonts w:ascii="Arial" w:cs="Arial" w:eastAsia="Arial" w:hAnsi="Arial"/>
                  <w:sz w:val="18"/>
                  <w:szCs w:val="18"/>
                  <w:color w:val="0000EE"/>
                  <w:w w:val="83"/>
                </w:rPr>
                <w:t>Item 6.</w:t>
              </w:r>
            </w:hyperlink>
          </w:p>
        </w:tc>
        <w:tc>
          <w:tcPr>
            <w:tcW w:w="4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Exhibits</w:t>
              </w:r>
            </w:hyperlink>
          </w:p>
        </w:tc>
        <w:tc>
          <w:tcPr>
            <w:tcW w:w="3160" w:type="dxa"/>
            <w:vAlign w:val="bottom"/>
            <w:tcBorders>
              <w:top w:val="single" w:sz="8" w:color="0000EE"/>
            </w:tcBorders>
            <w:gridSpan w:val="6"/>
          </w:tcPr>
          <w:p>
            <w:pPr>
              <w:spacing w:after="0"/>
              <w:rPr>
                <w:sz w:val="24"/>
                <w:szCs w:val="24"/>
                <w:color w:val="auto"/>
              </w:rPr>
            </w:pPr>
          </w:p>
        </w:tc>
        <w:tc>
          <w:tcPr>
            <w:tcW w:w="540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160" w:type="dxa"/>
            <w:vAlign w:val="bottom"/>
            <w:gridSpan w:val="1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 Section 302 Certification of the CEO</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 Section 302 Certification of the CFO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 Section 906 Certification of the CEO</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 Section 906 Certification of the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958" w:right="6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4"/>
                <w:szCs w:val="14"/>
                <w:color w:val="auto"/>
              </w:rPr>
            </w:pPr>
          </w:p>
        </w:tc>
        <w:tc>
          <w:tcPr>
            <w:tcW w:w="11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2"/>
              </w:rPr>
              <w:t>(Note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7,257,639</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5,726,151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Investments in short term marketable securities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5,996,493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96,365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58,873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54,524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Accounts receivable, net of allowance for doubtful accounts of $102,672</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at June 30, 2006 and $115,090 at December 31, 2005</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4,301,136</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Accounts receivable — unbilled</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680,462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and content rights, net of amortization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1,246,876</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1,766,029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950,687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21,403,873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19,226,664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7,924,320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1,453,377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1,281,460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1,052,574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1,011,877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10,430,271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9,739,788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9"/>
              </w:rPr>
              <w:t>(8,269,530)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(7,636,306)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2,160,741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2,103,482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10,317,393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10,317,393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Intangible assets, net of accumulated amortization of $7,501,994</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at June 30, 2006 and $7,247,828 at December 31, 2005</w:t>
            </w:r>
          </w:p>
        </w:tc>
        <w:tc>
          <w:tcPr>
            <w:tcW w:w="1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3,010,148</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3,264,314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683,053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37,575,208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35,216,140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849,397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1,959,651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404,981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Registration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83,204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support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584,705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5,011,336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4,502,924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185,049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9,078,323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9,200,143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195,729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525,000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no par value, 75,000,000 shares authorized;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21,927,687 and 21,574,904 shares issued and outstanding</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at June 30, 2006 and December 31, 2005, respectively</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94,828,801</w:t>
            </w: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93,799,932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w w:val="90"/>
              </w:rPr>
              <w:t>(67,052,645)</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(67,999,791)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27,776,156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25,800,141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37,575,208</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35,216,140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8,223,700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6,806,420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3,161,708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2,459,438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836,819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2,033,016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1,601,201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328,589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401,950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 content fees and feature enhancements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338,823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1,396,549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1,272,012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8,095,504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6,836,060</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24"/>
                <w:szCs w:val="2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128,196</w:t>
            </w:r>
          </w:p>
        </w:tc>
        <w:tc>
          <w:tcPr>
            <w:tcW w:w="100" w:type="dxa"/>
            <w:vAlign w:val="bottom"/>
          </w:tcPr>
          <w:p>
            <w:pPr>
              <w:spacing w:after="0"/>
              <w:rPr>
                <w:sz w:val="24"/>
                <w:szCs w:val="24"/>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161,841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72,490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(9,358)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(4,653)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152,483</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280,679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Income tax (benefit) provision</w:t>
            </w: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288,679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23,197</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21,475,021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21,054,335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22,469,102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22,064,179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15,746,340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12,488,822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5,736,659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4,495,121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1,726,368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1,379,619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3,661,834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2,791,463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664,644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810,111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intangibles, content fees and feature enhancements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646,338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2,633,551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2,428,023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15,069,394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12,472,515</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Pr>
          <w:p>
            <w:pPr>
              <w:spacing w:after="0"/>
              <w:rPr>
                <w:sz w:val="24"/>
                <w:szCs w:val="2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676,946</w:t>
            </w: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304,688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177,940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(17,988)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Total other income</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286,700</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963,646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16,500</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947,146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167,363</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21,379,673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20,870,061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8"/>
              </w:rPr>
              <w:t>22,304,104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21,765,611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2006</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020" w:type="dxa"/>
            <w:vAlign w:val="bottom"/>
            <w:gridSpan w:val="5"/>
          </w:tcPr>
          <w:p>
            <w:pPr>
              <w:jc w:val="right"/>
              <w:ind w:right="134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Total Shareholders'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500" w:type="dxa"/>
            <w:vAlign w:val="bottom"/>
            <w:tcBorders>
              <w:top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92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Amount</w:t>
            </w:r>
          </w:p>
        </w:tc>
        <w:tc>
          <w:tcPr>
            <w:tcW w:w="600" w:type="dxa"/>
            <w:vAlign w:val="bottom"/>
          </w:tcPr>
          <w:p>
            <w:pPr>
              <w:spacing w:after="0"/>
              <w:rPr>
                <w:sz w:val="12"/>
                <w:szCs w:val="12"/>
                <w:color w:val="auto"/>
              </w:rPr>
            </w:pPr>
          </w:p>
        </w:tc>
        <w:tc>
          <w:tcPr>
            <w:tcW w:w="1300" w:type="dxa"/>
            <w:vAlign w:val="bottom"/>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3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21,574,904</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$93,799,932</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(67,999,791)</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25,800,141</w:t>
            </w:r>
          </w:p>
        </w:tc>
        <w:tc>
          <w:tcPr>
            <w:tcW w:w="0" w:type="dxa"/>
            <w:vAlign w:val="bottom"/>
          </w:tcPr>
          <w:p>
            <w:pPr>
              <w:spacing w:after="0"/>
              <w:rPr>
                <w:sz w:val="1"/>
                <w:szCs w:val="1"/>
                <w:color w:val="auto"/>
              </w:rPr>
            </w:pPr>
          </w:p>
        </w:tc>
      </w:tr>
      <w:tr>
        <w:trPr>
          <w:trHeight w:val="432"/>
        </w:trPr>
        <w:tc>
          <w:tcPr>
            <w:tcW w:w="2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800" w:type="dxa"/>
            <w:vAlign w:val="bottom"/>
          </w:tcPr>
          <w:p>
            <w:pPr>
              <w:spacing w:after="0"/>
              <w:rPr>
                <w:sz w:val="24"/>
                <w:szCs w:val="24"/>
                <w:color w:val="auto"/>
              </w:rPr>
            </w:pPr>
          </w:p>
        </w:tc>
        <w:tc>
          <w:tcPr>
            <w:tcW w:w="150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947,146</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947,146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8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377,634</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377,634</w:t>
            </w:r>
          </w:p>
        </w:tc>
        <w:tc>
          <w:tcPr>
            <w:tcW w:w="0" w:type="dxa"/>
            <w:vAlign w:val="bottom"/>
          </w:tcPr>
          <w:p>
            <w:pPr>
              <w:spacing w:after="0"/>
              <w:rPr>
                <w:sz w:val="1"/>
                <w:szCs w:val="1"/>
                <w:color w:val="auto"/>
              </w:rPr>
            </w:pPr>
          </w:p>
        </w:tc>
      </w:tr>
      <w:tr>
        <w:trPr>
          <w:trHeight w:val="418"/>
        </w:trPr>
        <w:tc>
          <w:tcPr>
            <w:tcW w:w="2700" w:type="dxa"/>
            <w:vAlign w:val="bottom"/>
            <w:gridSpan w:val="2"/>
          </w:tcPr>
          <w:p>
            <w:pPr>
              <w:spacing w:after="0"/>
              <w:rPr>
                <w:sz w:val="20"/>
                <w:szCs w:val="20"/>
                <w:color w:val="auto"/>
              </w:rPr>
            </w:pPr>
            <w:r>
              <w:rPr>
                <w:rFonts w:ascii="Arial" w:cs="Arial" w:eastAsia="Arial" w:hAnsi="Arial"/>
                <w:sz w:val="18"/>
                <w:szCs w:val="18"/>
                <w:color w:val="auto"/>
              </w:rPr>
              <w:t>Issuance of common stock to</w:t>
            </w:r>
          </w:p>
        </w:tc>
        <w:tc>
          <w:tcPr>
            <w:tcW w:w="2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w w:val="97"/>
              </w:rPr>
              <w:t>Employee Stock Purchase Plan</w:t>
            </w:r>
          </w:p>
        </w:tc>
        <w:tc>
          <w:tcPr>
            <w:tcW w:w="3740" w:type="dxa"/>
            <w:vAlign w:val="bottom"/>
            <w:gridSpan w:val="3"/>
          </w:tcPr>
          <w:p>
            <w:pPr>
              <w:jc w:val="right"/>
              <w:ind w:right="20"/>
              <w:spacing w:after="0"/>
              <w:rPr>
                <w:sz w:val="20"/>
                <w:szCs w:val="20"/>
                <w:color w:val="auto"/>
              </w:rPr>
            </w:pPr>
            <w:r>
              <w:rPr>
                <w:rFonts w:ascii="Arial" w:cs="Arial" w:eastAsia="Arial" w:hAnsi="Arial"/>
                <w:sz w:val="18"/>
                <w:szCs w:val="18"/>
                <w:color w:val="auto"/>
              </w:rPr>
              <w:t>68,102</w:t>
            </w:r>
          </w:p>
        </w:tc>
        <w:tc>
          <w:tcPr>
            <w:tcW w:w="560" w:type="dxa"/>
            <w:vAlign w:val="bottom"/>
          </w:tcPr>
          <w:p>
            <w:pPr>
              <w:spacing w:after="0"/>
              <w:rPr>
                <w:sz w:val="20"/>
                <w:szCs w:val="20"/>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162,083</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162,083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28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284,681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489,152</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489,152</w:t>
            </w:r>
          </w:p>
        </w:tc>
        <w:tc>
          <w:tcPr>
            <w:tcW w:w="0" w:type="dxa"/>
            <w:vAlign w:val="bottom"/>
          </w:tcPr>
          <w:p>
            <w:pPr>
              <w:spacing w:after="0"/>
              <w:rPr>
                <w:sz w:val="1"/>
                <w:szCs w:val="1"/>
                <w:color w:val="auto"/>
              </w:rPr>
            </w:pPr>
          </w:p>
        </w:tc>
      </w:tr>
      <w:tr>
        <w:trPr>
          <w:trHeight w:val="20"/>
        </w:trPr>
        <w:tc>
          <w:tcPr>
            <w:tcW w:w="270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00" w:type="dxa"/>
            <w:vAlign w:val="bottom"/>
            <w:gridSpan w:val="2"/>
          </w:tcPr>
          <w:p>
            <w:pPr>
              <w:spacing w:after="0"/>
              <w:rPr>
                <w:sz w:val="20"/>
                <w:szCs w:val="20"/>
                <w:color w:val="auto"/>
              </w:rPr>
            </w:pPr>
            <w:r>
              <w:rPr>
                <w:rFonts w:ascii="Arial" w:cs="Arial" w:eastAsia="Arial" w:hAnsi="Arial"/>
                <w:sz w:val="18"/>
                <w:szCs w:val="18"/>
                <w:color w:val="auto"/>
              </w:rPr>
              <w:t>Balance at June 30, 2006</w:t>
            </w:r>
          </w:p>
        </w:tc>
        <w:tc>
          <w:tcPr>
            <w:tcW w:w="28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21,927,687</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94,828,801</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 (67,052,645)</w:t>
            </w: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27,776,156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5820" w:type="dxa"/>
            <w:vAlign w:val="bottom"/>
            <w:gridSpan w:val="6"/>
          </w:tcPr>
          <w:p>
            <w:pPr>
              <w:jc w:val="right"/>
              <w:ind w:right="40"/>
              <w:spacing w:after="0"/>
              <w:rPr>
                <w:sz w:val="20"/>
                <w:szCs w:val="20"/>
                <w:color w:val="auto"/>
              </w:rPr>
            </w:pPr>
            <w:r>
              <w:rPr>
                <w:rFonts w:ascii="Arial" w:cs="Arial" w:eastAsia="Arial" w:hAnsi="Arial"/>
                <w:sz w:val="18"/>
                <w:szCs w:val="18"/>
                <w:color w:val="auto"/>
                <w:w w:val="92"/>
              </w:rPr>
              <w:t>See accompanying notes to the condensed consolidated financial statements.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720" w:type="dxa"/>
            <w:vAlign w:val="bottom"/>
            <w:gridSpan w:val="2"/>
          </w:tcPr>
          <w:p>
            <w:pPr>
              <w:jc w:val="right"/>
              <w:ind w:right="576"/>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947,146</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167,363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664,644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810,111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 content fees, and feature enhancements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646,338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377,634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400"/>
              <w:spacing w:after="0"/>
              <w:rPr>
                <w:sz w:val="20"/>
                <w:szCs w:val="20"/>
                <w:color w:val="auto"/>
              </w:rPr>
            </w:pPr>
            <w:r>
              <w:rPr>
                <w:rFonts w:ascii="Arial" w:cs="Arial" w:eastAsia="Arial" w:hAnsi="Arial"/>
                <w:sz w:val="18"/>
                <w:szCs w:val="18"/>
                <w:color w:val="auto"/>
              </w:rPr>
              <w:t>Realized loss on disposal of property &amp; equipment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593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00"/>
              <w:spacing w:after="0"/>
              <w:rPr>
                <w:sz w:val="20"/>
                <w:szCs w:val="20"/>
                <w:color w:val="auto"/>
              </w:rPr>
            </w:pPr>
            <w:r>
              <w:rPr>
                <w:rFonts w:ascii="Arial" w:cs="Arial" w:eastAsia="Arial" w:hAnsi="Arial"/>
                <w:sz w:val="18"/>
                <w:szCs w:val="18"/>
                <w:color w:val="auto"/>
              </w:rPr>
              <w:t>Accounts and unbilled receivables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415,815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206,057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142,173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00"/>
              <w:spacing w:after="0"/>
              <w:rPr>
                <w:sz w:val="20"/>
                <w:szCs w:val="20"/>
                <w:color w:val="auto"/>
              </w:rPr>
            </w:pPr>
            <w:r>
              <w:rPr>
                <w:rFonts w:ascii="Arial" w:cs="Arial" w:eastAsia="Arial" w:hAnsi="Arial"/>
                <w:sz w:val="18"/>
                <w:szCs w:val="18"/>
                <w:color w:val="auto"/>
              </w:rPr>
              <w:t>Interest receivable</w:t>
            </w:r>
          </w:p>
        </w:tc>
        <w:tc>
          <w:tcPr>
            <w:tcW w:w="100" w:type="dxa"/>
            <w:vAlign w:val="bottom"/>
          </w:tcPr>
          <w:p>
            <w:pPr>
              <w:spacing w:after="0"/>
              <w:rPr>
                <w:sz w:val="18"/>
                <w:szCs w:val="18"/>
                <w:color w:val="auto"/>
              </w:rPr>
            </w:pP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(4,349)</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development fees and content rights</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(408,030)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Pr>
          <w:p>
            <w:pPr>
              <w:spacing w:after="0"/>
              <w:rPr>
                <w:sz w:val="18"/>
                <w:szCs w:val="18"/>
                <w:color w:val="auto"/>
              </w:rPr>
            </w:pP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(982,842)</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(276,820)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143,557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0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(84,498)</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(209,814)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liabilities and compensation</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(36,571)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800"/>
              <w:spacing w:after="0"/>
              <w:rPr>
                <w:sz w:val="20"/>
                <w:szCs w:val="20"/>
                <w:color w:val="auto"/>
              </w:rPr>
            </w:pPr>
            <w:r>
              <w:rPr>
                <w:rFonts w:ascii="Arial" w:cs="Arial" w:eastAsia="Arial" w:hAnsi="Arial"/>
                <w:sz w:val="18"/>
                <w:szCs w:val="18"/>
                <w:color w:val="auto"/>
              </w:rPr>
              <w:t>Registration liabilities</w:t>
            </w:r>
          </w:p>
        </w:tc>
        <w:tc>
          <w:tcPr>
            <w:tcW w:w="100" w:type="dxa"/>
            <w:vAlign w:val="bottom"/>
          </w:tcPr>
          <w:p>
            <w:pPr>
              <w:spacing w:after="0"/>
              <w:rPr>
                <w:sz w:val="18"/>
                <w:szCs w:val="18"/>
                <w:color w:val="auto"/>
              </w:rPr>
            </w:pP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(147,938)</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(77,778)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Commercial support liabilities</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(654,419)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622,542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8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403,412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1,422,665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1,240,938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Acquisition, net of cash acquired</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(9,362,342)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Proceeds from maturities and sales of investments in marketable securities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9,725,000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10,525,000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Purchase of investments in marketable securities</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w w:val="89"/>
              </w:rPr>
              <w:t>(9,543,816)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(634,429)</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(521,039)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(453,245)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(358,381)</w:t>
            </w:r>
          </w:p>
        </w:tc>
        <w:tc>
          <w:tcPr>
            <w:tcW w:w="0" w:type="dxa"/>
            <w:vAlign w:val="bottom"/>
          </w:tcPr>
          <w:p>
            <w:pPr>
              <w:spacing w:after="0"/>
              <w:rPr>
                <w:sz w:val="1"/>
                <w:szCs w:val="1"/>
                <w:color w:val="auto"/>
              </w:rPr>
            </w:pPr>
          </w:p>
        </w:tc>
      </w:tr>
      <w:tr>
        <w:trPr>
          <w:trHeight w:val="432"/>
        </w:trPr>
        <w:tc>
          <w:tcPr>
            <w:tcW w:w="88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to Employee Stock Purchase Plan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162,083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489,152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478,515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(89,167)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(28,585)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40" w:type="dxa"/>
            <w:vAlign w:val="bottom"/>
          </w:tcPr>
          <w:p>
            <w:pPr>
              <w:ind w:left="10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562,068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609,375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1,531,488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1,491,932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5,726,151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2,257,372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7,257,639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3,749,304</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incurred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88,067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Interest paid</w:t>
            </w: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17,755</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Arial" w:cs="Arial" w:eastAsia="Arial" w:hAnsi="Arial"/>
                <w:sz w:val="18"/>
                <w:szCs w:val="18"/>
                <w:color w:val="auto"/>
              </w:rPr>
              <w:t>Issuance of common stock in connection with acquisition of company</w:t>
            </w:r>
          </w:p>
        </w:tc>
        <w:tc>
          <w:tcPr>
            <w:tcW w:w="1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60" w:type="dxa"/>
            <w:vAlign w:val="bottom"/>
            <w:gridSpan w:val="2"/>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1,343,149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Effects of acquisition: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Estimated fair value of tangible assets acquired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718,357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Estimated fair value of liabilities assumed</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Purchase price in excess of net tangible assets acquired</w:t>
            </w:r>
          </w:p>
        </w:tc>
        <w:tc>
          <w:tcPr>
            <w:tcW w:w="100" w:type="dxa"/>
            <w:vAlign w:val="bottom"/>
          </w:tcPr>
          <w:p>
            <w:pPr>
              <w:spacing w:after="0"/>
              <w:rPr>
                <w:sz w:val="18"/>
                <w:szCs w:val="18"/>
                <w:color w:val="auto"/>
              </w:rPr>
            </w:pPr>
          </w:p>
        </w:tc>
        <w:tc>
          <w:tcPr>
            <w:tcW w:w="14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10,660,852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fair value of stock issued</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(1,343,149)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Cash paid</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9,380,153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cash acquired</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40" w:type="dxa"/>
            <w:vAlign w:val="bottom"/>
          </w:tcPr>
          <w:p>
            <w:pPr>
              <w:ind w:left="200"/>
              <w:spacing w:after="0"/>
              <w:rPr>
                <w:sz w:val="20"/>
                <w:szCs w:val="20"/>
                <w:color w:val="auto"/>
              </w:rPr>
            </w:pPr>
            <w:r>
              <w:rPr>
                <w:rFonts w:ascii="Arial" w:cs="Arial" w:eastAsia="Arial" w:hAnsi="Arial"/>
                <w:sz w:val="18"/>
                <w:szCs w:val="18"/>
                <w:color w:val="auto"/>
              </w:rPr>
              <w:t>Net cash paid for acquisition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9,362,342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084"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084"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condensed consolidated financial statements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and six months ended June 30, 2006 are not necessarily indicative of the results that may be expected for the year ending December 31, 2006.</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balance sheet at December 31, 2005 is consistent with the audited financial statements at that date but does not include all of the information and footnotes required by accounting principles generally accepted in the United States for a complete set of financial statements. For further information, refer to the consolidated financial statements and footnotes thereto for the year ended December 31, 2005 (included in the Company’s Annual Report on Form 10-K, filed with the Securities and Exchange Commission).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STOCK-BASED COMPENSATION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Payments.” Statement 123(R) supersedes APB Opinion No. 25, “Accounting for Stock Issued to Employees,” (APB 25) and requires companies to recognize compensation expense, using a fair-value based method, for costs related to share-based payments, including stock options. The Company adopted Statement 123(R) on January 1, 2006 and implemented it using the modified-prospective method for transition purposes, therefore prior period financial results have not been restated. The modified-prospective method requires compensation expense be recorded for all unvested share-based payments outstanding prior to adoption and for all share-based payments issued subsequent to adoption using a fair value approach. We use the Black Scholes option pricing model for calculating the fair value of awards issued under our stock-based compensation plans.</w:t>
      </w:r>
    </w:p>
    <w:p>
      <w:pPr>
        <w:spacing w:after="0" w:line="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Total stock-based compensation expense recorded, as a result of adopting Statement 123(R), for the three and six months ended June 30, 2006, which is recorded in our statements of operations,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color w:val="auto"/>
              </w:rPr>
              <w:t>Three months ended</w:t>
            </w:r>
          </w:p>
        </w:tc>
        <w:tc>
          <w:tcPr>
            <w:tcW w:w="1140" w:type="dxa"/>
            <w:vAlign w:val="bottom"/>
            <w:gridSpan w:val="3"/>
          </w:tcPr>
          <w:p>
            <w:pPr>
              <w:spacing w:after="0"/>
              <w:rPr>
                <w:sz w:val="20"/>
                <w:szCs w:val="20"/>
                <w:color w:val="auto"/>
              </w:rPr>
            </w:pPr>
            <w:r>
              <w:rPr>
                <w:rFonts w:ascii="Arial" w:cs="Arial" w:eastAsia="Arial" w:hAnsi="Arial"/>
                <w:sz w:val="14"/>
                <w:szCs w:val="14"/>
                <w:color w:val="auto"/>
                <w:w w:val="99"/>
              </w:rPr>
              <w:t>Six months ended</w:t>
            </w:r>
          </w:p>
        </w:tc>
      </w:tr>
      <w:tr>
        <w:trPr>
          <w:trHeight w:val="167"/>
        </w:trPr>
        <w:tc>
          <w:tcPr>
            <w:tcW w:w="8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w w:val="94"/>
              </w:rPr>
              <w:t>June 30, 2006</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w w:val="90"/>
              </w:rPr>
              <w:t>June 30, 2006</w:t>
            </w:r>
          </w:p>
        </w:tc>
        <w:tc>
          <w:tcPr>
            <w:tcW w:w="100" w:type="dxa"/>
            <w:vAlign w:val="bottom"/>
          </w:tcPr>
          <w:p>
            <w:pPr>
              <w:spacing w:after="0"/>
              <w:rPr>
                <w:sz w:val="14"/>
                <w:szCs w:val="14"/>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10,345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29,759</w:t>
            </w:r>
          </w:p>
        </w:tc>
      </w:tr>
      <w:tr>
        <w:trPr>
          <w:trHeight w:val="216"/>
        </w:trPr>
        <w:tc>
          <w:tcPr>
            <w:tcW w:w="8480" w:type="dxa"/>
            <w:vAlign w:val="bottom"/>
          </w:tcPr>
          <w:p>
            <w:pPr>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31,113</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71,665</w:t>
            </w: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25,071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65,361</w:t>
            </w:r>
          </w:p>
        </w:tc>
      </w:tr>
      <w:tr>
        <w:trPr>
          <w:trHeight w:val="223"/>
        </w:trPr>
        <w:tc>
          <w:tcPr>
            <w:tcW w:w="84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161,729</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210,849</w:t>
            </w:r>
          </w:p>
        </w:tc>
        <w:tc>
          <w:tcPr>
            <w:tcW w:w="100" w:type="dxa"/>
            <w:vAlign w:val="bottom"/>
          </w:tcPr>
          <w:p>
            <w:pPr>
              <w:spacing w:after="0"/>
              <w:rPr>
                <w:sz w:val="19"/>
                <w:szCs w:val="19"/>
                <w:color w:val="auto"/>
              </w:rPr>
            </w:pPr>
          </w:p>
        </w:tc>
      </w:tr>
      <w:tr>
        <w:trPr>
          <w:trHeight w:val="216"/>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228,258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377,634</w:t>
            </w:r>
          </w:p>
        </w:tc>
      </w:tr>
      <w:tr>
        <w:trPr>
          <w:trHeight w:val="20"/>
        </w:trPr>
        <w:tc>
          <w:tcPr>
            <w:tcW w:w="8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Prior to adopting Statement 123(R), we accounted for our stock-based compensation plans under the intrinsic value-based method of accounting prescribed by APB 25 and related interpretations. The following pro forma table reflects our net income (loss) and net income (loss) per share had the fair value provisions of SFAS No. 123 “Accounting for Stock-Based Compensation” been followed during the three and six months ended June 30, 2005: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color w:val="auto"/>
              </w:rPr>
              <w:t>Three Months Ended</w:t>
            </w:r>
          </w:p>
        </w:tc>
        <w:tc>
          <w:tcPr>
            <w:tcW w:w="1460" w:type="dxa"/>
            <w:vAlign w:val="bottom"/>
            <w:gridSpan w:val="4"/>
          </w:tcPr>
          <w:p>
            <w:pPr>
              <w:ind w:left="2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94"/>
              </w:rPr>
              <w:t>June 30, 2005</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w w:val="90"/>
              </w:rPr>
              <w:t>June 30, 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23,197</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Add: Stock-based employee compensation expense included in reported net income, net of related taxes</w:t>
            </w:r>
          </w:p>
        </w:tc>
        <w:tc>
          <w:tcPr>
            <w:tcW w:w="1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Deduct: Total stock-based employee compensation expense determined under fair value based method for all</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shd w:val="clear" w:color="auto" w:fill="CCEEFF"/>
          </w:tcPr>
          <w:p>
            <w:pPr>
              <w:jc w:val="right"/>
              <w:ind w:right="5810"/>
              <w:spacing w:after="0"/>
              <w:rPr>
                <w:sz w:val="20"/>
                <w:szCs w:val="20"/>
                <w:color w:val="auto"/>
              </w:rPr>
            </w:pPr>
            <w:r>
              <w:rPr>
                <w:rFonts w:ascii="Arial" w:cs="Arial" w:eastAsia="Arial" w:hAnsi="Arial"/>
                <w:sz w:val="18"/>
                <w:szCs w:val="18"/>
                <w:color w:val="auto"/>
                <w:w w:val="96"/>
              </w:rPr>
              <w:t>awards net of related tax effects</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(198,540)</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(284,240)</w:t>
            </w:r>
          </w:p>
        </w:tc>
        <w:tc>
          <w:tcPr>
            <w:tcW w:w="0" w:type="dxa"/>
            <w:vAlign w:val="bottom"/>
          </w:tcPr>
          <w:p>
            <w:pPr>
              <w:spacing w:after="0"/>
              <w:rPr>
                <w:sz w:val="1"/>
                <w:szCs w:val="1"/>
                <w:color w:val="auto"/>
              </w:rPr>
            </w:pPr>
          </w:p>
        </w:tc>
      </w:tr>
      <w:tr>
        <w:trPr>
          <w:trHeight w:val="223"/>
        </w:trPr>
        <w:tc>
          <w:tcPr>
            <w:tcW w:w="840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(175,343)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per share — as reported</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Basic net loss per share — pro forma</w:t>
            </w: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gridSpan w:val="2"/>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share — as reported</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spacing w:after="0"/>
              <w:rPr>
                <w:sz w:val="20"/>
                <w:szCs w:val="20"/>
                <w:color w:val="auto"/>
              </w:rPr>
            </w:pPr>
            <w:r>
              <w:rPr>
                <w:rFonts w:ascii="Arial" w:cs="Arial" w:eastAsia="Arial" w:hAnsi="Arial"/>
                <w:sz w:val="18"/>
                <w:szCs w:val="18"/>
                <w:color w:val="auto"/>
              </w:rPr>
              <w:t>Diluted net loss per share — pro forma</w:t>
            </w:r>
          </w:p>
        </w:tc>
        <w:tc>
          <w:tcPr>
            <w:tcW w:w="14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gridSpan w:val="2"/>
            <w:vMerge w:val="continue"/>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0" w:type="dxa"/>
            <w:vAlign w:val="bottom"/>
            <w:gridSpan w:val="2"/>
            <w:vMerge w:val="restart"/>
          </w:tcPr>
          <w:p>
            <w:pPr>
              <w:jc w:val="right"/>
              <w:ind w:right="255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4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STOCK-BASED COMPENSATION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 Plans</w:t>
      </w:r>
    </w:p>
    <w:p>
      <w:pPr>
        <w:spacing w:after="0" w:line="2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Our 2000 Stock Incentive Plan (2000 Plan) and 1994 Employee Stock Option Plan (1994 Plan) (the 2000 Plan and the 1994 Plan are collectively referred to as “the Plan”) authorize the grant of options or other forms of stock-based compensation to employees, officers, directors, and others and such grants must be approved by the Compensation Committee of the Board of Directors. The terms of both plans are substantially similar. Options granted under the Plan have terms of no more than ten years with certain restrictions. The Plan allows the Compensation Committee of the Board of Directors to determine the vesting period of each grant. The vesting period of the options granted ranges from immediate vesting (generally associated with professional consulting boards and directors’ options) to annual vesting over four years, beginning one year after the grant date (generally for employee and officer options). As of June 30, 2006, 2,117,293 shares of unissued common stock remain reserved for future grants under the Plan. The Company issues new shares of common stock when options are exercised.</w:t>
      </w:r>
    </w:p>
    <w:p>
      <w:pPr>
        <w:spacing w:after="0" w:line="7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fair value of stock-based awards granted during the six months ended June 30, 2006 was estimated using the Black Scholes option pricing model, with the assumptions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320" w:type="dxa"/>
            <w:vAlign w:val="bottom"/>
            <w:shd w:val="clear" w:color="auto" w:fill="CCEEFF"/>
          </w:tcPr>
          <w:p>
            <w:pPr>
              <w:jc w:val="center"/>
              <w:ind w:left="4230"/>
              <w:spacing w:after="0"/>
              <w:rPr>
                <w:sz w:val="20"/>
                <w:szCs w:val="20"/>
                <w:color w:val="auto"/>
              </w:rPr>
            </w:pPr>
            <w:r>
              <w:rPr>
                <w:rFonts w:ascii="Arial" w:cs="Arial" w:eastAsia="Arial" w:hAnsi="Arial"/>
                <w:sz w:val="18"/>
                <w:szCs w:val="18"/>
                <w:color w:val="auto"/>
                <w:w w:val="92"/>
              </w:rPr>
              <w:t>4.55 -- 5.07%</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320" w:type="dxa"/>
            <w:vAlign w:val="bottom"/>
          </w:tcPr>
          <w:p>
            <w:pPr>
              <w:jc w:val="center"/>
              <w:ind w:left="4230"/>
              <w:spacing w:after="0"/>
              <w:rPr>
                <w:sz w:val="20"/>
                <w:szCs w:val="20"/>
                <w:color w:val="auto"/>
              </w:rPr>
            </w:pPr>
            <w:r>
              <w:rPr>
                <w:rFonts w:ascii="Arial" w:cs="Arial" w:eastAsia="Arial" w:hAnsi="Arial"/>
                <w:sz w:val="18"/>
                <w:szCs w:val="18"/>
                <w:color w:val="auto"/>
                <w:w w:val="87"/>
              </w:rPr>
              <w:t>0.0%</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5320" w:type="dxa"/>
            <w:vAlign w:val="bottom"/>
            <w:shd w:val="clear" w:color="auto" w:fill="CCEEFF"/>
          </w:tcPr>
          <w:p>
            <w:pPr>
              <w:ind w:left="4620"/>
              <w:spacing w:after="0"/>
              <w:rPr>
                <w:sz w:val="20"/>
                <w:szCs w:val="20"/>
                <w:color w:val="auto"/>
              </w:rPr>
            </w:pPr>
            <w:r>
              <w:rPr>
                <w:rFonts w:ascii="Arial" w:cs="Arial" w:eastAsia="Arial" w:hAnsi="Arial"/>
                <w:sz w:val="18"/>
                <w:szCs w:val="18"/>
                <w:color w:val="auto"/>
              </w:rPr>
              <w:t>5 to 8</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5320" w:type="dxa"/>
            <w:vAlign w:val="bottom"/>
          </w:tcPr>
          <w:p>
            <w:pPr>
              <w:jc w:val="center"/>
              <w:ind w:left="4230"/>
              <w:spacing w:after="0"/>
              <w:rPr>
                <w:sz w:val="20"/>
                <w:szCs w:val="20"/>
                <w:color w:val="auto"/>
              </w:rPr>
            </w:pPr>
            <w:r>
              <w:rPr>
                <w:rFonts w:ascii="Arial" w:cs="Arial" w:eastAsia="Arial" w:hAnsi="Arial"/>
                <w:sz w:val="18"/>
                <w:szCs w:val="18"/>
                <w:color w:val="auto"/>
                <w:w w:val="92"/>
              </w:rPr>
              <w:t>0-15%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320" w:type="dxa"/>
            <w:vAlign w:val="bottom"/>
            <w:shd w:val="clear" w:color="auto" w:fill="CCEEFF"/>
          </w:tcPr>
          <w:p>
            <w:pPr>
              <w:jc w:val="center"/>
              <w:ind w:left="4230"/>
              <w:spacing w:after="0"/>
              <w:rPr>
                <w:sz w:val="20"/>
                <w:szCs w:val="20"/>
                <w:color w:val="auto"/>
              </w:rPr>
            </w:pPr>
            <w:r>
              <w:rPr>
                <w:rFonts w:ascii="Arial" w:cs="Arial" w:eastAsia="Arial" w:hAnsi="Arial"/>
                <w:sz w:val="18"/>
                <w:szCs w:val="18"/>
                <w:color w:val="auto"/>
                <w:w w:val="88"/>
              </w:rPr>
              <w:t>75%</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Risk-free interest rate</w:t>
      </w:r>
      <w:r>
        <w:rPr>
          <w:rFonts w:ascii="Arial" w:cs="Arial" w:eastAsia="Arial" w:hAnsi="Arial"/>
          <w:sz w:val="17"/>
          <w:szCs w:val="17"/>
          <w:color w:val="auto"/>
        </w:rPr>
        <w:t xml:space="preserve"> is based on the U.S. Treasury rate in effect at the time of the option grant having a term equal to the expected life of the option.</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Expected dividend yield</w:t>
      </w:r>
      <w:r>
        <w:rPr>
          <w:rFonts w:ascii="Arial" w:cs="Arial" w:eastAsia="Arial" w:hAnsi="Arial"/>
          <w:sz w:val="18"/>
          <w:szCs w:val="18"/>
          <w:color w:val="auto"/>
        </w:rPr>
        <w:t xml:space="preserve"> is zero because the Company has not made any dividend payments in its history and does not plan to pay dividends in the foreseeable future.</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Expected life</w:t>
      </w:r>
      <w:r>
        <w:rPr>
          <w:rFonts w:ascii="Arial" w:cs="Arial" w:eastAsia="Arial" w:hAnsi="Arial"/>
          <w:sz w:val="18"/>
          <w:szCs w:val="18"/>
          <w:color w:val="auto"/>
        </w:rPr>
        <w:t xml:space="preserve"> is the period of time the option is expected to remain outstanding, and is based on historical experience. The contractual option life ranges from eight to ten years.</w:t>
      </w:r>
    </w:p>
    <w:p>
      <w:pPr>
        <w:spacing w:after="0" w:line="6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u w:val="single" w:color="auto"/>
          <w:color w:val="auto"/>
        </w:rPr>
        <w:t>Expected forfeiture rate</w:t>
      </w:r>
      <w:r>
        <w:rPr>
          <w:rFonts w:ascii="Arial" w:cs="Arial" w:eastAsia="Arial" w:hAnsi="Arial"/>
          <w:sz w:val="18"/>
          <w:szCs w:val="18"/>
          <w:color w:val="auto"/>
        </w:rPr>
        <w:t xml:space="preserve"> is the estimated percentage of options granted that are not expected to become fully vested. This estimate is based on historical experience, and will be adjusted as necessary to match the actual forfeiture experience.</w:t>
      </w:r>
    </w:p>
    <w:p>
      <w:pPr>
        <w:spacing w:after="0" w:line="6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u w:val="single" w:color="auto"/>
          <w:color w:val="auto"/>
        </w:rPr>
        <w:t>Volatility</w:t>
      </w:r>
      <w:r>
        <w:rPr>
          <w:rFonts w:ascii="Arial" w:cs="Arial" w:eastAsia="Arial" w:hAnsi="Arial"/>
          <w:sz w:val="18"/>
          <w:szCs w:val="18"/>
          <w:color w:val="auto"/>
        </w:rPr>
        <w:t xml:space="preserve"> is the measure of the amount by which the price is expected to fluctuate. We estimate volatility based on the actual historical volatility of our common stock, which we believe future volatility will be similar to our past experience.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We amortize the fair value of all stock-based awards on a straight-line basis over the requisite service period, which generally is the vesting period.</w:t>
      </w:r>
    </w:p>
    <w:p>
      <w:pPr>
        <w:spacing w:after="0" w:line="1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summary of stock option activity and various other information relative to stock options for the six months ended June 30, 2006 is presented in the table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740"/>
              <w:spacing w:after="0"/>
              <w:rPr>
                <w:sz w:val="20"/>
                <w:szCs w:val="20"/>
                <w:color w:val="auto"/>
              </w:rPr>
            </w:pPr>
            <w:r>
              <w:rPr>
                <w:rFonts w:ascii="Arial" w:cs="Arial" w:eastAsia="Arial" w:hAnsi="Arial"/>
                <w:sz w:val="14"/>
                <w:szCs w:val="14"/>
                <w:color w:val="auto"/>
                <w:w w:val="93"/>
              </w:rPr>
              <w:t>Weighted-</w:t>
            </w:r>
          </w:p>
        </w:tc>
        <w:tc>
          <w:tcPr>
            <w:tcW w:w="1680" w:type="dxa"/>
            <w:vAlign w:val="bottom"/>
            <w:gridSpan w:val="2"/>
          </w:tcPr>
          <w:p>
            <w:pPr>
              <w:jc w:val="center"/>
              <w:ind w:right="620"/>
              <w:spacing w:after="0"/>
              <w:rPr>
                <w:sz w:val="20"/>
                <w:szCs w:val="20"/>
                <w:color w:val="auto"/>
              </w:rPr>
            </w:pPr>
            <w:r>
              <w:rPr>
                <w:rFonts w:ascii="Arial" w:cs="Arial" w:eastAsia="Arial" w:hAnsi="Arial"/>
                <w:sz w:val="14"/>
                <w:szCs w:val="14"/>
                <w:color w:val="auto"/>
                <w:w w:val="92"/>
              </w:rPr>
              <w:t>Weighted Average</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Common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Average</w:t>
            </w:r>
          </w:p>
        </w:tc>
        <w:tc>
          <w:tcPr>
            <w:tcW w:w="16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92"/>
              </w:rPr>
              <w:t>Remaining</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4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40" w:type="dxa"/>
            <w:vAlign w:val="bottom"/>
          </w:tcPr>
          <w:p>
            <w:pPr>
              <w:jc w:val="right"/>
              <w:ind w:right="159"/>
              <w:spacing w:after="0"/>
              <w:rPr>
                <w:sz w:val="20"/>
                <w:szCs w:val="20"/>
                <w:color w:val="auto"/>
              </w:rPr>
            </w:pPr>
            <w:r>
              <w:rPr>
                <w:rFonts w:ascii="Arial" w:cs="Arial" w:eastAsia="Arial" w:hAnsi="Arial"/>
                <w:sz w:val="14"/>
                <w:szCs w:val="14"/>
                <w:color w:val="auto"/>
              </w:rPr>
              <w:t>Shares</w:t>
            </w:r>
          </w:p>
        </w:tc>
        <w:tc>
          <w:tcPr>
            <w:tcW w:w="340" w:type="dxa"/>
            <w:vAlign w:val="bottom"/>
          </w:tcPr>
          <w:p>
            <w:pPr>
              <w:spacing w:after="0"/>
              <w:rPr>
                <w:sz w:val="14"/>
                <w:szCs w:val="14"/>
                <w:color w:val="auto"/>
              </w:rPr>
            </w:pPr>
          </w:p>
        </w:tc>
        <w:tc>
          <w:tcPr>
            <w:tcW w:w="1720" w:type="dxa"/>
            <w:vAlign w:val="bottom"/>
            <w:gridSpan w:val="4"/>
          </w:tcPr>
          <w:p>
            <w:pPr>
              <w:ind w:left="280"/>
              <w:spacing w:after="0"/>
              <w:rPr>
                <w:sz w:val="20"/>
                <w:szCs w:val="20"/>
                <w:color w:val="auto"/>
              </w:rPr>
            </w:pPr>
            <w:r>
              <w:rPr>
                <w:rFonts w:ascii="Arial" w:cs="Arial" w:eastAsia="Arial" w:hAnsi="Arial"/>
                <w:sz w:val="14"/>
                <w:szCs w:val="14"/>
                <w:color w:val="auto"/>
              </w:rPr>
              <w:t>Exercise Price</w:t>
            </w:r>
          </w:p>
        </w:tc>
        <w:tc>
          <w:tcPr>
            <w:tcW w:w="1680" w:type="dxa"/>
            <w:vAlign w:val="bottom"/>
            <w:gridSpan w:val="2"/>
          </w:tcPr>
          <w:p>
            <w:pPr>
              <w:jc w:val="center"/>
              <w:ind w:right="620"/>
              <w:spacing w:after="0"/>
              <w:rPr>
                <w:sz w:val="20"/>
                <w:szCs w:val="20"/>
                <w:color w:val="auto"/>
              </w:rPr>
            </w:pPr>
            <w:r>
              <w:rPr>
                <w:rFonts w:ascii="Arial" w:cs="Arial" w:eastAsia="Arial" w:hAnsi="Arial"/>
                <w:sz w:val="14"/>
                <w:szCs w:val="14"/>
                <w:color w:val="auto"/>
                <w:w w:val="95"/>
              </w:rPr>
              <w:t>Contractual Life</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18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2,794,415</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3.41</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Granted</w:t>
            </w:r>
          </w:p>
        </w:tc>
        <w:tc>
          <w:tcPr>
            <w:tcW w:w="2980" w:type="dxa"/>
            <w:vAlign w:val="bottom"/>
            <w:gridSpan w:val="3"/>
          </w:tcPr>
          <w:p>
            <w:pPr>
              <w:jc w:val="right"/>
              <w:ind w:right="340"/>
              <w:spacing w:after="0"/>
              <w:rPr>
                <w:sz w:val="20"/>
                <w:szCs w:val="20"/>
                <w:color w:val="auto"/>
              </w:rPr>
            </w:pPr>
            <w:r>
              <w:rPr>
                <w:rFonts w:ascii="Arial" w:cs="Arial" w:eastAsia="Arial" w:hAnsi="Arial"/>
                <w:sz w:val="18"/>
                <w:szCs w:val="18"/>
                <w:color w:val="auto"/>
              </w:rPr>
              <w:t>432,500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3.02</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(284,681)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1.72</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Expired</w:t>
            </w:r>
          </w:p>
        </w:tc>
        <w:tc>
          <w:tcPr>
            <w:tcW w:w="2980" w:type="dxa"/>
            <w:vAlign w:val="bottom"/>
            <w:gridSpan w:val="3"/>
          </w:tcPr>
          <w:p>
            <w:pPr>
              <w:jc w:val="right"/>
              <w:ind w:right="280"/>
              <w:spacing w:after="0"/>
              <w:rPr>
                <w:sz w:val="20"/>
                <w:szCs w:val="20"/>
                <w:color w:val="auto"/>
              </w:rPr>
            </w:pPr>
            <w:r>
              <w:rPr>
                <w:rFonts w:ascii="Arial" w:cs="Arial" w:eastAsia="Arial" w:hAnsi="Arial"/>
                <w:sz w:val="18"/>
                <w:szCs w:val="18"/>
                <w:color w:val="auto"/>
              </w:rPr>
              <w:t>(50,100)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4.74</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(69,000)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2.36</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Outstanding at June 30, 2006</w:t>
            </w:r>
          </w:p>
        </w:tc>
        <w:tc>
          <w:tcPr>
            <w:tcW w:w="18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2,823,134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620" w:type="dxa"/>
            <w:vAlign w:val="bottom"/>
          </w:tcPr>
          <w:p>
            <w:pPr>
              <w:spacing w:after="0"/>
              <w:rPr>
                <w:sz w:val="19"/>
                <w:szCs w:val="19"/>
                <w:color w:val="auto"/>
              </w:rPr>
            </w:pPr>
          </w:p>
        </w:tc>
        <w:tc>
          <w:tcPr>
            <w:tcW w:w="1680" w:type="dxa"/>
            <w:vAlign w:val="bottom"/>
            <w:gridSpan w:val="2"/>
          </w:tcPr>
          <w:p>
            <w:pPr>
              <w:ind w:left="260"/>
              <w:spacing w:after="0"/>
              <w:rPr>
                <w:sz w:val="20"/>
                <w:szCs w:val="20"/>
                <w:color w:val="auto"/>
              </w:rPr>
            </w:pPr>
            <w:r>
              <w:rPr>
                <w:rFonts w:ascii="Arial" w:cs="Arial" w:eastAsia="Arial" w:hAnsi="Arial"/>
                <w:sz w:val="18"/>
                <w:szCs w:val="18"/>
                <w:color w:val="auto"/>
              </w:rPr>
              <w:t>4.5 years</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$ 2,986,807</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June 30, 2006</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1,904,384</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3.86</w:t>
            </w:r>
          </w:p>
        </w:tc>
        <w:tc>
          <w:tcPr>
            <w:tcW w:w="16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4.9 years</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$ 2,061,085</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800" w:type="dxa"/>
            <w:vAlign w:val="bottom"/>
            <w:vMerge w:val="restart"/>
          </w:tcPr>
          <w:p>
            <w:pPr>
              <w:jc w:val="right"/>
              <w:ind w:right="50"/>
              <w:spacing w:after="0"/>
              <w:rPr>
                <w:sz w:val="20"/>
                <w:szCs w:val="20"/>
                <w:color w:val="auto"/>
              </w:rPr>
            </w:pPr>
            <w:r>
              <w:rPr>
                <w:rFonts w:ascii="Arial" w:cs="Arial" w:eastAsia="Arial" w:hAnsi="Arial"/>
                <w:sz w:val="18"/>
                <w:szCs w:val="18"/>
                <w:color w:val="auto"/>
              </w:rPr>
              <w:t>7</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10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10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STOCK-BASED COMPENSATION (continued)</w:t>
      </w:r>
    </w:p>
    <w:p>
      <w:pPr>
        <w:spacing w:after="0" w:line="12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The aggregate intrinsic value in the table above represents the total difference between the Company’s closing stock price on June 30, 2006 of $3.82 and the option exercise price, multiplied by the number of in-the-money options as of June 30, 2006. As of June 30, 2006, total unrecognized compensation expense related to non-vested stock options is $1,270,740, net of estimated forfeitures, with a weighted average expense recognition period of 3 years.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relative to option activity during the three and six month periods ended June 30, 2006 and 2005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40" w:type="dxa"/>
            <w:vAlign w:val="bottom"/>
            <w:gridSpan w:val="6"/>
          </w:tcPr>
          <w:p>
            <w:pPr>
              <w:ind w:left="380"/>
              <w:spacing w:after="0"/>
              <w:rPr>
                <w:sz w:val="20"/>
                <w:szCs w:val="20"/>
                <w:color w:val="auto"/>
              </w:rPr>
            </w:pPr>
            <w:r>
              <w:rPr>
                <w:rFonts w:ascii="Arial" w:cs="Arial" w:eastAsia="Arial" w:hAnsi="Arial"/>
                <w:sz w:val="14"/>
                <w:szCs w:val="14"/>
                <w:color w:val="auto"/>
              </w:rPr>
              <w:t>Three Months Ended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ind w:left="440"/>
              <w:spacing w:after="0"/>
              <w:rPr>
                <w:sz w:val="20"/>
                <w:szCs w:val="20"/>
                <w:color w:val="auto"/>
              </w:rPr>
            </w:pPr>
            <w:r>
              <w:rPr>
                <w:rFonts w:ascii="Arial" w:cs="Arial" w:eastAsia="Arial" w:hAnsi="Arial"/>
                <w:sz w:val="14"/>
                <w:szCs w:val="14"/>
                <w:color w:val="auto"/>
                <w:w w:val="93"/>
              </w:rPr>
              <w:t>Six Months Ended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June 30, 2006</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June 30, 2005</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June 30, 2006</w:t>
            </w: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June 30,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of stock options granted</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Total fair value of stock options vested</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186,050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133,670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533,146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328,932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intrinsic value of stock options exercised</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656,582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179,148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661,127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242,298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8"/>
                <w:szCs w:val="18"/>
                <w:color w:val="auto"/>
              </w:rPr>
              <w:t>Cash proceeds from exercise of stock options</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456,810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423,456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489,152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478,515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spacing w:after="0" w:line="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Employee Stock Purchase Plan (Purchase Plan) incorporates the provisions of Section 423 of the Internal Revenue Code. Under the Purchase Plan, 1,000,000 shares of common stock have been reserved for purchase by employees. The Purchase Plan provides for annual offer periods of twelve months to eligible employees. Under the Purchase Plan, eligible employees can purchase through payroll deductions, the lower of up to 15% of their eligible base compensation or 2,500 shares of common stock, at a price equivalent to 85% of the lower of the beginning or end of year price. As of June 30, 2006, there are 623,774 shares available for issuance under the Purchase Plan. In accordance with the provisions of Statement 123(R), the Company recognized $4,305 and $41,300 of stock-based compensation expense for the Purchase Plan during the three and six months ended June 30, 2006,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 March 28, 2005, the Company acquired all of the stock of Data Management &amp; Research, Inc. (DMR) for approximately $10.7 million, consisting of</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$9.1 million in cash and 479,234 shares of our common stock. Of the common stock portion, 319,489 shares were deposited in an escrow account to be held for eighteen months from the acquisition date, subject to any claims for indemnification pursuant to the stock purchase agreement. There have been no claims against the escrowed shares as of June 30, 2006. The Company also incurred direct, incremental expenses associated with the acquisition of approximately $0.4 million. Goodwill recorded in connection with the acquisition will generate deductible amortization for federal income tax purposes. DMR provides healthcare organizations a wide range of quality and satisfaction surveys, data analyses of survey results, and other research-based measurement tools focused on physicians, patients, and employees. The results of operations for DMR have been included in the Company’s statement of operations effective March 29, 2005.</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unaudited results of operations give effect to the operations of DMR as if the acquisition had occurred as of January 1, 2005. These unaudited results of operations include certain adjustments arising from the acquisition such as owner compensation and amortization expense. The pro forma results of operations do not purport to represent what the Company’s results of operations would have been had such transactions in fact occurred at the beginning of the period presented or to project the Company’s results of operations in any future period.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color w:val="auto"/>
                <w:w w:val="99"/>
              </w:rPr>
              <w:t>Six months ended</w:t>
            </w:r>
          </w:p>
        </w:tc>
        <w:tc>
          <w:tcPr>
            <w:tcW w:w="0" w:type="dxa"/>
            <w:vAlign w:val="bottom"/>
          </w:tcPr>
          <w:p>
            <w:pPr>
              <w:spacing w:after="0"/>
              <w:rPr>
                <w:sz w:val="1"/>
                <w:szCs w:val="1"/>
                <w:color w:val="auto"/>
              </w:rPr>
            </w:pPr>
          </w:p>
        </w:tc>
      </w:tr>
      <w:tr>
        <w:trPr>
          <w:trHeight w:val="167"/>
        </w:trPr>
        <w:tc>
          <w:tcPr>
            <w:tcW w:w="36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90"/>
              </w:rPr>
              <w:t>June 30, 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13,899,025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67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vMerge w:val="continue"/>
          </w:tcPr>
          <w:p>
            <w:pPr>
              <w:spacing w:after="0"/>
              <w:rPr>
                <w:sz w:val="18"/>
                <w:szCs w:val="18"/>
                <w:color w:val="auto"/>
              </w:rPr>
            </w:pPr>
          </w:p>
        </w:tc>
        <w:tc>
          <w:tcPr>
            <w:tcW w:w="6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6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6740" w:type="dxa"/>
            <w:vAlign w:val="bottom"/>
            <w:gridSpan w:val="2"/>
          </w:tcPr>
          <w:p>
            <w:pPr>
              <w:ind w:left="66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6640" w:type="dxa"/>
            <w:vAlign w:val="bottom"/>
            <w:vMerge w:val="restart"/>
          </w:tcPr>
          <w:p>
            <w:pPr>
              <w:jc w:val="right"/>
              <w:ind w:right="443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640" w:type="dxa"/>
            <w:vAlign w:val="bottom"/>
          </w:tcPr>
          <w:p>
            <w:pPr>
              <w:spacing w:after="0"/>
              <w:rPr>
                <w:sz w:val="24"/>
                <w:szCs w:val="24"/>
                <w:color w:val="auto"/>
              </w:rPr>
            </w:pPr>
          </w:p>
        </w:tc>
        <w:tc>
          <w:tcPr>
            <w:tcW w:w="66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40" w:type="dxa"/>
            <w:vAlign w:val="bottom"/>
            <w:tcBorders>
              <w:bottom w:val="single" w:sz="8" w:color="808080"/>
            </w:tcBorders>
          </w:tcPr>
          <w:p>
            <w:pPr>
              <w:spacing w:after="0"/>
              <w:rPr>
                <w:sz w:val="19"/>
                <w:szCs w:val="19"/>
                <w:color w:val="auto"/>
              </w:rPr>
            </w:pPr>
          </w:p>
        </w:tc>
        <w:tc>
          <w:tcPr>
            <w:tcW w:w="6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1.8 million and 1.4 million for the three and six months ended June 30, 2006 and 2005,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income per share for three and six months ended June 30, 2006 and 2005: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6"/>
          </w:tcPr>
          <w:p>
            <w:pPr>
              <w:jc w:val="right"/>
              <w:ind w:right="12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460" w:type="dxa"/>
            <w:vAlign w:val="bottom"/>
            <w:gridSpan w:val="5"/>
          </w:tcPr>
          <w:p>
            <w:pPr>
              <w:ind w:left="5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4"/>
                <w:szCs w:val="14"/>
                <w:color w:val="auto"/>
                <w:w w:val="94"/>
              </w:rPr>
              <w:t>June 30, 2006</w:t>
            </w:r>
          </w:p>
        </w:tc>
        <w:tc>
          <w:tcPr>
            <w:tcW w:w="580" w:type="dxa"/>
            <w:vAlign w:val="bottom"/>
          </w:tcPr>
          <w:p>
            <w:pPr>
              <w:spacing w:after="0"/>
              <w:rPr>
                <w:sz w:val="14"/>
                <w:szCs w:val="14"/>
                <w:color w:val="auto"/>
              </w:rPr>
            </w:pPr>
          </w:p>
        </w:tc>
        <w:tc>
          <w:tcPr>
            <w:tcW w:w="1540" w:type="dxa"/>
            <w:vAlign w:val="bottom"/>
            <w:gridSpan w:val="3"/>
          </w:tcPr>
          <w:p>
            <w:pPr>
              <w:jc w:val="right"/>
              <w:ind w:right="680"/>
              <w:spacing w:after="0"/>
              <w:rPr>
                <w:sz w:val="20"/>
                <w:szCs w:val="20"/>
                <w:color w:val="auto"/>
              </w:rPr>
            </w:pPr>
            <w:r>
              <w:rPr>
                <w:rFonts w:ascii="Arial" w:cs="Arial" w:eastAsia="Arial" w:hAnsi="Arial"/>
                <w:sz w:val="14"/>
                <w:szCs w:val="14"/>
                <w:color w:val="auto"/>
                <w:w w:val="94"/>
              </w:rPr>
              <w:t>June 30, 2005</w:t>
            </w:r>
          </w:p>
        </w:tc>
        <w:tc>
          <w:tcPr>
            <w:tcW w:w="1540" w:type="dxa"/>
            <w:vAlign w:val="bottom"/>
            <w:gridSpan w:val="3"/>
          </w:tcPr>
          <w:p>
            <w:pPr>
              <w:ind w:left="60"/>
              <w:spacing w:after="0"/>
              <w:rPr>
                <w:sz w:val="20"/>
                <w:szCs w:val="20"/>
                <w:color w:val="auto"/>
              </w:rPr>
            </w:pPr>
            <w:r>
              <w:rPr>
                <w:rFonts w:ascii="Arial" w:cs="Arial" w:eastAsia="Arial" w:hAnsi="Arial"/>
                <w:sz w:val="14"/>
                <w:szCs w:val="14"/>
                <w:color w:val="auto"/>
              </w:rPr>
              <w:t>June 30, 2006</w:t>
            </w: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June 30,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288,679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23,197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947,146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167,363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21,475,021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21,054,335</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21,379,673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20,870,061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Employee stock options and other</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994,081</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1,009,844</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924,431</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22,469,102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22,064,179</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22,304,104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21,765,611</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SEGMENTS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two reportable segments, services provided to healthcare organizations and professionals (HCO) and services provided to pharmaceutical and medical device companies (PMD). On March 28, 2005, we acquired DMR, a company focused on offering healthcare organizations a wide range of quality and satisfaction surveys, data analyses of survey results, and other research-based measurement tools. Accordingly, DMR has been included in our HCO business segment. The accounting policies of the segments are the same as those described in the summary of significant accounting policies in our Annual Report on Form 10-K for the year ended December 31, 2005. We manage and operate our business segments based on the markets they serve and the products and services provided to those markets.</w:t>
      </w:r>
    </w:p>
    <w:p>
      <w:pPr>
        <w:spacing w:after="0" w:line="8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following is our business segment information as of and for the three and six months ended June 30, 2006 and 2005. We measure segment performance based on operating income (loss) before income taxes and prior to the allocation of corporate overhead expenses, interest income, interest expense, and depreciation.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7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560" w:type="dxa"/>
            <w:vAlign w:val="bottom"/>
            <w:tcBorders>
              <w:top w:val="single" w:sz="8" w:color="auto"/>
            </w:tcBorders>
            <w:gridSpan w:val="3"/>
          </w:tcPr>
          <w:p>
            <w:pPr>
              <w:jc w:val="right"/>
              <w:ind w:right="700"/>
              <w:spacing w:after="0" w:line="142" w:lineRule="exact"/>
              <w:rPr>
                <w:sz w:val="20"/>
                <w:szCs w:val="20"/>
                <w:color w:val="auto"/>
              </w:rPr>
            </w:pPr>
            <w:r>
              <w:rPr>
                <w:rFonts w:ascii="Arial" w:cs="Arial" w:eastAsia="Arial" w:hAnsi="Arial"/>
                <w:sz w:val="14"/>
                <w:szCs w:val="14"/>
                <w:color w:val="auto"/>
                <w:w w:val="94"/>
              </w:rPr>
              <w:t>June 30, 2006</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2"/>
              </w:rPr>
              <w:t>June 30, 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HCO</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6,383,857</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5,272,959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PMD</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1,839,843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1,533,461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4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8,223,700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6,806,420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HCO</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2,351,384</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1,764,879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PMD</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(284,746)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4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(1,938,442)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(1,883,667)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(loss) from operations</w:t>
            </w:r>
          </w:p>
        </w:tc>
        <w:tc>
          <w:tcPr>
            <w:tcW w:w="4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128,196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540" w:type="dxa"/>
            <w:vAlign w:val="bottom"/>
            <w:vMerge w:val="restart"/>
          </w:tcPr>
          <w:p>
            <w:pPr>
              <w:jc w:val="right"/>
              <w:ind w:right="301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300" w:type="dxa"/>
            <w:vAlign w:val="bottom"/>
            <w:tcBorders>
              <w:bottom w:val="single" w:sz="8" w:color="808080"/>
            </w:tcBorders>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SEGMENTS (continued)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84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580" w:type="dxa"/>
            <w:vAlign w:val="bottom"/>
            <w:gridSpan w:val="3"/>
          </w:tcPr>
          <w:p>
            <w:pPr>
              <w:jc w:val="right"/>
              <w:ind w:right="720"/>
              <w:spacing w:after="0"/>
              <w:rPr>
                <w:sz w:val="20"/>
                <w:szCs w:val="20"/>
                <w:color w:val="auto"/>
              </w:rPr>
            </w:pPr>
            <w:r>
              <w:rPr>
                <w:rFonts w:ascii="Arial" w:cs="Arial" w:eastAsia="Arial" w:hAnsi="Arial"/>
                <w:sz w:val="14"/>
                <w:szCs w:val="14"/>
                <w:color w:val="auto"/>
                <w:w w:val="94"/>
              </w:rPr>
              <w:t>June 30, 2006</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color w:val="auto"/>
                <w:w w:val="94"/>
              </w:rPr>
              <w:t>June 30,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HCO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12,117,026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9,239,954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PMD</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9"/>
              </w:rPr>
              <w:t>3,629,314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3,248,868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15,746,340</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12,488,822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HCO</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w w:val="99"/>
              </w:rPr>
              <w:t>4,483,772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3,350,097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PMD</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(79,578)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18"/>
                <w:szCs w:val="18"/>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(3,727,248)</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(3,652,498)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676,946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account for goodwill under the provisions of SFAS No. 142, “Goodwill and Other Intangible Assets.” We test goodwill for impairment using a discounted cash flow model. The technique used to determine the fair value of our reporting units is sensitive to estimates and assumptions associated with cash flow from operations and its growth, discount rates, and reporting unit terminal values. If these estimates or their related assumptions change in the future, we may be required to record impairment charges, which could adversely impact our operating results for the period in which such a determination is made. We perform our annual impairment evaluation of goodwill during the fourth quarter of each year and as changes in facts and circumstances indicate impairment exists.</w:t>
      </w:r>
    </w:p>
    <w:p>
      <w:pPr>
        <w:spacing w:after="0" w:line="8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On March 28, 2005, we acquired DMR. The amount of goodwill related to the acquisition of DMR at June 30, 2005 represented a preliminary estimate, and was subsequently adjusted based on the final purchase price allocation, which was completed during the fourth quarter of 2005. There were no changes in the carrying amount of goodwill during the six months ended June 30, 2006.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HCO</w:t>
            </w:r>
          </w:p>
        </w:tc>
        <w:tc>
          <w:tcPr>
            <w:tcW w:w="640" w:type="dxa"/>
            <w:vAlign w:val="bottom"/>
          </w:tcPr>
          <w:p>
            <w:pPr>
              <w:spacing w:after="0"/>
              <w:rPr>
                <w:sz w:val="14"/>
                <w:szCs w:val="14"/>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PMD</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3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$ 8,993,666</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$ 1,323,727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10,317,393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2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2006</w:t>
            </w:r>
          </w:p>
        </w:tc>
        <w:tc>
          <w:tcPr>
            <w:tcW w:w="2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$ 8,993,666</w:t>
            </w:r>
          </w:p>
        </w:tc>
        <w:tc>
          <w:tcPr>
            <w:tcW w:w="6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$ 1,323,727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10,317,393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HCO</w:t>
            </w:r>
          </w:p>
        </w:tc>
        <w:tc>
          <w:tcPr>
            <w:tcW w:w="640" w:type="dxa"/>
            <w:vAlign w:val="bottom"/>
          </w:tcPr>
          <w:p>
            <w:pPr>
              <w:spacing w:after="0"/>
              <w:rPr>
                <w:sz w:val="24"/>
                <w:szCs w:val="24"/>
                <w:color w:val="auto"/>
              </w:rPr>
            </w:pPr>
          </w:p>
        </w:tc>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PMD</w:t>
            </w:r>
          </w:p>
        </w:tc>
        <w:tc>
          <w:tcPr>
            <w:tcW w:w="6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2005</w:t>
            </w:r>
          </w:p>
        </w:tc>
        <w:tc>
          <w:tcPr>
            <w:tcW w:w="38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$ 1,982,961</w:t>
            </w: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$ 1,323,727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3,306,688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Changes in carrying value of goodwill</w:t>
            </w:r>
          </w:p>
        </w:tc>
        <w:tc>
          <w:tcPr>
            <w:tcW w:w="2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8,010,852</w:t>
            </w:r>
          </w:p>
        </w:tc>
        <w:tc>
          <w:tcPr>
            <w:tcW w:w="640" w:type="dxa"/>
            <w:vAlign w:val="bottom"/>
          </w:tcPr>
          <w:p>
            <w:pPr>
              <w:spacing w:after="0"/>
              <w:rPr>
                <w:sz w:val="18"/>
                <w:szCs w:val="18"/>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8,010,852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23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2005</w:t>
            </w:r>
          </w:p>
        </w:tc>
        <w:tc>
          <w:tcPr>
            <w:tcW w:w="2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$ 9,993,813</w:t>
            </w:r>
          </w:p>
        </w:tc>
        <w:tc>
          <w:tcPr>
            <w:tcW w:w="6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$ 1,323,727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11,317,540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All identifiable intangible assets have been evaluated in accordance with SFAS No. 142 and are considered to have finite useful lives. Intangible assets with finite lives are being amortized over their estimated useful lives, ranging from one to eight years. Amortization of intangible assets was $127,083 and $254,166 for the three and six months ended June 30, 2006, respectively, and $224,072 and $311,972 for the three and six months ended June 30, 2005,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are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As of June 30, 2006</w:t>
            </w: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4"/>
                <w:szCs w:val="14"/>
                <w:color w:val="auto"/>
                <w:w w:val="99"/>
              </w:rPr>
              <w:t>As of December 31, 2005</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gridSpan w:val="2"/>
          </w:tcPr>
          <w:p>
            <w:pPr>
              <w:jc w:val="right"/>
              <w:ind w:right="80"/>
              <w:spacing w:after="0" w:line="123" w:lineRule="exact"/>
              <w:rPr>
                <w:sz w:val="20"/>
                <w:szCs w:val="20"/>
                <w:color w:val="auto"/>
              </w:rPr>
            </w:pPr>
            <w:r>
              <w:rPr>
                <w:rFonts w:ascii="Arial" w:cs="Arial" w:eastAsia="Arial" w:hAnsi="Arial"/>
                <w:sz w:val="14"/>
                <w:szCs w:val="14"/>
                <w:color w:val="auto"/>
              </w:rPr>
              <w:t>Accumulated</w:t>
            </w: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gridSpan w:val="2"/>
          </w:tcPr>
          <w:p>
            <w:pPr>
              <w:jc w:val="right"/>
              <w:ind w:right="560"/>
              <w:spacing w:after="0" w:line="123" w:lineRule="exact"/>
              <w:rPr>
                <w:sz w:val="20"/>
                <w:szCs w:val="20"/>
                <w:color w:val="auto"/>
              </w:rPr>
            </w:pPr>
            <w:r>
              <w:rPr>
                <w:rFonts w:ascii="Arial" w:cs="Arial" w:eastAsia="Arial" w:hAnsi="Arial"/>
                <w:sz w:val="14"/>
                <w:szCs w:val="14"/>
                <w:color w:val="auto"/>
              </w:rPr>
              <w:t>Accumulated</w:t>
            </w: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Gross Amount</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Net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6"/>
              </w:rPr>
              <w:t>Gross Amount</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Amortization</w:t>
            </w:r>
          </w:p>
        </w:tc>
        <w:tc>
          <w:tcPr>
            <w:tcW w:w="580" w:type="dxa"/>
            <w:vAlign w:val="bottom"/>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Net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6,340,000</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(3,474,743)</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$ 2,865,257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6,340,000</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(3,262,243)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$ 3,077,757</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Content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3,500,000</w:t>
            </w: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(3,500,000)</w:t>
            </w:r>
          </w:p>
        </w:tc>
        <w:tc>
          <w:tcPr>
            <w:tcW w:w="4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3,500,000</w:t>
            </w:r>
          </w:p>
        </w:tc>
        <w:tc>
          <w:tcPr>
            <w:tcW w:w="1940" w:type="dxa"/>
            <w:vAlign w:val="bottom"/>
            <w:gridSpan w:val="3"/>
          </w:tcPr>
          <w:p>
            <w:pPr>
              <w:jc w:val="right"/>
              <w:ind w:right="440"/>
              <w:spacing w:after="0"/>
              <w:rPr>
                <w:sz w:val="20"/>
                <w:szCs w:val="20"/>
                <w:color w:val="auto"/>
              </w:rPr>
            </w:pPr>
            <w:r>
              <w:rPr>
                <w:rFonts w:ascii="Arial" w:cs="Arial" w:eastAsia="Arial" w:hAnsi="Arial"/>
                <w:sz w:val="18"/>
                <w:szCs w:val="18"/>
                <w:color w:val="auto"/>
              </w:rPr>
              <w:t>(3,500,000)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672,142</w:t>
            </w:r>
          </w:p>
        </w:tc>
        <w:tc>
          <w:tcPr>
            <w:tcW w:w="2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(527,251)</w:t>
            </w:r>
          </w:p>
        </w:tc>
        <w:tc>
          <w:tcPr>
            <w:tcW w:w="16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144,891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672,142</w:t>
            </w:r>
          </w:p>
        </w:tc>
        <w:tc>
          <w:tcPr>
            <w:tcW w:w="19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(485,585)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186,557</w:t>
            </w:r>
          </w:p>
        </w:tc>
        <w:tc>
          <w:tcPr>
            <w:tcW w:w="0" w:type="dxa"/>
            <w:vAlign w:val="bottom"/>
          </w:tcPr>
          <w:p>
            <w:pPr>
              <w:spacing w:after="0"/>
              <w:rPr>
                <w:sz w:val="1"/>
                <w:szCs w:val="1"/>
                <w:color w:val="auto"/>
              </w:rPr>
            </w:pPr>
          </w:p>
        </w:tc>
      </w:tr>
      <w:tr>
        <w:trPr>
          <w:trHeight w:val="223"/>
        </w:trPr>
        <w:tc>
          <w:tcPr>
            <w:tcW w:w="2200" w:type="dxa"/>
            <w:vAlign w:val="bottom"/>
          </w:tcPr>
          <w:p>
            <w:pPr>
              <w:ind w:left="220"/>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10,512,142</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(7,501,994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$ 3,010,148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10,512,142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(7,247,828</w:t>
            </w:r>
          </w:p>
        </w:tc>
        <w:tc>
          <w:tcPr>
            <w:tcW w:w="580" w:type="dxa"/>
            <w:vAlign w:val="bottom"/>
          </w:tcPr>
          <w:p>
            <w:pPr>
              <w:jc w:val="right"/>
              <w:ind w:right="44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$ 3,264,314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10</w:t>
            </w: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20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104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2"/>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9120" w:type="dxa"/>
            <w:vAlign w:val="bottom"/>
          </w:tcPr>
          <w:p>
            <w:pPr>
              <w:jc w:val="center"/>
              <w:ind w:right="330"/>
              <w:spacing w:after="0"/>
              <w:rPr>
                <w:sz w:val="20"/>
                <w:szCs w:val="20"/>
                <w:color w:val="auto"/>
              </w:rPr>
            </w:pPr>
            <w:r>
              <w:rPr>
                <w:rFonts w:ascii="Arial" w:cs="Arial" w:eastAsia="Arial" w:hAnsi="Arial"/>
                <w:sz w:val="18"/>
                <w:szCs w:val="18"/>
                <w:b w:val="1"/>
                <w:bCs w:val="1"/>
                <w:color w:val="auto"/>
              </w:rPr>
              <w:t>HEALTHSTREAM, INC.</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12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NOTES TO CONDENSED CONSOLIDATED FINANCIAL STATEMENTS (Continued)</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80" w:type="dxa"/>
            <w:vAlign w:val="bottom"/>
            <w:gridSpan w:val="3"/>
          </w:tcPr>
          <w:p>
            <w:pPr>
              <w:spacing w:after="0"/>
              <w:rPr>
                <w:sz w:val="20"/>
                <w:szCs w:val="20"/>
                <w:color w:val="auto"/>
              </w:rPr>
            </w:pPr>
            <w:r>
              <w:rPr>
                <w:rFonts w:ascii="Arial" w:cs="Arial" w:eastAsia="Arial" w:hAnsi="Arial"/>
                <w:sz w:val="18"/>
                <w:szCs w:val="18"/>
                <w:b w:val="1"/>
                <w:bCs w:val="1"/>
                <w:color w:val="auto"/>
              </w:rPr>
              <w:t>7. INTANGIBLE ASSETS (continued)</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80" w:type="dxa"/>
            <w:vAlign w:val="bottom"/>
            <w:gridSpan w:val="3"/>
          </w:tcPr>
          <w:p>
            <w:pPr>
              <w:spacing w:after="0"/>
              <w:rPr>
                <w:sz w:val="20"/>
                <w:szCs w:val="20"/>
                <w:color w:val="auto"/>
              </w:rPr>
            </w:pPr>
            <w:r>
              <w:rPr>
                <w:rFonts w:ascii="Arial" w:cs="Arial" w:eastAsia="Arial" w:hAnsi="Arial"/>
                <w:sz w:val="18"/>
                <w:szCs w:val="18"/>
                <w:color w:val="auto"/>
              </w:rPr>
              <w:t>Estimated amortization expense for the periods and years ending December 31, is as follows: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2006 through December 31, 2006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254,167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2007</w:t>
            </w: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508,333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9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444,891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2009</w:t>
            </w:r>
          </w:p>
        </w:tc>
        <w:tc>
          <w:tcPr>
            <w:tcW w:w="9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 and thereafter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1,377,757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6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3,010,148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CONTENT RIGHTS AND DEFERRED SERVICE CREDITS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During the three months ended June 30, 2006, we completed updates and maintenance required to publish certain courseware owned by one of our customers and were provided the right to distribute and resell such courseware to our Internet-based customers. In exchange for receipt of an exclusive license to distribute and resell this courseware, we provided the customer with service credits that can be used to make future purchases of our products and services. We accounted for this transaction in accordance with Accounting Principles Board Opinion No. 29 “Accounting for Nonmonetary Transactions.” The value assigned to the content rights and the deferred service credits was $904,167, which represents the estimated fair value of the assets relinquished. The content rights are classified within prepaid development fees and other assets, and the service credits are classified within accrued liabilities and other long-term liabilities on our condensed consolidated balance sheet as of June 30, 2006.</w:t>
      </w:r>
    </w:p>
    <w:p>
      <w:pPr>
        <w:spacing w:after="0" w:line="70"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The service credits will be issued annually through December 31, 2008 and they expire twenty-four months after issuance, and unused credits will be forfeited. As of June 30, 2006, we are obligated to issue remaining credits of $799,167 through December 31, 2008. Additional service credits may be provided in the future if the customer provides additional courseware rights to us. The content rights are being amortized on a straight-line basis through December 31, 2008. Revenues for services provided in exchange for service credits will be recognized in accordance with our revenue recognition policies.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Taxable income for the year is expected to be reduced by available net operating loss carryforwards to the extent allowed by current tax regulations. We expect to achieve taxable income for the full year of 2006, and have recorded a tax provision of $16,500 associated with the alternative minimum tax based on taxable income for the six months ended June 30, 2006. The $8,000 tax benefit recorded during the three months ended June 30, 2006 resulted primarily from stock option exercises.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July 21, 2006, the Company entered into a revolving credit facility loan agreement with SunTrust Bank for an aggregate principal amount of $7.0 million. The loan matures on July 21, 2009, and bears interest at a variable rate based on the 30 Day LIBOR Rate plus 150 basis points. The revolving credit facility includes certain financial and other covenants, including a maximum leverage ratio and minimum net tangible worth requirement. Borrowings under the revolving credit facility may be used to provide funds for general working capital needs, permitted acquisitions (as defined in the loan agreement), and for stock repurchase and/or redemption transactions that SunTrust Bank may authorize. Unused balances under the revolving credit facility are subject to a 10 basis point fee per annum.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08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260"/>
        <w:spacing w:after="0" w:line="259" w:lineRule="auto"/>
        <w:rPr>
          <w:sz w:val="20"/>
          <w:szCs w:val="20"/>
          <w:color w:val="auto"/>
        </w:rPr>
      </w:pPr>
      <w:r>
        <w:rPr>
          <w:rFonts w:ascii="Arial" w:cs="Arial" w:eastAsia="Arial" w:hAnsi="Arial"/>
          <w:sz w:val="18"/>
          <w:szCs w:val="18"/>
          <w:color w:val="auto"/>
        </w:rPr>
        <w:t>This Quarterly Report includes various forward-looking statements that are subject to risks and uncertainties. Forward-looking statements include without limitation, statements preceded by, followed by, or that otherwise include the words “believes,” “expects,” “anticipates,” “intends,” “estimates” or similar expressions. For those statements, HealthStream, Inc. claims the protection of the safe harbor for forward-looking statements contained in the Private Securities Litigation Reform Act of 1995.</w:t>
      </w:r>
    </w:p>
    <w:p>
      <w:pPr>
        <w:spacing w:after="0" w:line="7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following important factors, in addition to those discussed elsewhere in this Quarterly Report and in our Annual Report on Form 10-K, could affect our future financial results and could cause actual results to differ materially from those expressed in forward-looking statements contained in this document:</w:t>
      </w:r>
    </w:p>
    <w:p>
      <w:pPr>
        <w:spacing w:after="0" w:line="16" w:lineRule="exact"/>
        <w:rPr>
          <w:sz w:val="20"/>
          <w:szCs w:val="20"/>
          <w:color w:val="auto"/>
        </w:rPr>
      </w:pPr>
    </w:p>
    <w:p>
      <w:pPr>
        <w:ind w:left="660" w:right="70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our ability to effectively implement our growth strategy, as well as manage growth of our operations and infrastructure, including effective identification and integration of acquisitions;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variability and length of our sales cycle;</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our ability to accurately forecast results of operations due to certain revenue components being subject to significant fluctuations and an increase in the percentage of our business subject to renewal;</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our ability to reach agreement on a revised multi-year agreement with HCA, Inc. for our Internet-based HLC product;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our ability to adequately address our customers’ needs in products and services;</w:t>
      </w:r>
    </w:p>
    <w:p>
      <w:pPr>
        <w:spacing w:after="0" w:line="130" w:lineRule="exact"/>
        <w:rPr>
          <w:rFonts w:ascii="Arial" w:cs="Arial" w:eastAsia="Arial" w:hAnsi="Arial"/>
          <w:sz w:val="18"/>
          <w:szCs w:val="18"/>
          <w:b w:val="1"/>
          <w:bCs w:val="1"/>
          <w:color w:val="auto"/>
        </w:rPr>
      </w:pPr>
    </w:p>
    <w:p>
      <w:pPr>
        <w:ind w:left="660" w:right="58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pressure on healthcare organizations and pharmaceutical/medical device companies to reduce costs to customers could result in financial pressures on customers to cut back on our services;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our ability to maintain and continue our competitive position against current and potential competitors;</w:t>
      </w:r>
    </w:p>
    <w:p>
      <w:pPr>
        <w:spacing w:after="0" w:line="130" w:lineRule="exact"/>
        <w:rPr>
          <w:rFonts w:ascii="Arial" w:cs="Arial" w:eastAsia="Arial" w:hAnsi="Arial"/>
          <w:sz w:val="18"/>
          <w:szCs w:val="18"/>
          <w:b w:val="1"/>
          <w:bCs w:val="1"/>
          <w:color w:val="auto"/>
        </w:rPr>
      </w:pPr>
    </w:p>
    <w:p>
      <w:pPr>
        <w:ind w:left="660" w:right="54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our ability to develop enhancements to our existing products and services, achieve widespread acceptance of new features, or keep pace with technological developments;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our ability to obtain proper distribution rights from content partners to support growth in courseware subscriptions;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our ability to achieve profitability on a consistent basis;</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fluctuations in quarterly operating results caused by a variety of factors including the timing of sales, subscription revenue recognition and customer subscription renewals;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loss of a significant customer and concentration of a significant portion of our revenue with a relatively small number of customers;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our ability to adequately develop and maintain our network infrastructure, computer systems, software and related security;</w:t>
      </w:r>
    </w:p>
    <w:p>
      <w:pPr>
        <w:spacing w:after="0" w:line="130" w:lineRule="exact"/>
        <w:rPr>
          <w:rFonts w:ascii="Arial" w:cs="Arial" w:eastAsia="Arial" w:hAnsi="Arial"/>
          <w:sz w:val="18"/>
          <w:szCs w:val="18"/>
          <w:b w:val="1"/>
          <w:bCs w:val="1"/>
          <w:color w:val="auto"/>
        </w:rPr>
      </w:pPr>
    </w:p>
    <w:p>
      <w:pPr>
        <w:ind w:left="660" w:right="340" w:hanging="436"/>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effect of governmental regulation on us, our business partners and our customers, including, without limitation, changes in federal, state and international laws or other regulations regarding education, training and Internet transactions;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other risk factors detailed in our Annual Report on Form 10-K and other filings with the Securities and Exchange Commission.</w:t>
      </w:r>
    </w:p>
    <w:p>
      <w:pPr>
        <w:spacing w:after="0" w:line="1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Critical Accounting Policies and Estimates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HealthStream was incorporated in 1990 and began marketing its Internet-based solutions in March 1999. The Company focuses on being a facilitator of training and information tools for entities in the healthcare industry. Revenues from the healthcare organizations business unit (HCO) are derived from the following categories: provision of services through our Internet-based HealthStream Learning Center, courseware subscriptions, survey and research services, a variety of complementary online products, and maintenance and support of installed learning management products. Revenues from the pharmaceutical and medical device company business unit (PMD) are derived from live event development, online training and content development, and other educational and training services.</w:t>
      </w:r>
    </w:p>
    <w:p>
      <w:pPr>
        <w:spacing w:after="0" w:line="8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that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Product development costs and related capitalization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Stock-based compensation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Nonmonetary exchanges</w:t>
      </w:r>
    </w:p>
    <w:p>
      <w:pPr>
        <w:spacing w:after="0" w:line="11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Annual Report on Form 10-K for the year ended December 31, 2005 filed with the Securities and Exchange Commission, which contains additional information regarding our accounting policies and other disclosures required by US GAAP. On January 1, 2006, we adopted SFAS No. 123(R), “Share-Based Payments” using a modified-prospective approach. Also, as a result of our issuance of service credits in exchange for content rights, we recorded an asset and deferred liability resulting from this nonmonetary transaction. Other than the adoption of Statement 123(R) and our accounting for nonmonetary exchanges, there have been no changes in our critical accounting policies and estimates from those reported in our Annual Report on Form 10-K for the year ended December 31, 2005.</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Payments.” Statement 123(R) supersedes APB Opinion No. 25, “Accounting for Stock Issued to Employees,” (APB 25) and requires companies to recognize compensation expense, using a fair-value based method, for costs related to share-based payments, including stock options. The Company adopted Statement 123(R) on January 1, 2006 and implemented it using the modified-prospective method for transition purposes, therefore prior period financial results have not been restated. The modified-prospective method requires compensation expense be recorded for all unvested share-based payments outstanding prior to adoption and for all share-based payments issued subsequent to adoption using a fair value approach. We use the Black Scholes option pricing model for calculating fair value of our stock-based compensation plans.</w:t>
      </w:r>
    </w:p>
    <w:p>
      <w:pPr>
        <w:spacing w:after="0" w:line="8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Prior to adopting Statement 123(R), we accounted for stock-based compensation arrangements under APB 25, which utilized an intrinsic value approach to recognizing compensation expense. Since we granted stock options with exercise prices equivalent to the market price of our stock on the grant date, our accounting for stock-based compensation under the provisions of APB 25 resulted in nominal compensation expense recorded in our historical financial statements. Prior to January 1, 2006 we disclosed pro-forma financial results under the provisions of SFAS No. 123 “Accounting for Stock-Based Compensation” utilizing the Black Scholes option pricing model. The fair value method used under Statement 123 is similar to the method we will use going forward under Statement 123(R), with the exception that forfeitures will be estimated on the grant date, and adjusted periodically if actual forfeitures vary significantly from our estimates.</w:t>
      </w:r>
    </w:p>
    <w:p>
      <w:pPr>
        <w:spacing w:after="0" w:line="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During the three and six months ended June 30, 2006, we recorded $228,258 and $377,634 respectively, of stock-based compensation expense resulting from the adoption of Statement 123(R). We typically grant stock options to our management group on an annual basis. We grant stock options to members of our board of directors in conjunction with our annual shareholders meeting. We expect to continue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this practice for the foreseeable future. As of June 30, 2006, total future compensation cost related to non-vested awards not yet recognized is $1,270,740, net of estimated forfeitures, with a weighted average expense recognition period of 3.0 years. We estimate that stock-based compensation expense will range between $600,000 and $700,000 for 2006. Actual results could differ from this estimate depending on the timing and size of new awards granted, changes in the market price or volatility of our common stock, changes in risk-free interest rates, or if actual forfeitures vary significantly from our estimates.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Nonmonetary Exchange of Content Rights and Deferred Service Credits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three months ended June 30, 2006, we completed updates and maintenance required to publish certain courseware owned by one of our customers and were provided the right to distribute and resell such courseware to our Internet-based customers. In exchange for receipt of an exclusive license to distribute and resell this courseware, we provided the customer with service credits that can be used to make future purchases of our products and services. We accounted for this transaction in accordance with Accounting Principles Board Opinion No. 29 “Accounting for Nonmonetary Transactions.” The value assigned to the content rights and the deferred service credits was $904,167, which represents the estimated fair value of the assets relinquished. The content rights are classified within prepaid development fees and other assets, and the service credits are classified within accrued liabilities and other long-term liabilities on our condensed consolidated balance sheet as of June 30, 2006.</w:t>
      </w:r>
    </w:p>
    <w:p>
      <w:pPr>
        <w:spacing w:after="0" w:line="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The service credits will be issued annually through December 31, 2008 and they expire twenty-four months after issuance, and unused credits will be forfeited. As of June 30, 2006, we are obligated to issue remaining credits of $799,167 through December 31, 2008. Additional service credits may be provided in the future if the customer provides additional courseware rights to us. The content rights are being amortized on a straight-line basis through December 31, 2008. Revenues for services provided in exchange for service credits will be recognized in accordance with our revenue recognition policies.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March 28, 2005, the Company acquired all of the stock of Data Management &amp; Research, Inc. (DMR) for approximately $10.7 million, consisting of $9.1 million in cash and 479,234 shares of our common stock. The Company also incurred direct, incremental expenses associated with the acquisition of approximately $0.4 million. Of the common stock portion, 319,489 shares were deposited in an escrow account to be held for eighteen months from the acquisition date, subject to any claims for indemnification pursuant to the stock purchase agreement. DMR provides healthcare organizations a wide range of quality and satisfaction surveys, data analyses of survey results, and other research-based measurement tools focused on physicians, patients, and employees.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i w:val="1"/>
          <w:iCs w:val="1"/>
          <w:color w:val="auto"/>
        </w:rPr>
        <w:t xml:space="preserve">Revenues. </w:t>
      </w:r>
      <w:r>
        <w:rPr>
          <w:rFonts w:ascii="Arial" w:cs="Arial" w:eastAsia="Arial" w:hAnsi="Arial"/>
          <w:sz w:val="17"/>
          <w:szCs w:val="17"/>
          <w:color w:val="auto"/>
        </w:rPr>
        <w:t>Revenues for our HCO business unit currently consist of the provision of services through our Internet-based HealthStream Learning Center</w:t>
      </w:r>
      <w:r>
        <w:rPr>
          <w:rFonts w:ascii="Arial" w:cs="Arial" w:eastAsia="Arial" w:hAnsi="Arial"/>
          <w:sz w:val="17"/>
          <w:szCs w:val="17"/>
          <w:i w:val="1"/>
          <w:iCs w:val="1"/>
          <w:color w:val="auto"/>
        </w:rPr>
        <w:t xml:space="preserve"> </w:t>
      </w:r>
      <w:r>
        <w:rPr>
          <w:rFonts w:ascii="Arial" w:cs="Arial" w:eastAsia="Arial" w:hAnsi="Arial"/>
          <w:sz w:val="17"/>
          <w:szCs w:val="17"/>
          <w:color w:val="auto"/>
        </w:rPr>
        <w:t>(HLC), authoring tools, survey and research services, a variety of courseware subscriptions (add-on courseware), maintenance and support services for our installed learning management products, maintenance of content and competency tools. Revenues for our PMD business unit consist of live event development, online training and content development, online sales training courses, live educational activities for nurses and technicians conducted within healthcare organizations, and continuing education activities at association meetings, and HospitalDirect</w:t>
      </w:r>
      <w:r>
        <w:rPr>
          <w:rFonts w:ascii="Arial" w:cs="Arial" w:eastAsia="Arial" w:hAnsi="Arial"/>
          <w:sz w:val="25"/>
          <w:szCs w:val="25"/>
          <w:color w:val="auto"/>
          <w:vertAlign w:val="superscript"/>
        </w:rPr>
        <w:t>®</w:t>
      </w:r>
      <w:r>
        <w:rPr>
          <w:rFonts w:ascii="Arial" w:cs="Arial" w:eastAsia="Arial" w:hAnsi="Arial"/>
          <w:sz w:val="17"/>
          <w:szCs w:val="17"/>
          <w:color w:val="auto"/>
        </w:rPr>
        <w:t>.</w:t>
      </w:r>
    </w:p>
    <w:p>
      <w:pPr>
        <w:spacing w:after="0" w:line="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consists primarily of salaries and employee benefits,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materials,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handle customer support calls or inquiries, manage our web sites, content and survey services, coordinate content maintenance services, and provide training or implementation services.</w:t>
      </w:r>
    </w:p>
    <w:p>
      <w:pPr>
        <w:spacing w:after="0" w:line="8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consist primarily of salaries and employee benefits, stock-based compensation, content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feature enhancements and new products. Personnel costs within product development include our systems team, product managers, and other personnel associated with content and product development.</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salaries, commissions and employee benefits, stock-based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travel and lodging, advertising, trade shows, promotions, and related marketing costs. Annually, we host a national users’ group in Nashville, TN known as “The Summit,” the costs of which are included in sales and marketing expenses. Personnel costs within sales and marketing include our sales and marketing team, strategic account management personnel, as well as our account management group. Our account management personnel work to ensure our products and services are fully utilized by our</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customers, providing consultations with new and prospective customers, as well as supporting the contract renewal process for existing hospital customers.</w:t>
      </w:r>
    </w:p>
    <w:p>
      <w:pPr>
        <w:spacing w:after="0" w:line="14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finite lives,</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content or license fees, and amortization of software feature enhancements.</w:t>
      </w:r>
    </w:p>
    <w:p>
      <w:pPr>
        <w:spacing w:after="0" w:line="6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and executive management) as well as accreditation professionals.</w:t>
      </w:r>
    </w:p>
    <w:p>
      <w:pPr>
        <w:spacing w:after="0" w:line="7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i w:val="1"/>
          <w:iCs w:val="1"/>
          <w:color w:val="auto"/>
        </w:rPr>
        <w:t xml:space="preserve">Other Income/Expense. </w:t>
      </w:r>
      <w:r>
        <w:rPr>
          <w:rFonts w:ascii="Arial" w:cs="Arial" w:eastAsia="Arial" w:hAnsi="Arial"/>
          <w:sz w:val="17"/>
          <w:szCs w:val="17"/>
          <w:color w:val="auto"/>
        </w:rPr>
        <w:t>The primary component of other income is interest income related to interest earned on cash, cash equivalents and investments in</w:t>
      </w:r>
      <w:r>
        <w:rPr>
          <w:rFonts w:ascii="Arial" w:cs="Arial" w:eastAsia="Arial" w:hAnsi="Arial"/>
          <w:sz w:val="17"/>
          <w:szCs w:val="17"/>
          <w:i w:val="1"/>
          <w:iCs w:val="1"/>
          <w:color w:val="auto"/>
        </w:rPr>
        <w:t xml:space="preserve"> </w:t>
      </w:r>
      <w:r>
        <w:rPr>
          <w:rFonts w:ascii="Arial" w:cs="Arial" w:eastAsia="Arial" w:hAnsi="Arial"/>
          <w:sz w:val="17"/>
          <w:szCs w:val="17"/>
          <w:color w:val="auto"/>
        </w:rPr>
        <w:t>marketable securities. The primary component of other expense is interest expense related to capital leases and other obligations.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Financial results for the second quarter of 2006 reflect net income of approximately $289,000. Our financial results for the second quarter of 2006 were significantly impacted by two key events. First, our Sixth Annual Learning Summit, held in April 2006, was attended by approximately 700 participants and vendors and resulted in increased sales and marketing expenses of approximately $150,000 over the second quarter of 2005. Secondly, our PMD business experienced a financial loss on a live event activity, resulting from lower than anticipated revenues and expense overages in production costs. At June 30, 2006, our Internet-based network of healthcare professionals is comprised of 1,309,000 fully implemented subscribers. Key financial indicators for the second quarter of 2006 include:</w:t>
      </w:r>
    </w:p>
    <w:p>
      <w:pPr>
        <w:spacing w:after="0" w:line="8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Revenues of approximately $8.2 million in the second quarter of 2006, up 21%, or $1.4 million, over second quarter of 2005</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Net income of approximately $289,000 in the second quarter of 2006, compared to $23,000 in the second quarter of 2005</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Earnings per share of $0.01 (basic and diluted) in the second quarter of 2006, compared to $0.00 (basic and diluted) in the second quarter of 2005</w:t>
      </w:r>
    </w:p>
    <w:p>
      <w:pPr>
        <w:spacing w:after="0" w:line="153" w:lineRule="exact"/>
        <w:rPr>
          <w:rFonts w:ascii="Arial" w:cs="Arial" w:eastAsia="Arial" w:hAnsi="Arial"/>
          <w:sz w:val="16"/>
          <w:szCs w:val="16"/>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1,309,000 fully implemented subscribers on our Internet-based HLC at June 30, 2006, up from 1,113,000 at June 30, 2005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2006 Compared to Three Months Ended June 30, 2005</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$1.4 million, or 20.8%, to $8.2 million for the three months ended June 30, 2006 from $6.8 million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2005. Revenues for 2006 consisted of $6.4 million for HCO and $1.8 million for PMD. In 2005, revenues consisted of $5.3 million for HCO and $1.5 million for PMD. The increase in HCO revenues was split evenly between growth in the survey and research revenues from the acquisition of DMR totaling $611,000 and an increase of $599,000 from our Internet-based HLC subscriber base. Courseware subscription revenues were comparable to the prior year quarter. Our subscriber base increased approximately 18%, to approximately 1,309,000 fully implemented subscribers at June 30, 2006 from approximately 1,113,000 fully implemented subscribers at June 30, 2005. Revenues from our Internet-based subscription products represented approximately 56% of revenues for the three months ended June 30, 2006 compared to 59% of revenues for the three months ended June 30, 2005. This percentage has decreased since our survey and research products are not fully Internet-based. PMD revenues increased approximately $306,000 over the prior year quarter, primarily associated with our live event business, while revenues from our project-based content development services were comparable to the prior year quarter. We expect third quarter 2006 revenues for PMD to decline compared with the prior year third quarter as a result of declines in our project-based business, primarily associated with declines in our live event business.</w:t>
      </w:r>
    </w:p>
    <w:p>
      <w:pPr>
        <w:spacing w:after="0" w:line="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Cost of Revenues (excluding depreciation and amortization). </w:t>
      </w:r>
      <w:r>
        <w:rPr>
          <w:rFonts w:ascii="Arial" w:cs="Arial" w:eastAsia="Arial" w:hAnsi="Arial"/>
          <w:sz w:val="18"/>
          <w:szCs w:val="18"/>
          <w:color w:val="auto"/>
        </w:rPr>
        <w:t>Cost of revenues increased approximately $702,000, or 28.6%, to $3.2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2006 from $2.5 million for the three months ended June 30, 2005. Cost of revenues as a percentage of revenues increased to 38.4% of revenues for the three months ended June 30, 2006 from 36.1% of revenues for the three months ended June 30, 2005. This increase is primarily associated with increased expenses associated with our PMD business unit, primarily associated with a loss on a specific live event held during the second quarter of 2006.</w:t>
      </w:r>
    </w:p>
    <w:p>
      <w:pPr>
        <w:spacing w:after="0" w:line="8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Cost of revenues for HCO decreased approximately $162,000 and approximated 20.0% and 27.2% of revenues for the three months ended June 30, 2006 and 2005, respectively. The decline in cost of revenues for HCO resulted from lower personnel expenses and lower royalties paid by us due to changes in the mix of courseware subscription revenues. Our survey and research services have higher direct costs as a percentage of revenues compared to our Internet-based subscription products. Cost of revenues for PMD increased approximately $852,000 over the prior year quarter and approximated 93.6% and 56.8% of revenues for the three months ended June 30, 2006 and 2005, respectively. The increase in cost of revenues for PMD resulted from expense overages in production costs and an overall high cost structure associated with a live event held during the second quarter of 2006, which resulted in a financial loss of approximately $200,000 for the event. For the event,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assumed both greater risk and greater potential reward than our historical contract structures for live event activities. The financial loss resulted from a shortfall in participant registration revenues, in addition to the production cost overages. Due to contract limitations, we were unable pass on the cost overruns to the commercial supporter of the event. We do not anticipate conducting events under similar contract structures in the future.</w:t>
      </w:r>
    </w:p>
    <w:p>
      <w:pPr>
        <w:spacing w:after="0" w:line="5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Gross Margin (excluding depreciation and amortization). </w:t>
      </w:r>
      <w:r>
        <w:rPr>
          <w:rFonts w:ascii="Arial" w:cs="Arial" w:eastAsia="Arial" w:hAnsi="Arial"/>
          <w:sz w:val="17"/>
          <w:szCs w:val="17"/>
          <w:color w:val="auto"/>
        </w:rPr>
        <w:t>Gross margin (which we define as revenues less cost of revenues divided by revenues) decreased to</w:t>
      </w:r>
      <w:r>
        <w:rPr>
          <w:rFonts w:ascii="Arial" w:cs="Arial" w:eastAsia="Arial" w:hAnsi="Arial"/>
          <w:sz w:val="17"/>
          <w:szCs w:val="17"/>
          <w:i w:val="1"/>
          <w:iCs w:val="1"/>
          <w:color w:val="auto"/>
        </w:rPr>
        <w:t xml:space="preserve"> </w:t>
      </w:r>
      <w:r>
        <w:rPr>
          <w:rFonts w:ascii="Arial" w:cs="Arial" w:eastAsia="Arial" w:hAnsi="Arial"/>
          <w:sz w:val="17"/>
          <w:szCs w:val="17"/>
          <w:color w:val="auto"/>
        </w:rPr>
        <w:t>61.6% for the three months ended June 30, 2006 from 63.9% for the three months ended June 30, 2005. This decline is a result of the increase in cost of revenues discussed above. Gross margins for HCO were 80.0% and 72.8% for the three months ended June 30, 2006 and 2005, respectively. The improvement for HCO resulted from the increase in revenues discussed above. Gross margins for PMD were 6.4% and 43.2% for the three months ended June 30, 2006 and 2005, respectively. The decrease for PMD resulted from the increase in cost of revenues discussed above.</w:t>
      </w:r>
    </w:p>
    <w:p>
      <w:pPr>
        <w:spacing w:after="0" w:line="64"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approximately $94,000, or 12.6%, to $837,000 for the three months ended June 30, 2006 from</w:t>
      </w:r>
      <w:r>
        <w:rPr>
          <w:rFonts w:ascii="Arial" w:cs="Arial" w:eastAsia="Arial" w:hAnsi="Arial"/>
          <w:sz w:val="16"/>
          <w:szCs w:val="16"/>
          <w:i w:val="1"/>
          <w:iCs w:val="1"/>
          <w:color w:val="auto"/>
        </w:rPr>
        <w:t xml:space="preserve"> </w:t>
      </w:r>
      <w:r>
        <w:rPr>
          <w:rFonts w:ascii="Arial" w:cs="Arial" w:eastAsia="Arial" w:hAnsi="Arial"/>
          <w:sz w:val="16"/>
          <w:szCs w:val="16"/>
          <w:color w:val="auto"/>
        </w:rPr>
        <w:t>$743,000 for the three months ended June 30, 2005. This increase primarily resulted from personnel expenses associated with additional personnel to support new product development and the ongoing maintenance and operation of our Internet-based platform. New product development efforts primarily consist of additional features and new courseware integration associated with our Internet-based platform. We are currently redesigning our Internet-based HLC platform, and expect to release the new version later this year. Stock-based compensation expense included in product development was approximately $31,000 during the three months ended June 30, 2006 compared to none for the three months ended June 30, 2005. Product development expenses as a percentage of revenues decreased to 10.2% of revenues for the three months ended June 30, 2006 from 10.9% for the three months ended June 30, 2005.</w:t>
      </w:r>
    </w:p>
    <w:p>
      <w:pPr>
        <w:spacing w:after="0" w:line="5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Product development expenses for HCO increased approximately $140,000 compared to the prior year quarter and approximated 11.4% and 11.1% of HCO revenues for the three months ended June 30, 2006 and 2005, respectively. The increase for HCO is associated with additional personnel to support the ongoing maintenance and operation of our Internet-based HLC platform. Product development expenses for PMD decreased modestly compared to the prior year quarter due to lower personnel associated with product management, and approximated 4.0% and 6.2% of PMD revenues for the three months ended June 30, 2006 and 2005, respectively.</w:t>
      </w:r>
    </w:p>
    <w:p>
      <w:pPr>
        <w:spacing w:after="0" w:line="8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$432,000, or 26.9%, to $2.0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2006 from $1.6 million for the three months ended June 30, 2005. This increase occurred primarily within our HCO business unit and resulted from increased spending associated with our annual Summit, increases in account management personnel and related travel, as well as increased marketing expenses. The increase in Summit spending resulted from increased attendance and represented approximately $150,000 of the expense increase over the prior year quarter. We also increased our account management team over the past year to address the needs of our larger customers. Stock-based compensation expense included in sales and marketing was approximately $25,000 during the three months ended June 30, 2006 compared to none for the three months ended June 30, 2005. Sales and marketing expenses approximated 24.7% and 23.5% of revenues for the three months ended June 30, 2006 and 2005, respectively.</w:t>
      </w:r>
    </w:p>
    <w:p>
      <w:pPr>
        <w:spacing w:after="0" w:line="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Sales and marketing expenses for HCO increased $481,000 and approximated 26.1% and 22.4% of revenues for the three months ended June 30, 2006 and 2005, respectively. The increase for HCO is due to the Summit and account management personnel discussed above. Sales and marketing expenses for PMD decreased approximately $51,000, and approximated 15.9% and 22.4% of revenues for the three months ended June 30, 2006 and 2005, respectively. The decrease is due to elimination of a sales management position and related expenses.</w:t>
      </w:r>
    </w:p>
    <w:p>
      <w:pPr>
        <w:spacing w:after="0" w:line="6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decreased approximately $93,000, or 12.2%, to $667,000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2006 from $760,000 for the three months ended June 30, 2005. The decrease is due to lower depreciation of property and equipment resulting from assets reaching the end of their useful lives.</w:t>
      </w:r>
    </w:p>
    <w:p>
      <w:pPr>
        <w:spacing w:after="0" w:line="73"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i w:val="1"/>
          <w:iCs w:val="1"/>
          <w:color w:val="auto"/>
        </w:rPr>
        <w:t xml:space="preserve">Other General and Administrative. </w:t>
      </w:r>
      <w:r>
        <w:rPr>
          <w:rFonts w:ascii="Arial" w:cs="Arial" w:eastAsia="Arial" w:hAnsi="Arial"/>
          <w:sz w:val="17"/>
          <w:szCs w:val="17"/>
          <w:color w:val="auto"/>
        </w:rPr>
        <w:t>Other general and administrative expenses increased approximately $125,000, or 9.8%, to $1.4 million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2006 from $1.3 million for the three months ended June 30, 2005. This increase primarily resulted from stock-based compensation expense associated with the grant of immediately vested stock options to our board of directors during the second quarter of 2006. Other general and administrative expenses as a percentage of revenues decreased to 17.0% for the three months ended June 30, 2006 from 18.7% for the three months ended June 30, 2005. The percentage decrease is a result of the increases in revenues.</w:t>
      </w:r>
    </w:p>
    <w:p>
      <w:pPr>
        <w:spacing w:after="0" w:line="6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 xml:space="preserve">Other Income/Expense. </w:t>
      </w:r>
      <w:r>
        <w:rPr>
          <w:rFonts w:ascii="Arial" w:cs="Arial" w:eastAsia="Arial" w:hAnsi="Arial"/>
          <w:sz w:val="18"/>
          <w:szCs w:val="18"/>
          <w:color w:val="auto"/>
        </w:rPr>
        <w:t>Other income/expense increased approximately $85,000, or 124.8%, to income of $152,000 for the three months ended June 30, 2006</w:t>
      </w:r>
      <w:r>
        <w:rPr>
          <w:rFonts w:ascii="Arial" w:cs="Arial" w:eastAsia="Arial" w:hAnsi="Arial"/>
          <w:sz w:val="18"/>
          <w:szCs w:val="18"/>
          <w:i w:val="1"/>
          <w:iCs w:val="1"/>
          <w:color w:val="auto"/>
        </w:rPr>
        <w:t xml:space="preserve"> </w:t>
      </w:r>
      <w:r>
        <w:rPr>
          <w:rFonts w:ascii="Arial" w:cs="Arial" w:eastAsia="Arial" w:hAnsi="Arial"/>
          <w:sz w:val="18"/>
          <w:szCs w:val="18"/>
          <w:color w:val="auto"/>
        </w:rPr>
        <w:t>from income of $68,000 for the three months ended June 30, 2005. The increase resulted from an increase in interest income from investments in marketable securities, attributable to both increased invested balances and higher rates of return.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(Benefit) Provision for Income Taxes. </w:t>
      </w:r>
      <w:r>
        <w:rPr>
          <w:rFonts w:ascii="Arial" w:cs="Arial" w:eastAsia="Arial" w:hAnsi="Arial"/>
          <w:sz w:val="18"/>
          <w:szCs w:val="18"/>
          <w:color w:val="auto"/>
        </w:rPr>
        <w:t>The income tax benefit of $8,000 during the three months ended June 30, 2006 resulted from deductible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stock option exercises. The Company recorded an income tax provision of $15,000 during the three months ended June 30, 2005, primarily associated with the federal alternative minimum tax.</w:t>
      </w:r>
    </w:p>
    <w:p>
      <w:pPr>
        <w:spacing w:after="0" w:line="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$289,000 for the three months ended June 30, 2006 compared to $23,000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2005. This improvement is a result of the factors mentioned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2006 Compared to Six Months Ended June 30, 2005</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approximately $3.3 million, or 26.1%, to $15.7 million for the six months ended June 30, 2006 from $12.5 million for the six</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2005. Revenues for 2006 consisted of $12.1 million for HCO and $3.6 million for PMD. In 2005, revenues consisted of $9.2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HCO and $3.3 million for PMD. The increase in HCO revenues resulted from growth in survey and research services associated with the DMR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totaling $1.9 million, of which approximately $480,000 is the result of organic growth. Revenues from our Internet-based HLC subscriber base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 million over the prior year. Courseware subscription revenues were comparable between periods. PMD revenues increased $380,000 over the prior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primarily associated with increases in revenues from live event services. This increase was partially offset by a decline in project based content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services. On a pro forma basis, taking into consideration the effect of the DMR acquisition as if the acquisition occurred on January 1, 2005, pro forma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six months ended June 30, 2005 would have been $13.9 million.</w:t>
      </w:r>
    </w:p>
    <w:p>
      <w:pPr>
        <w:spacing w:after="0" w:line="103"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i w:val="1"/>
          <w:iCs w:val="1"/>
          <w:color w:val="auto"/>
        </w:rPr>
        <w:t xml:space="preserve">Cost of Revenues. </w:t>
      </w:r>
      <w:r>
        <w:rPr>
          <w:rFonts w:ascii="Arial" w:cs="Arial" w:eastAsia="Arial" w:hAnsi="Arial"/>
          <w:sz w:val="16"/>
          <w:szCs w:val="16"/>
          <w:color w:val="auto"/>
        </w:rPr>
        <w:t>Cost of revenues increased approximately $1.2 million, or 27.6%, to $5.7 million for the six months ended June 30, 2006 from $4.5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six months ended June 30, 2005. Cost of revenues as a percentage of revenues increased to 36.4% of revenues for the six months ended June 30, 2006 from 36.0% of revenues for the six months ended June 30, 2005. The increase in cost of revenues resulted from higher direct costs associated with live events during the second quarter of 2006 as well as incremental expenses associated with the increase in survey and research revenues.</w:t>
      </w:r>
    </w:p>
    <w:p>
      <w:pPr>
        <w:spacing w:after="0" w:line="4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Cost of revenues for HCO increased approximately $155,000 and approximated 20.9% and 25.7% of revenues for the six months ended June 30, 2006 and 2005, respectively. Cost of revenue increases for HCO resulted from the additional expenses associated with the increase in survey and research revenues. Cost of revenues for PMD increased by $1.0 million over the prior year and approximated 78.5% and 55.8% of revenues for the six months ended June 30, 2006 and 2005, respectively. The increase for PMD is primarily associated with a live event held during the second quarter of 2006, which resulted in a financial loss of approximately $200,000.</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Gross margin (which we define as revenues less cost of revenues divided by revenues) was 63.6% and 64.0% for the six months ended</w:t>
      </w:r>
    </w:p>
    <w:p>
      <w:pPr>
        <w:spacing w:after="0" w:line="35"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June 30, 2006 and 2005, respectively. Gross margins for HCO were 79.1% and 74.3% for the six months ended June 30, 2006 and 2005, respectively. Gross margins for PMD were 21.5% and 44.2% for the six months ended June 30, 2006 and 2005, respectively. The significant decline for PMD resulted from the increase in cost of revenues discussed above.</w:t>
      </w:r>
    </w:p>
    <w:p>
      <w:pPr>
        <w:spacing w:after="0" w:line="82"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approximately $347,000, or 25.1%, to $1.7 million for the six months ended June 30, 2006</w:t>
      </w:r>
      <w:r>
        <w:rPr>
          <w:rFonts w:ascii="Arial" w:cs="Arial" w:eastAsia="Arial" w:hAnsi="Arial"/>
          <w:sz w:val="16"/>
          <w:szCs w:val="16"/>
          <w:i w:val="1"/>
          <w:iCs w:val="1"/>
          <w:color w:val="auto"/>
        </w:rPr>
        <w:t xml:space="preserve"> </w:t>
      </w:r>
      <w:r>
        <w:rPr>
          <w:rFonts w:ascii="Arial" w:cs="Arial" w:eastAsia="Arial" w:hAnsi="Arial"/>
          <w:sz w:val="16"/>
          <w:szCs w:val="16"/>
          <w:color w:val="auto"/>
        </w:rPr>
        <w:t>from $1.4 million for the six months ended June 30, 2005. This increase is related to additional personnel expenses and stock-based compensation expense. Product development expenses as a percentage of revenues was 11.0% of revenues for both the six months ended June 30, 2006 and 2005.</w:t>
      </w:r>
    </w:p>
    <w:p>
      <w:pPr>
        <w:spacing w:after="0" w:line="3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Product development expenses for HCO increased approximately $424,000 compared to the prior year and approximated 12.3% and 11.5% of revenues for the six months ended June 30, 2006 and 2005, respectively. The increase for HCO resulted from additional personnel associated with new product development, product management, and the ongoing maintenance and operation of our Internet-based HLC platform. Product development expenses for PMD decreased modestly and approximated 4.6% and 6.1% of revenues for the six months ended June 30, 2006 and 2005, respectively.</w:t>
      </w:r>
    </w:p>
    <w:p>
      <w:pPr>
        <w:spacing w:after="0" w:line="46"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including personnel costs, increased approximately $870,000, or 31.2%, to $3.7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2006 from $2.8 million for the six months ended June 30, 2005. Sales and marketing expenses approximated 23.3% and 22.4% of revenues for the six months ended June 30, 2006 and 2005, respectively. Sales and marketing expenses for HCO increased approximately $923,000 and approximated 24.1% and 21.6% of revenues for the six months ended June 30, 2006 and 2005, respectively. HCO increases resulted from additional personnel expenses and travel associated with our account management group, increased spending associated with the Summit, incremental expenses associated with DMR personnel, and other marketing expenses. Sales and marketing expenses for PMD decreased modestly and approximated 17.3% and 20.4% of revenues for the six months ended June 30, 2006 and 2005, respectively.</w:t>
      </w:r>
    </w:p>
    <w:p>
      <w:pPr>
        <w:spacing w:after="0" w:line="70" w:lineRule="exact"/>
        <w:rPr>
          <w:sz w:val="20"/>
          <w:szCs w:val="20"/>
          <w:color w:val="auto"/>
        </w:rPr>
      </w:pPr>
    </w:p>
    <w:p>
      <w:pPr>
        <w:spacing w:after="0" w:line="286"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decreased approximately $67,000, or 4.9%, to $1.3 million for the six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2006 from $1.4 million for the six months ended June 30, 2005. The decrease is associated with lower depreciation of property and equipment associated with assets reaching the end of their useful lives, and was partially offset by increased amortization of content and feature enhancements.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i w:val="1"/>
          <w:iCs w:val="1"/>
          <w:color w:val="auto"/>
        </w:rPr>
        <w:t xml:space="preserve">Other General and Administrative. </w:t>
      </w:r>
      <w:r>
        <w:rPr>
          <w:rFonts w:ascii="Arial" w:cs="Arial" w:eastAsia="Arial" w:hAnsi="Arial"/>
          <w:sz w:val="17"/>
          <w:szCs w:val="17"/>
          <w:color w:val="auto"/>
        </w:rPr>
        <w:t>Other general and administrative expenses increased approximately $206,000, or 8.5%, to $2.6 million for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2006 from $2.4 million for the six months ended June 30, 2005. This increase is primarily associated with stock-based compensation expense. Other general and administrative expenses as a percentage of revenues decreased to 16.7% for the six months ended June 30, 2005 from 19.4% for the six months ended June 30, 2004. The percentage decrease is a result of the increases in revenues.</w:t>
      </w:r>
    </w:p>
    <w:p>
      <w:pPr>
        <w:spacing w:after="0" w:line="6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i w:val="1"/>
          <w:iCs w:val="1"/>
          <w:color w:val="auto"/>
        </w:rPr>
        <w:t xml:space="preserve">Other Income/Expense. </w:t>
      </w:r>
      <w:r>
        <w:rPr>
          <w:rFonts w:ascii="Arial" w:cs="Arial" w:eastAsia="Arial" w:hAnsi="Arial"/>
          <w:sz w:val="18"/>
          <w:szCs w:val="18"/>
          <w:color w:val="auto"/>
        </w:rPr>
        <w:t>Other income/expense increased approximately $121,000, or 72.7%, to $287,000 for the six months ended June 30, 2006 from</w:t>
      </w:r>
      <w:r>
        <w:rPr>
          <w:rFonts w:ascii="Arial" w:cs="Arial" w:eastAsia="Arial" w:hAnsi="Arial"/>
          <w:sz w:val="18"/>
          <w:szCs w:val="18"/>
          <w:i w:val="1"/>
          <w:iCs w:val="1"/>
          <w:color w:val="auto"/>
        </w:rPr>
        <w:t xml:space="preserve"> </w:t>
      </w:r>
      <w:r>
        <w:rPr>
          <w:rFonts w:ascii="Arial" w:cs="Arial" w:eastAsia="Arial" w:hAnsi="Arial"/>
          <w:sz w:val="18"/>
          <w:szCs w:val="18"/>
          <w:color w:val="auto"/>
        </w:rPr>
        <w:t>$166,000 for the six months ended June 30, 2005. The increase resulted from an increase in interest income on investments in marketable securities, attributable to both increased invested balances and higher rates of return.</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$780,000 to $947,000 for the six months ended June 30, 2006 from $167,000 for the six months ended June 30, 2005. This</w:t>
      </w:r>
      <w:r>
        <w:rPr>
          <w:rFonts w:ascii="Arial" w:cs="Arial" w:eastAsia="Arial" w:hAnsi="Arial"/>
          <w:sz w:val="18"/>
          <w:szCs w:val="18"/>
          <w:i w:val="1"/>
          <w:iCs w:val="1"/>
          <w:color w:val="auto"/>
        </w:rPr>
        <w:t xml:space="preserve"> </w:t>
      </w:r>
      <w:r>
        <w:rPr>
          <w:rFonts w:ascii="Arial" w:cs="Arial" w:eastAsia="Arial" w:hAnsi="Arial"/>
          <w:sz w:val="18"/>
          <w:szCs w:val="18"/>
          <w:color w:val="auto"/>
        </w:rPr>
        <w:t>improvement is a result of the factors mentioned above. On a pro forma basis, as if the DMR acquisition occurred on January 1, 2005, pro forma net income would have been $641,000 for the six months ended June 30, 2005.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Since our inception, we have financed our operations largely through proceeds from our initial public offering, private placements of equity securities, loans from related parties and, to an increasing extent, from revenues generated from the sale of our products and services.</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Net cash provided by operating activities was approximately $1.4 million during the six months ended June 30, 2006 compared to $1.2 million during the six months ended June 30, 2005. The significant uses of cash during 2006 include personnel expenses and other direct expenses to support our business and delivery of our products and services, payment of royalties by us to content partners, payments associated with certain live event activities (which we anticipate will be reimbursed during the remainder of 2006), payment of year-end 2005 bonuses to employees, and cash expenditures associated with content and feature enhancements. During the second quarter of 2006, we experienced a loss on a specific live event due to expense overages associated with the event. Because of our contract structure, the expense overages were not reimbursable to us. These uses of cash were offset by cash receipts from customers. Days sales outstanding, or the number of days it takes to collect accounts receivable, improved to approximately 49 days for the six months ended June 30, 2006 from approximately 58 days for the six months ended June 30, 2005. The improvement in days sales outstanding is the result of strong cash receipts during the second quarter of 2006. The Company calculates days sales outstanding by dividing the accounts receivable balance (excluding unbilled and other receivables) by average daily revenues for the period. During the six months ended June 30, 2005, cash generated from operating activities resulted from cash receipts from customers and receipts of commercial support grants which exceeded cash used to fund our operating expenses.</w:t>
      </w:r>
    </w:p>
    <w:p>
      <w:pPr>
        <w:spacing w:after="0" w:line="6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Net cash used in investing activities was approximately $453,000 during the six months ended June 30, 2006 compared to $358,000 during the six months ended June 30, 2005. During 2006, our primary use of cash was for purchases of property and equipment. During 2005, the primary use of cash was for the acquisition of DMR, purchases of investments in marketable securities, and purchases of property and equipment, and was partially offset by the proceeds from sales of investments in marketable securities.</w:t>
      </w:r>
    </w:p>
    <w:p>
      <w:pPr>
        <w:spacing w:after="0" w:line="7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Cash provided by financing activities was approximately $562,000 for the six months ended June 30, 2006 compared to $609,000 during the six months ended June 30, 2005. Cash receipts from both years resulted from stock option exercises and purchases under our Employee Stock Purchase Plan. The decrease from the prior year period primarily related to increased payments associated with capital leases.</w:t>
      </w:r>
    </w:p>
    <w:p>
      <w:pPr>
        <w:spacing w:after="0" w:line="5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As of June 30, 2006, our primary source of liquidity was $13.4 million of cash and cash equivalents, restricted cash, investments in marketable securities, and interest receivable. On July 21, 2006, the Company entered into a revolving credit facility loan agreement with SunTrust Bank for an aggregate principal amount of $7.0 million. The loan matures on July 21, 2009, and bears interest at a variable rate based on the 30 Day LIBOR Rate plus 150 basis points. Unused balances are subject to a 10 basis point commitment fee. The revolving credit facility includes certain financial and other covenants, including a maximum leverage ratio and minimum net tangible worth requirement. As of June 30, 2006, we had no indebtedness other than capital lease obligations.</w:t>
      </w:r>
    </w:p>
    <w:p>
      <w:pPr>
        <w:spacing w:after="0" w:line="5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believe that our existing cash and cash equivalents, restricted cash, investments in marketable securities, and related interest receivable will be sufficient to meet anticipated cash needs for working capital, new product development and capital expenditures for at least the next 12 months. As part of our growth strategy, we are actively reviewing possible acquisitions that complement our products and services. We anticipate that any acquisitions would be effected through a combination of stock and cash consideration. We may need to raise additional capital through the issuance of equity securities or utilize borrowings under our revolving credit facility to finance any acquisitions. The issuance of stock as consideration for an acquisition would have a dilutive effect and could adversely affect our stock price. There can be no assurance that sources of financing will be available to us on acceptable terms to consummate any acquisitions. Failure to generate sufficient cash flow from operations or raise additional capital when required during or following any potential acquisitions in sufficient amounts and on terms acceptable to us could harm our business, financial condition and results of operations.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expect that capital expenditures and content purchases will range between $2.2 and $2.7 million for the remainder of 2006. We expect to fund these capital expenditures with existing cash and investments, from cash generated from operations, and if needed, from our revolving credit facility. We may also enter into capital lease agreements for some of these asset purchases.</w:t>
      </w:r>
    </w:p>
    <w:p>
      <w:pPr>
        <w:spacing w:after="0" w:line="7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strategic alliances have typically provided for payments to content and distribution partners and development partners based on revenues, and we expect to continue similar arrangements in the future. We have capital lease obligations and operating lease commitments for our operating facilities in Nashville, TN, Franklin, TN, and Denver, CO, and a closed facility in Dallas, TX.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are exposed to market risk from changes in interest rates. We do not have any commodity price risk. As of June 30, 2006, we had no outstanding indebtedness other than approximately $381,000 of capital lease obligations, which include fixed interest rates. In the future, we will be exposed to interest rate risk associated with our revolving credit facility, which bears interest at a variable rate based on the 30 Day Libor Rate plus 150 basis points. We are also exposed to market risk with respect to the cash and cash equivalents and marketable securities in which we invest. At July 31, 2006, we had approximately $13.0 million of cash and cash equivalents, restricted cash, investments in marketable securities, and accrued interest that was invested in a combination of short term investments. Current investment rates of return approximate 5.0-5.25%. Assuming a 5.0% rate of return on $13.0 million, a hypothetical 10% decrease in interest rates would decrease interest income and decrease net income on an annualized basis by approximately $65,000.</w:t>
      </w:r>
    </w:p>
    <w:p>
      <w:pPr>
        <w:spacing w:after="0" w:line="5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manage our investment risk by investing in corporate debt securities, foreign corporate debt and secured corporate debt securities with minimum acceptable credit ratings. For certificates of deposit and corporate obligations, ratings must be A2/A or better; A1/P1 or better for commercial paper; A2/A or better for taxable or tax advantaged auction rate securities and AAA or better for tax free auction rate securities. We also require that all securities must mature within 24 months from the original settlement date, the average portfolio shall not exceed 18 months, and the greater of 10% or $5.0 million shall mature within 90 days. Further, our investment policy also limits concentration exposure and other potential risk areas.</w:t>
      </w:r>
    </w:p>
    <w:p>
      <w:pPr>
        <w:spacing w:after="0" w:line="64"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May 25, 2006, the Company held its Annual Meeting of Shareholders. At the Annual Meeting, the shareholders of the Company elected the following persons as Class III directors to serve until the Annual Meeting of Shareholders in 2009 and until such time as their respective successors are duly elected and qualified, with the number of votes cast for, or withheld as set forth opposite their names.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jc w:val="right"/>
              <w:ind w:right="3679"/>
              <w:spacing w:after="0"/>
              <w:rPr>
                <w:sz w:val="20"/>
                <w:szCs w:val="20"/>
                <w:color w:val="auto"/>
              </w:rPr>
            </w:pPr>
            <w:r>
              <w:rPr>
                <w:rFonts w:ascii="Arial" w:cs="Arial" w:eastAsia="Arial" w:hAnsi="Arial"/>
                <w:sz w:val="14"/>
                <w:szCs w:val="14"/>
                <w:color w:val="auto"/>
              </w:rPr>
              <w:t>Votes</w:t>
            </w:r>
          </w:p>
        </w:tc>
      </w:tr>
      <w:tr>
        <w:trPr>
          <w:trHeight w:val="123"/>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820" w:type="dxa"/>
            <w:vAlign w:val="bottom"/>
          </w:tcPr>
          <w:p>
            <w:pPr>
              <w:jc w:val="right"/>
              <w:ind w:right="1439"/>
              <w:spacing w:after="0" w:line="123" w:lineRule="exact"/>
              <w:rPr>
                <w:sz w:val="20"/>
                <w:szCs w:val="20"/>
                <w:color w:val="auto"/>
              </w:rPr>
            </w:pPr>
            <w:r>
              <w:rPr>
                <w:rFonts w:ascii="Arial" w:cs="Arial" w:eastAsia="Arial" w:hAnsi="Arial"/>
                <w:sz w:val="14"/>
                <w:szCs w:val="14"/>
                <w:color w:val="auto"/>
              </w:rPr>
              <w:t>Withheld</w:t>
            </w:r>
          </w:p>
        </w:tc>
      </w:tr>
      <w:tr>
        <w:trPr>
          <w:trHeight w:val="174"/>
        </w:trPr>
        <w:tc>
          <w:tcPr>
            <w:tcW w:w="20" w:type="dxa"/>
            <w:vAlign w:val="bottom"/>
          </w:tcPr>
          <w:p>
            <w:pPr>
              <w:spacing w:after="0"/>
              <w:rPr>
                <w:sz w:val="15"/>
                <w:szCs w:val="15"/>
                <w:color w:val="auto"/>
              </w:rPr>
            </w:pPr>
          </w:p>
        </w:tc>
        <w:tc>
          <w:tcPr>
            <w:tcW w:w="358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Nominee</w:t>
            </w:r>
          </w:p>
        </w:tc>
        <w:tc>
          <w:tcPr>
            <w:tcW w:w="3000" w:type="dxa"/>
            <w:vAlign w:val="bottom"/>
            <w:tcBorders>
              <w:bottom w:val="single" w:sz="8" w:color="auto"/>
            </w:tcBorders>
          </w:tcPr>
          <w:p>
            <w:pPr>
              <w:jc w:val="right"/>
              <w:ind w:right="934"/>
              <w:spacing w:after="0"/>
              <w:rPr>
                <w:sz w:val="20"/>
                <w:szCs w:val="20"/>
                <w:color w:val="auto"/>
              </w:rPr>
            </w:pPr>
            <w:r>
              <w:rPr>
                <w:rFonts w:ascii="Arial" w:cs="Arial" w:eastAsia="Arial" w:hAnsi="Arial"/>
                <w:sz w:val="14"/>
                <w:szCs w:val="14"/>
                <w:color w:val="auto"/>
              </w:rPr>
              <w:t>For</w:t>
            </w:r>
          </w:p>
        </w:tc>
        <w:tc>
          <w:tcPr>
            <w:tcW w:w="4820" w:type="dxa"/>
            <w:vAlign w:val="bottom"/>
            <w:tcBorders>
              <w:bottom w:val="single" w:sz="8" w:color="auto"/>
            </w:tcBorders>
          </w:tcPr>
          <w:p>
            <w:pPr>
              <w:jc w:val="right"/>
              <w:ind w:right="1119"/>
              <w:spacing w:after="0"/>
              <w:rPr>
                <w:sz w:val="20"/>
                <w:szCs w:val="20"/>
                <w:color w:val="auto"/>
              </w:rPr>
            </w:pPr>
            <w:r>
              <w:rPr>
                <w:rFonts w:ascii="Arial" w:cs="Arial" w:eastAsia="Arial" w:hAnsi="Arial"/>
                <w:sz w:val="14"/>
                <w:szCs w:val="14"/>
                <w:color w:val="auto"/>
              </w:rPr>
              <w:t>Authority/Abstained</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Robert A. Frist, Jr.</w:t>
            </w:r>
          </w:p>
        </w:tc>
        <w:tc>
          <w:tcPr>
            <w:tcW w:w="30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18,645,824</w:t>
            </w:r>
          </w:p>
        </w:tc>
        <w:tc>
          <w:tcPr>
            <w:tcW w:w="4820" w:type="dxa"/>
            <w:vAlign w:val="bottom"/>
            <w:shd w:val="clear" w:color="auto" w:fill="CCEEFF"/>
          </w:tcPr>
          <w:p>
            <w:pPr>
              <w:jc w:val="right"/>
              <w:ind w:right="1499"/>
              <w:spacing w:after="0"/>
              <w:rPr>
                <w:sz w:val="20"/>
                <w:szCs w:val="20"/>
                <w:color w:val="auto"/>
              </w:rPr>
            </w:pPr>
            <w:r>
              <w:rPr>
                <w:rFonts w:ascii="Arial" w:cs="Arial" w:eastAsia="Arial" w:hAnsi="Arial"/>
                <w:sz w:val="18"/>
                <w:szCs w:val="18"/>
                <w:color w:val="auto"/>
              </w:rPr>
              <w:t>25,354</w:t>
            </w: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Frank Gordon</w:t>
            </w:r>
          </w:p>
        </w:tc>
        <w:tc>
          <w:tcPr>
            <w:tcW w:w="3000" w:type="dxa"/>
            <w:vAlign w:val="bottom"/>
          </w:tcPr>
          <w:p>
            <w:pPr>
              <w:jc w:val="right"/>
              <w:ind w:right="694"/>
              <w:spacing w:after="0"/>
              <w:rPr>
                <w:sz w:val="20"/>
                <w:szCs w:val="20"/>
                <w:color w:val="auto"/>
              </w:rPr>
            </w:pPr>
            <w:r>
              <w:rPr>
                <w:rFonts w:ascii="Arial" w:cs="Arial" w:eastAsia="Arial" w:hAnsi="Arial"/>
                <w:sz w:val="18"/>
                <w:szCs w:val="18"/>
                <w:color w:val="auto"/>
              </w:rPr>
              <w:t>18,648,449</w:t>
            </w:r>
          </w:p>
        </w:tc>
        <w:tc>
          <w:tcPr>
            <w:tcW w:w="4820" w:type="dxa"/>
            <w:vAlign w:val="bottom"/>
          </w:tcPr>
          <w:p>
            <w:pPr>
              <w:jc w:val="right"/>
              <w:ind w:right="1499"/>
              <w:spacing w:after="0"/>
              <w:rPr>
                <w:sz w:val="20"/>
                <w:szCs w:val="20"/>
                <w:color w:val="auto"/>
              </w:rPr>
            </w:pPr>
            <w:r>
              <w:rPr>
                <w:rFonts w:ascii="Arial" w:cs="Arial" w:eastAsia="Arial" w:hAnsi="Arial"/>
                <w:sz w:val="18"/>
                <w:szCs w:val="18"/>
                <w:color w:val="auto"/>
              </w:rPr>
              <w:t>22,729</w:t>
            </w: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Ronald Hinds</w:t>
            </w:r>
          </w:p>
        </w:tc>
        <w:tc>
          <w:tcPr>
            <w:tcW w:w="3000" w:type="dxa"/>
            <w:vAlign w:val="bottom"/>
            <w:shd w:val="clear" w:color="auto" w:fill="CCEEFF"/>
          </w:tcPr>
          <w:p>
            <w:pPr>
              <w:jc w:val="right"/>
              <w:ind w:right="694"/>
              <w:spacing w:after="0"/>
              <w:rPr>
                <w:sz w:val="20"/>
                <w:szCs w:val="20"/>
                <w:color w:val="auto"/>
              </w:rPr>
            </w:pPr>
            <w:r>
              <w:rPr>
                <w:rFonts w:ascii="Arial" w:cs="Arial" w:eastAsia="Arial" w:hAnsi="Arial"/>
                <w:sz w:val="18"/>
                <w:szCs w:val="18"/>
                <w:color w:val="auto"/>
              </w:rPr>
              <w:t>18,576,652</w:t>
            </w:r>
          </w:p>
        </w:tc>
        <w:tc>
          <w:tcPr>
            <w:tcW w:w="4820" w:type="dxa"/>
            <w:vAlign w:val="bottom"/>
            <w:shd w:val="clear" w:color="auto" w:fill="CCEEFF"/>
          </w:tcPr>
          <w:p>
            <w:pPr>
              <w:jc w:val="right"/>
              <w:ind w:right="1499"/>
              <w:spacing w:after="0"/>
              <w:rPr>
                <w:sz w:val="20"/>
                <w:szCs w:val="20"/>
                <w:color w:val="auto"/>
              </w:rPr>
            </w:pPr>
            <w:r>
              <w:rPr>
                <w:rFonts w:ascii="Arial" w:cs="Arial" w:eastAsia="Arial" w:hAnsi="Arial"/>
                <w:sz w:val="18"/>
                <w:szCs w:val="18"/>
                <w:color w:val="auto"/>
              </w:rPr>
              <w:t>94,526</w:t>
            </w:r>
          </w:p>
        </w:tc>
      </w:tr>
    </w:tbl>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shareholders of the Company elected the following person as a Class II director to serve until the Annual Meeting of Shareholders in 2008 and until such time as his successor is duly elected and qualified, with the number of votes cast for, or withheld as set forth opposite his name.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4820" w:type="dxa"/>
            <w:vAlign w:val="bottom"/>
            <w:tcBorders>
              <w:bottom w:val="single" w:sz="8" w:color="auto"/>
            </w:tcBorders>
          </w:tcPr>
          <w:p>
            <w:pPr>
              <w:jc w:val="right"/>
              <w:ind w:right="3684"/>
              <w:spacing w:after="0"/>
              <w:rPr>
                <w:sz w:val="20"/>
                <w:szCs w:val="20"/>
                <w:color w:val="auto"/>
              </w:rPr>
            </w:pPr>
            <w:r>
              <w:rPr>
                <w:rFonts w:ascii="Arial" w:cs="Arial" w:eastAsia="Arial" w:hAnsi="Arial"/>
                <w:sz w:val="14"/>
                <w:szCs w:val="14"/>
                <w:color w:val="auto"/>
              </w:rPr>
              <w:t>Votes</w:t>
            </w:r>
          </w:p>
        </w:tc>
      </w:tr>
      <w:tr>
        <w:trPr>
          <w:trHeight w:val="123"/>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4820" w:type="dxa"/>
            <w:vAlign w:val="bottom"/>
          </w:tcPr>
          <w:p>
            <w:pPr>
              <w:jc w:val="center"/>
              <w:ind w:left="1184"/>
              <w:spacing w:after="0" w:line="123" w:lineRule="exact"/>
              <w:rPr>
                <w:sz w:val="20"/>
                <w:szCs w:val="20"/>
                <w:color w:val="auto"/>
              </w:rPr>
            </w:pPr>
            <w:r>
              <w:rPr>
                <w:rFonts w:ascii="Arial" w:cs="Arial" w:eastAsia="Arial" w:hAnsi="Arial"/>
                <w:sz w:val="14"/>
                <w:szCs w:val="14"/>
                <w:color w:val="auto"/>
                <w:w w:val="95"/>
              </w:rPr>
              <w:t>Withheld</w:t>
            </w:r>
          </w:p>
        </w:tc>
      </w:tr>
      <w:tr>
        <w:trPr>
          <w:trHeight w:val="167"/>
        </w:trPr>
        <w:tc>
          <w:tcPr>
            <w:tcW w:w="20" w:type="dxa"/>
            <w:vAlign w:val="bottom"/>
          </w:tcPr>
          <w:p>
            <w:pPr>
              <w:spacing w:after="0"/>
              <w:rPr>
                <w:sz w:val="14"/>
                <w:szCs w:val="14"/>
                <w:color w:val="auto"/>
              </w:rPr>
            </w:pPr>
          </w:p>
        </w:tc>
        <w:tc>
          <w:tcPr>
            <w:tcW w:w="3580" w:type="dxa"/>
            <w:vAlign w:val="bottom"/>
            <w:tcBorders>
              <w:bottom w:val="single" w:sz="8" w:color="auto"/>
            </w:tcBorders>
          </w:tcPr>
          <w:p>
            <w:pPr>
              <w:ind w:left="1260"/>
              <w:spacing w:after="0"/>
              <w:rPr>
                <w:sz w:val="20"/>
                <w:szCs w:val="20"/>
                <w:color w:val="auto"/>
              </w:rPr>
            </w:pPr>
            <w:r>
              <w:rPr>
                <w:rFonts w:ascii="Arial" w:cs="Arial" w:eastAsia="Arial" w:hAnsi="Arial"/>
                <w:sz w:val="14"/>
                <w:szCs w:val="14"/>
                <w:color w:val="auto"/>
              </w:rPr>
              <w:t>Nominee</w:t>
            </w:r>
          </w:p>
        </w:tc>
        <w:tc>
          <w:tcPr>
            <w:tcW w:w="3000" w:type="dxa"/>
            <w:vAlign w:val="bottom"/>
            <w:tcBorders>
              <w:bottom w:val="single" w:sz="8" w:color="auto"/>
            </w:tcBorders>
          </w:tcPr>
          <w:p>
            <w:pPr>
              <w:jc w:val="right"/>
              <w:ind w:right="939"/>
              <w:spacing w:after="0"/>
              <w:rPr>
                <w:sz w:val="20"/>
                <w:szCs w:val="20"/>
                <w:color w:val="auto"/>
              </w:rPr>
            </w:pPr>
            <w:r>
              <w:rPr>
                <w:rFonts w:ascii="Arial" w:cs="Arial" w:eastAsia="Arial" w:hAnsi="Arial"/>
                <w:sz w:val="14"/>
                <w:szCs w:val="14"/>
                <w:color w:val="auto"/>
              </w:rPr>
              <w:t>For</w:t>
            </w:r>
          </w:p>
        </w:tc>
        <w:tc>
          <w:tcPr>
            <w:tcW w:w="4820" w:type="dxa"/>
            <w:vAlign w:val="bottom"/>
            <w:tcBorders>
              <w:bottom w:val="single" w:sz="8" w:color="auto"/>
            </w:tcBorders>
          </w:tcPr>
          <w:p>
            <w:pPr>
              <w:jc w:val="center"/>
              <w:ind w:left="1164"/>
              <w:spacing w:after="0"/>
              <w:rPr>
                <w:sz w:val="20"/>
                <w:szCs w:val="20"/>
                <w:color w:val="auto"/>
              </w:rPr>
            </w:pPr>
            <w:r>
              <w:rPr>
                <w:rFonts w:ascii="Arial" w:cs="Arial" w:eastAsia="Arial" w:hAnsi="Arial"/>
                <w:sz w:val="14"/>
                <w:szCs w:val="14"/>
                <w:color w:val="auto"/>
                <w:w w:val="97"/>
              </w:rPr>
              <w:t>Authority/Abstained</w:t>
            </w:r>
          </w:p>
        </w:tc>
      </w:tr>
      <w:tr>
        <w:trPr>
          <w:trHeight w:val="224"/>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Michael Shmerling</w:t>
            </w:r>
          </w:p>
        </w:tc>
        <w:tc>
          <w:tcPr>
            <w:tcW w:w="3000" w:type="dxa"/>
            <w:vAlign w:val="bottom"/>
          </w:tcPr>
          <w:p>
            <w:pPr>
              <w:jc w:val="right"/>
              <w:ind w:right="699"/>
              <w:spacing w:after="0"/>
              <w:rPr>
                <w:sz w:val="20"/>
                <w:szCs w:val="20"/>
                <w:color w:val="auto"/>
              </w:rPr>
            </w:pPr>
            <w:r>
              <w:rPr>
                <w:rFonts w:ascii="Arial" w:cs="Arial" w:eastAsia="Arial" w:hAnsi="Arial"/>
                <w:sz w:val="18"/>
                <w:szCs w:val="18"/>
                <w:color w:val="auto"/>
              </w:rPr>
              <w:t>18,644,989</w:t>
            </w:r>
          </w:p>
        </w:tc>
        <w:tc>
          <w:tcPr>
            <w:tcW w:w="4820" w:type="dxa"/>
            <w:vAlign w:val="bottom"/>
          </w:tcPr>
          <w:p>
            <w:pPr>
              <w:jc w:val="right"/>
              <w:ind w:right="1504"/>
              <w:spacing w:after="0"/>
              <w:rPr>
                <w:sz w:val="20"/>
                <w:szCs w:val="20"/>
                <w:color w:val="auto"/>
              </w:rPr>
            </w:pPr>
            <w:r>
              <w:rPr>
                <w:rFonts w:ascii="Arial" w:cs="Arial" w:eastAsia="Arial" w:hAnsi="Arial"/>
                <w:sz w:val="18"/>
                <w:szCs w:val="18"/>
                <w:color w:val="auto"/>
              </w:rPr>
              <w:t>26,189</w:t>
            </w:r>
          </w:p>
        </w:tc>
      </w:tr>
      <w:tr>
        <w:trPr>
          <w:trHeight w:val="431"/>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tc>
        <w:tc>
          <w:tcPr>
            <w:tcW w:w="30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(a) Exhibits</w:t>
            </w:r>
          </w:p>
        </w:tc>
        <w:tc>
          <w:tcPr>
            <w:tcW w:w="3000" w:type="dxa"/>
            <w:vAlign w:val="bottom"/>
          </w:tcPr>
          <w:p>
            <w:pPr>
              <w:spacing w:after="0"/>
              <w:rPr>
                <w:sz w:val="24"/>
                <w:szCs w:val="24"/>
                <w:color w:val="auto"/>
              </w:rPr>
            </w:pPr>
          </w:p>
        </w:tc>
        <w:tc>
          <w:tcPr>
            <w:tcW w:w="4820" w:type="dxa"/>
            <w:vAlign w:val="bottom"/>
          </w:tcPr>
          <w:p>
            <w:pPr>
              <w:spacing w:after="0"/>
              <w:rPr>
                <w:sz w:val="24"/>
                <w:szCs w:val="24"/>
                <w:color w:val="auto"/>
              </w:rPr>
            </w:pPr>
          </w:p>
        </w:tc>
      </w:tr>
    </w:tbl>
    <w:p>
      <w:pPr>
        <w:spacing w:after="0" w:line="9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32.2 — Certification Pursuant to 18 U.S.C. Section 1350, as Adopted Pursuant to Section 906 of the Sarbanes-Oxley Act of 2002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HEALTHSTREAM, INC.</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S</w:t>
      </w:r>
      <w:r>
        <w:rPr>
          <w:rFonts w:ascii="Arial" w:cs="Arial" w:eastAsia="Arial" w:hAnsi="Arial"/>
          <w:sz w:val="12"/>
          <w:szCs w:val="12"/>
          <w:color w:val="auto"/>
        </w:rPr>
        <w:t>USAN</w:t>
      </w:r>
      <w:r>
        <w:rPr>
          <w:rFonts w:ascii="Arial" w:cs="Arial" w:eastAsia="Arial" w:hAnsi="Arial"/>
          <w:sz w:val="18"/>
          <w:szCs w:val="18"/>
          <w:color w:val="auto"/>
        </w:rPr>
        <w:t xml:space="preserve"> A. B</w:t>
      </w:r>
      <w:r>
        <w:rPr>
          <w:rFonts w:ascii="Arial" w:cs="Arial" w:eastAsia="Arial" w:hAnsi="Arial"/>
          <w:sz w:val="12"/>
          <w:szCs w:val="12"/>
          <w:color w:val="auto"/>
        </w:rPr>
        <w:t>ROWNIE</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Susan A. Brownie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August 11, 2006</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HEALTHSTREAM, INC.</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the Chief Executive Officer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the Principal Financial Officer Pursuant to Section 302 of the Sarbanes-Oxley Act of 2002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32.1 Certification Pursuant to 18 U.S.C. Section 1350, as Adopted Pursuant to Section 906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32.2 Certification Pursuant to 18 U.S.C. Section 1350, as Adopted Pursuant to Section 906 of the Sarbanes-Oxley Act of 2002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219"/>
          </w:cols>
          <w:pgMar w:left="240" w:top="419" w:right="1440"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380" w:firstLine="8"/>
        <w:spacing w:after="0" w:line="342" w:lineRule="auto"/>
        <w:tabs>
          <w:tab w:leader="none" w:pos="1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40" w:firstLine="8"/>
        <w:spacing w:after="0" w:line="277" w:lineRule="auto"/>
        <w:tabs>
          <w:tab w:leader="none" w:pos="17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ind w:right="60" w:firstLine="8"/>
        <w:spacing w:after="0" w:line="264"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40" w:firstLine="8"/>
        <w:spacing w:after="0" w:line="277" w:lineRule="auto"/>
        <w:tabs>
          <w:tab w:leader="none" w:pos="19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firstLine="8"/>
        <w:spacing w:after="0" w:line="264" w:lineRule="auto"/>
        <w:tabs>
          <w:tab w:leader="none" w:pos="18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00" w:firstLine="8"/>
        <w:spacing w:after="0" w:line="308" w:lineRule="auto"/>
        <w:tabs>
          <w:tab w:leader="none" w:pos="17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60" w:firstLine="8"/>
        <w:spacing w:after="0" w:line="277" w:lineRule="auto"/>
        <w:tabs>
          <w:tab w:leader="none" w:pos="185"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11,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360"/>
          </w:cols>
          <w:pgMar w:left="240" w:top="962" w:right="29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Susan A. Brownie, certify that:</w:t>
      </w:r>
    </w:p>
    <w:p>
      <w:pPr>
        <w:spacing w:after="0" w:line="117"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380" w:firstLine="8"/>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8"/>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40" w:firstLine="8"/>
        <w:spacing w:after="0" w:line="277" w:lineRule="auto"/>
        <w:tabs>
          <w:tab w:leader="none" w:pos="17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62" w:lineRule="exact"/>
        <w:rPr>
          <w:sz w:val="20"/>
          <w:szCs w:val="20"/>
          <w:color w:val="auto"/>
        </w:rPr>
      </w:pPr>
    </w:p>
    <w:p>
      <w:pPr>
        <w:ind w:right="60" w:firstLine="8"/>
        <w:spacing w:after="0" w:line="264" w:lineRule="auto"/>
        <w:tabs>
          <w:tab w:leader="none" w:pos="185"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40" w:firstLine="8"/>
        <w:spacing w:after="0" w:line="277" w:lineRule="auto"/>
        <w:tabs>
          <w:tab w:leader="none" w:pos="195"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firstLine="8"/>
        <w:spacing w:after="0" w:line="264" w:lineRule="auto"/>
        <w:tabs>
          <w:tab w:leader="none" w:pos="18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600" w:firstLine="8"/>
        <w:spacing w:after="0" w:line="308" w:lineRule="auto"/>
        <w:tabs>
          <w:tab w:leader="none" w:pos="177"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60" w:firstLine="8"/>
        <w:spacing w:after="0" w:line="277" w:lineRule="auto"/>
        <w:tabs>
          <w:tab w:leader="none" w:pos="1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11, 2006</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USAN</w:t>
            </w:r>
            <w:r>
              <w:rPr>
                <w:rFonts w:ascii="Arial" w:cs="Arial" w:eastAsia="Arial" w:hAnsi="Arial"/>
                <w:sz w:val="18"/>
                <w:szCs w:val="18"/>
                <w:color w:val="auto"/>
              </w:rPr>
              <w:t xml:space="preserve"> A. B</w:t>
            </w:r>
            <w:r>
              <w:rPr>
                <w:rFonts w:ascii="Arial" w:cs="Arial" w:eastAsia="Arial" w:hAnsi="Arial"/>
                <w:sz w:val="12"/>
                <w:szCs w:val="12"/>
                <w:color w:val="auto"/>
              </w:rPr>
              <w:t>ROWNIE</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Susan A. Brownie</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360"/>
          </w:cols>
          <w:pgMar w:left="240" w:top="962" w:right="299" w:bottom="1440" w:gutter="0" w:footer="0" w:header="0"/>
        </w:sectPr>
      </w:pPr>
    </w:p>
    <w:bookmarkStart w:id="27" w:name="page28"/>
    <w:bookmarkEnd w:id="27"/>
    <w:p>
      <w:pPr>
        <w:jc w:val="center"/>
        <w:ind w:right="-79"/>
        <w:spacing w:after="0"/>
        <w:rPr>
          <w:sz w:val="20"/>
          <w:szCs w:val="20"/>
          <w:color w:val="auto"/>
        </w:rPr>
      </w:pPr>
      <w:r>
        <w:rPr>
          <w:rFonts w:ascii="Arial" w:cs="Arial" w:eastAsia="Arial" w:hAnsi="Arial"/>
          <w:sz w:val="18"/>
          <w:szCs w:val="18"/>
          <w:u w:val="single" w:color="auto"/>
          <w:color w:val="auto"/>
        </w:rPr>
        <w:t>Exhibit 32.1</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2006,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6670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August 11, 2006</w:t>
      </w:r>
    </w:p>
    <w:p>
      <w:pPr>
        <w:sectPr>
          <w:pgSz w:w="11900" w:h="16838" w:orient="portrait"/>
          <w:cols w:equalWidth="0" w:num="1">
            <w:col w:w="11340"/>
          </w:cols>
          <w:pgMar w:left="240" w:top="962" w:right="319" w:bottom="1440" w:gutter="0" w:footer="0" w:header="0"/>
        </w:sectPr>
      </w:pPr>
    </w:p>
    <w:bookmarkStart w:id="28" w:name="page29"/>
    <w:bookmarkEnd w:id="28"/>
    <w:p>
      <w:pPr>
        <w:jc w:val="center"/>
        <w:ind w:right="-159"/>
        <w:spacing w:after="0"/>
        <w:rPr>
          <w:sz w:val="20"/>
          <w:szCs w:val="20"/>
          <w:color w:val="auto"/>
        </w:rPr>
      </w:pPr>
      <w:r>
        <w:rPr>
          <w:rFonts w:ascii="Arial" w:cs="Arial" w:eastAsia="Arial" w:hAnsi="Arial"/>
          <w:sz w:val="18"/>
          <w:szCs w:val="18"/>
          <w:u w:val="single" w:color="auto"/>
          <w:color w:val="auto"/>
        </w:rPr>
        <w:t>Exhibit 32.2</w:t>
      </w:r>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2006, as filed with the Securities and Exchange Commission on the date hereof (the “Report”), Susan A. Brownie, Chief Financial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S</w:t>
      </w:r>
      <w:r>
        <w:rPr>
          <w:rFonts w:ascii="Arial" w:cs="Arial" w:eastAsia="Arial" w:hAnsi="Arial"/>
          <w:sz w:val="12"/>
          <w:szCs w:val="12"/>
          <w:color w:val="auto"/>
        </w:rPr>
        <w:t>USAN</w:t>
      </w:r>
      <w:r>
        <w:rPr>
          <w:rFonts w:ascii="Arial" w:cs="Arial" w:eastAsia="Arial" w:hAnsi="Arial"/>
          <w:sz w:val="18"/>
          <w:szCs w:val="18"/>
          <w:color w:val="auto"/>
        </w:rPr>
        <w:t xml:space="preserve"> A. B</w:t>
      </w:r>
      <w:r>
        <w:rPr>
          <w:rFonts w:ascii="Arial" w:cs="Arial" w:eastAsia="Arial" w:hAnsi="Arial"/>
          <w:sz w:val="12"/>
          <w:szCs w:val="12"/>
          <w:color w:val="auto"/>
        </w:rPr>
        <w:t>ROWNIE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Susan A. Brownie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8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11, 2006</w:t>
      </w:r>
    </w:p>
    <w:sectPr>
      <w:pgSz w:w="11900" w:h="16838" w:orient="portrait"/>
      <w:cols w:equalWidth="0" w:num="1">
        <w:col w:w="11280"/>
      </w:cols>
      <w:pgMar w:left="240" w:top="96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decimal"/>
      <w:start w:val="5"/>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5"/>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2019-12-14T23:58:07Z</dcterms:created>
  <dcterms:modified xsi:type="dcterms:W3CDTF">2019-12-14T23:58:07Z</dcterms:modified>
</cp:coreProperties>
</file>