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No.: 000-27701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20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2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3" w:lineRule="exact"/>
        <w:rPr>
          <w:sz w:val="20"/>
          <w:szCs w:val="20"/>
          <w:color w:val="auto"/>
        </w:rPr>
      </w:pPr>
    </w:p>
    <w:p>
      <w:pPr>
        <w:sectPr>
          <w:pgSz w:w="11900" w:h="16838" w:orient="portrait"/>
          <w:cols w:equalWidth="0" w:num="2">
            <w:col w:w="7440" w:space="720"/>
            <w:col w:w="326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7, 2008, 22,274,692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8"/>
        </w:trPr>
        <w:tc>
          <w:tcPr>
            <w:tcW w:w="10720" w:type="dxa"/>
            <w:vAlign w:val="bottom"/>
            <w:gridSpan w:val="1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0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9"/>
        </w:trPr>
        <w:tc>
          <w:tcPr>
            <w:tcW w:w="10720" w:type="dxa"/>
            <w:vAlign w:val="bottom"/>
            <w:gridSpan w:val="15"/>
            <w:vMerge w:val="continue"/>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March 31, 2008 (Unaudited) and December 31, 2007</w:t>
              </w:r>
            </w:hyperlink>
          </w:p>
        </w:tc>
        <w:tc>
          <w:tcPr>
            <w:tcW w:w="3480" w:type="dxa"/>
            <w:vAlign w:val="bottom"/>
            <w:gridSpan w:val="4"/>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50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 — Three Months ended March 31, 2008 and 2007</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2008</w:t>
              </w:r>
            </w:hyperlink>
          </w:p>
        </w:tc>
        <w:tc>
          <w:tcPr>
            <w:tcW w:w="40" w:type="dxa"/>
            <w:vAlign w:val="bottom"/>
            <w:tcBorders>
              <w:top w:val="single" w:sz="8" w:color="0000EE"/>
            </w:tcBorders>
          </w:tcPr>
          <w:p>
            <w:pPr>
              <w:spacing w:after="0"/>
              <w:rPr>
                <w:sz w:val="17"/>
                <w:szCs w:val="17"/>
                <w:color w:val="auto"/>
              </w:rPr>
            </w:pPr>
          </w:p>
        </w:tc>
        <w:tc>
          <w:tcPr>
            <w:tcW w:w="2280" w:type="dxa"/>
            <w:vAlign w:val="bottom"/>
            <w:gridSpan w:val="2"/>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2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2008 and 2007</w:t>
              </w:r>
            </w:hyperlink>
          </w:p>
        </w:tc>
        <w:tc>
          <w:tcPr>
            <w:tcW w:w="222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50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2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700" w:type="dxa"/>
            <w:vAlign w:val="bottom"/>
            <w:gridSpan w:val="5"/>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72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4T. Controls and Procedures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830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2. Unregistered Sales of Equity Securities and Use of Proceeds</w:t>
              </w:r>
            </w:hyperlink>
          </w:p>
        </w:tc>
        <w:tc>
          <w:tcPr>
            <w:tcW w:w="5800" w:type="dxa"/>
            <w:vAlign w:val="bottom"/>
            <w:gridSpan w:val="7"/>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72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9560" w:type="dxa"/>
            <w:vAlign w:val="bottom"/>
            <w:gridSpan w:val="12"/>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CEO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CERTIFICATION OF THE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4,753,365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50,508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9"/>
              </w:rPr>
              <w:t>Accounts receivable, net of allowance for doubtful accounts of $57,743 and $72,895 at March 31, 2008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December 31,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7,170,857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8,668,093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1,160,134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360,312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810,326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1,130,804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15,451,119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15,678,408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12,000,349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11,812,721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1,763,167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1,587,114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15,350,630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15,211,122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(11,279,708)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(10,827,932)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4,070,922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4,383,190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$1,725,791 and $1,453,720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2008 and December 31, 2007,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4,346,171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$8,939,165 and $8,682,555 at March 31, 2008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5,447,977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1,629,550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1,629,550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310,840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52,403,443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53,361,457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395,957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2,714,959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705,092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44,507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313,936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10,589,665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711,008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88,339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15,563,463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16,584,312</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851,661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22,331,523 and 22,315,485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outstanding at March 31, 2008 and December 31,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97,313,535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97,126,520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(61,347,218)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(61,412,902)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35,966,317</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35,713,618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52,403,443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11,421,700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8,101,339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4,527,773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2,915,014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1,284,432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1,078,651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2,552,275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1,734,427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521,497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724,550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1,767,276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1,608,284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11,377,803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8,192,275</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43,897</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46,129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(24,342)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65,684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44,549</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22,086,945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21,935,787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22,727,096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22,603,095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Common Stock</w:t>
            </w:r>
          </w:p>
        </w:tc>
        <w:tc>
          <w:tcPr>
            <w:tcW w:w="6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580" w:type="dxa"/>
            <w:vAlign w:val="bottom"/>
            <w:vMerge w:val="restart"/>
          </w:tcPr>
          <w:p>
            <w:pPr>
              <w:spacing w:after="0"/>
              <w:rPr>
                <w:sz w:val="10"/>
                <w:szCs w:val="10"/>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600" w:type="dxa"/>
            <w:vAlign w:val="bottom"/>
            <w:vMerge w:val="restart"/>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22,315,485</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$97,126,520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(61,412,902)</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65,684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152,934</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16,038</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34,081</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22,331,523</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97,313,535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(61,347,218)</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35,966,317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65,684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521,497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724,550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152,934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excluding effects of acquisition: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1,388,300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(37,004)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(14,464)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(153,921)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49,375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(1,345,960)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(817,090)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Registration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37,264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48,886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1,096,695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1,726,745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(11,936,748)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(159,597)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(216,702)</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(299,107)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(385,493)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(11,060,731)</w:t>
            </w:r>
          </w:p>
        </w:tc>
        <w:tc>
          <w:tcPr>
            <w:tcW w:w="0" w:type="dxa"/>
            <w:vAlign w:val="bottom"/>
          </w:tcPr>
          <w:p>
            <w:pPr>
              <w:spacing w:after="0"/>
              <w:rPr>
                <w:sz w:val="1"/>
                <w:szCs w:val="1"/>
                <w:color w:val="auto"/>
              </w:rPr>
            </w:pPr>
          </w:p>
        </w:tc>
      </w:tr>
      <w:tr>
        <w:trPr>
          <w:trHeight w:val="439"/>
        </w:trPr>
        <w:tc>
          <w:tcPr>
            <w:tcW w:w="8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34,081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Payments on promissory note</w:t>
            </w:r>
          </w:p>
        </w:tc>
        <w:tc>
          <w:tcPr>
            <w:tcW w:w="10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(175,066)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(46,248)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1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revolving credit facility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(187,233)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1,154,019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(8,617,973)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3,599,346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10,725,780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4,753,365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2008 are not necessarily indicative of the results that may be expected for the year ending December 31, 2008.</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2007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2007 (included in the Company’s Annual Report on Form 10-K,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September 20, 2006, the Financial Accounting Standards Board (“FASB”) issued Statement of Financial Accounting Standards (“SFAS”) No. 157, “Fair Value Measurements” (“SFAS No. 157”). SFAS No. 157 defines fair value, establishes a framework for measuring fair value in accordance with accounting principles generally accepted in the United States, and expands disclosures about fair value measurements. On February 12, 2008, the FASB issued FASB Staff Position SFAS No. 157-2, “Effective Date of FASB Statement No. 157” (“FSP 157-2”). FSP 157-2 amended SFAS No. 157, to delay the effective date of SFAS No. 157 for all nonfinancial assets and nonfinancial liabilities, except those that are recognized or disclosed at fair value in the financial statements on a recurring basis (that is, at least annually). FSP 157-2 defers the effective date of SFAS No. 157 to fiscal years beginning after November 15, 2008, and interim periods within those fiscal years for items within the scope of FSP 157-2. The Company became subject to the remaining provisions of SFAS No. 157 on January 1, 2008. The adoption of SFAS No. 157 did not have any impact on our financial condition, results of operations, or cash flow.</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(“SFAS No. 159”). This new standard provides companies with an option to report selected financial assets and liabilities at fair value. Generally accepted accounting principles have required different measurement attributes for different assets and liabilities that can create artificial volatility in earnings. The FASB believes that SFAS No. 159 helps to mitigate this type of accounting-induced volatility by enabling companies to report related assets and liabilities at fair value, which would likely reduce the need for companies to comply with detailed rules for hedge accounting. SFAS No. 159 also establishes presentation and disclosure requirements designed to facilitate comparisons between companies that choose different measurement attributes for similar types of assets and liabilities. The new Statement does not eliminate disclosure requirements included in other accounting standards, including requirements for disclosures about fair value measurements included in SFAS No. 157 and SFAS No. 107, “Disclosures about Fair Value of Financial Instruments.” The Company adopted SFAS No. 159 on January 1, 2008. The Company did not elect the fair value option, therefore the adoption of SFAS No. 159 did not have any impact on our financial condition, results for operations, or cash flow.</w:t>
      </w:r>
    </w:p>
    <w:p>
      <w:pPr>
        <w:spacing w:after="0" w:line="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2007, the FASB issued SFAS No. 141(R), “Business Combinations” (“SFAS No. 141(R)”). SFAS No. 141(R) establishes principles and requirements for how an acquirer recognizes and measures in its financial statements the identifiable assets acquired, the liabilities assumed, any noncontrolling interest in the acquiree and the goodwill acquired. SFAS No. 141(R) changes the accounting for acquisition-related restructuring cost accruals and the recognition of changes in the acquirer’s income tax valuation allowance, and no longer permits the capitalization of certain acquisition costs. In addition the Statement establishes disclosure requirements to enable the evaluation of the nature and financial effects of the business combination. This Statement is effective beginning January 1, 2009 for the Company. Management is currently evaluating the impact that adoption of this new standard will have on the Company’s financial position, results of operations, and cash flows.</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This statement is effective beginning January 1, 2009 for the Company. Management is currently evaluating the impact that adoption of this new standard will have on the Company’s financial position, results of operations or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Income taxes are accounted for under the provisions of SFAS No. 109, “Accounting for Income Taxes” (“SFAS No. 109”). Under SFAS No. 109,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Under the provisions of SFAS No. 109,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SFAS No. 109 identifies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deferred tax assets each period and has established a valuation allowance for the portion of its net deferred tax assets that are not more likely than not expected to be realized.</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effective tax rate for the quarters ended March 31, 2008 and March 31, 2007 is substantially less than the statutory rate because a significant portion of our taxable income has been offset through utilization of our net operating loss carryforwards. The Company’s effective tax rate could change in the future based on our projections of taxable income, changes in federal or state tax rates, or changes in state apportionment factors, as well as changes in the valuation allowance applied to the Company’s deferred tax assets.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income tax uncertainties under the provisions of FASB Interpretation No. 48, “Accounting for Uncertainty in Income Taxes — an interpretation of FASB Statement No. 109” (“FIN 48”). As of March 31, 2008 and December 31, 2007, the Company’s condensed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through 2007, subject to the statute of limitations. The Company has no income tax examinations in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maintains two stock incentive plans and an Employee Stock Purchase Plan. We account for our stock based compensation plans under the provisions of SFAS No. 123(R), “Share-Based Payments,” which requires companies to recognize compensation expense, using a fair-value based method, for costs related to share-based payments, including stock options. We use the Black Scholes option pricing model for calculating the fair value of awards issued under our stock based compensation plans. We did not grant stock options during the three months ended March 31, 2008. During the three months ended March 31, 2007, we granted 436,000 stock options with a weighted average grant date fair value of $2.43. The fair value of stock based awards granted during the three months ended March 31, 2007 was estimated using the Black Scholes option pricing model, with the assumptions as follows: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4.45 -- 4.50%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6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3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2008 and 2007, which is recorded in our statement of operations, is as follows:</w:t>
      </w:r>
    </w:p>
    <w:p>
      <w:pPr>
        <w:spacing w:after="0" w:line="166"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Three months ended</w:t>
      </w:r>
    </w:p>
    <w:p>
      <w:pPr>
        <w:jc w:val="center"/>
        <w:ind w:left="912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4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33,248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38,851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50,214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152,934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146,617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260" w:type="dxa"/>
            <w:vAlign w:val="bottom"/>
            <w:vMerge w:val="restart"/>
          </w:tcPr>
          <w:p>
            <w:pPr>
              <w:jc w:val="right"/>
              <w:ind w:right="339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12, 2007, the Company acquired all of the stock of The Jackson Organization, Research Consultants, Inc. (“TJO”). TJO provides healthcare organizations a wide range of quality and satisfaction surveys, data analyses of survey results, and other research-based measurement tools. Consideration paid to the sellers of TJO included approximately $11.5 million in cash and 252,616 shares of our common stock. The Company also incurred direct, incremental expenses associated with the acquisition of approximately $689,000, of which approximately $9,000 was paid during the first quarter of 2008 in connection with completion of the valuation of acquired intangible assets. All of the shares of common stock issued in the acquisition are being held in an escrow account for eighteen months from the acquisition date, subject to any claims for indemnification pursuant to the stock purchase agreement. Of the cash consideration portion, approximately $750,000 is being held in escrow pending satisfaction of certain items pursuant to the stock purchase agreement. There have been no claims against the stock escrow and cash escrow accounts as of March 31, 2008. The results of operations for TJO have been included in the Company’s statement of operations beginning March 12, 2007.</w:t>
      </w:r>
    </w:p>
    <w:p>
      <w:pPr>
        <w:spacing w:after="0" w:line="7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unaudited combined results of operations give effect to the operations of TJO as if the acquisition had occurred as of January 1, 2007. These unaudited combined results of operations include certain adjustments arising from the acquisition such as adjustment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980" w:type="dxa"/>
            <w:vAlign w:val="bottom"/>
            <w:gridSpan w:val="4"/>
          </w:tcPr>
          <w:p>
            <w:pPr>
              <w:ind w:left="3720"/>
              <w:spacing w:after="0"/>
              <w:rPr>
                <w:sz w:val="20"/>
                <w:szCs w:val="20"/>
                <w:color w:val="auto"/>
              </w:rPr>
            </w:pPr>
            <w:r>
              <w:rPr>
                <w:rFonts w:ascii="Arial" w:cs="Arial" w:eastAsia="Arial" w:hAnsi="Arial"/>
                <w:sz w:val="14"/>
                <w:szCs w:val="14"/>
                <w:color w:val="auto"/>
                <w:w w:val="95"/>
              </w:rPr>
              <w:t>Three months ended</w:t>
            </w:r>
          </w:p>
        </w:tc>
        <w:tc>
          <w:tcPr>
            <w:tcW w:w="0" w:type="dxa"/>
            <w:vAlign w:val="bottom"/>
          </w:tcPr>
          <w:p>
            <w:pPr>
              <w:spacing w:after="0"/>
              <w:rPr>
                <w:sz w:val="1"/>
                <w:szCs w:val="1"/>
                <w:color w:val="auto"/>
              </w:rPr>
            </w:pPr>
          </w:p>
        </w:tc>
      </w:tr>
      <w:tr>
        <w:trPr>
          <w:trHeight w:val="167"/>
        </w:trPr>
        <w:tc>
          <w:tcPr>
            <w:tcW w:w="53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w w:val="92"/>
              </w:rPr>
              <w:t>March 31, 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1.6 million at both March 31, 2008 and March 31, 2007.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for three months ended March 31, 2008 and 2007:</w:t>
      </w:r>
    </w:p>
    <w:p>
      <w:pPr>
        <w:spacing w:after="0" w:line="220" w:lineRule="exact"/>
        <w:rPr>
          <w:sz w:val="20"/>
          <w:szCs w:val="20"/>
          <w:color w:val="auto"/>
        </w:rPr>
      </w:pPr>
    </w:p>
    <w:p>
      <w:pPr>
        <w:jc w:val="center"/>
        <w:ind w:left="8720"/>
        <w:spacing w:after="0"/>
        <w:rPr>
          <w:sz w:val="20"/>
          <w:szCs w:val="20"/>
          <w:color w:val="auto"/>
        </w:rPr>
      </w:pPr>
      <w:r>
        <w:rPr>
          <w:rFonts w:ascii="Arial" w:cs="Arial" w:eastAsia="Arial" w:hAnsi="Arial"/>
          <w:sz w:val="14"/>
          <w:szCs w:val="14"/>
          <w:color w:val="auto"/>
        </w:rPr>
        <w:t>Three months ended</w:t>
      </w:r>
    </w:p>
    <w:p>
      <w:pPr>
        <w:jc w:val="center"/>
        <w:ind w:left="8720"/>
        <w:spacing w:after="0" w:line="231" w:lineRule="auto"/>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2008</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65,684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22,086,945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21,935,787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640,151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667,308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22,727,096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22,603,095</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vMerge w:val="continue"/>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60" w:type="dxa"/>
            <w:vAlign w:val="bottom"/>
            <w:vMerge w:val="restart"/>
          </w:tcPr>
          <w:p>
            <w:pPr>
              <w:jc w:val="right"/>
              <w:ind w:right="297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our Annual Report on Form 10-K for the year ended December 31, 2007.</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measure segment performance based on operating income (loss) before income taxes and prior to the allocation of corporate overhead expenses, interest income, interest expense, and depreciation. The following is our business segment information as of and for the three months ended March 31, 2008 and 2007.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8"/>
          </w:tcPr>
          <w:p>
            <w:pPr>
              <w:jc w:val="right"/>
              <w:ind w:right="7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color w:val="auto"/>
              </w:rPr>
              <w:t>March 31, 2008</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March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Learning</w:t>
            </w:r>
          </w:p>
        </w:tc>
        <w:tc>
          <w:tcPr>
            <w:tcW w:w="3120" w:type="dxa"/>
            <w:vAlign w:val="bottom"/>
            <w:gridSpan w:val="3"/>
          </w:tcPr>
          <w:p>
            <w:pPr>
              <w:ind w:left="30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7,496,706</w:t>
            </w:r>
          </w:p>
        </w:tc>
        <w:tc>
          <w:tcPr>
            <w:tcW w:w="240" w:type="dxa"/>
            <w:vAlign w:val="bottom"/>
          </w:tcPr>
          <w:p>
            <w:pPr>
              <w:spacing w:after="0"/>
              <w:rPr>
                <w:sz w:val="18"/>
                <w:szCs w:val="18"/>
                <w:color w:val="auto"/>
              </w:rPr>
            </w:pP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6,478,559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3,924,994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$ 11,421,700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Learning</w:t>
            </w:r>
          </w:p>
        </w:tc>
        <w:tc>
          <w:tcPr>
            <w:tcW w:w="3120" w:type="dxa"/>
            <w:vAlign w:val="bottom"/>
            <w:gridSpan w:val="3"/>
          </w:tcPr>
          <w:p>
            <w:pPr>
              <w:ind w:left="30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1,839,437</w:t>
            </w:r>
          </w:p>
        </w:tc>
        <w:tc>
          <w:tcPr>
            <w:tcW w:w="240" w:type="dxa"/>
            <w:vAlign w:val="bottom"/>
          </w:tcPr>
          <w:p>
            <w:pPr>
              <w:spacing w:after="0"/>
              <w:rPr>
                <w:sz w:val="18"/>
                <w:szCs w:val="18"/>
                <w:color w:val="auto"/>
              </w:rPr>
            </w:pPr>
          </w:p>
        </w:tc>
        <w:tc>
          <w:tcPr>
            <w:tcW w:w="500" w:type="dxa"/>
            <w:vAlign w:val="bottom"/>
            <w:gridSpan w:val="3"/>
          </w:tcPr>
          <w:p>
            <w:pPr>
              <w:ind w:left="4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2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(1,824,403)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(1,623,508)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(loss) from operations</w:t>
            </w:r>
          </w:p>
        </w:tc>
        <w:tc>
          <w:tcPr>
            <w:tcW w:w="3120" w:type="dxa"/>
            <w:vAlign w:val="bottom"/>
            <w:gridSpan w:val="3"/>
            <w:shd w:val="clear" w:color="auto" w:fill="CCEEFF"/>
          </w:tcPr>
          <w:p>
            <w:pPr>
              <w:ind w:left="3000"/>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43,897</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gridSpan w:val="5"/>
          </w:tcPr>
          <w:p>
            <w:pPr>
              <w:jc w:val="right"/>
              <w:ind w:right="460"/>
              <w:spacing w:after="0"/>
              <w:rPr>
                <w:sz w:val="20"/>
                <w:szCs w:val="20"/>
                <w:color w:val="auto"/>
              </w:rPr>
            </w:pPr>
            <w:r>
              <w:rPr>
                <w:rFonts w:ascii="Arial" w:cs="Arial" w:eastAsia="Arial" w:hAnsi="Arial"/>
                <w:sz w:val="14"/>
                <w:szCs w:val="14"/>
                <w:color w:val="auto"/>
                <w:w w:val="94"/>
              </w:rPr>
              <w:t>March 31, 2008</w:t>
            </w:r>
          </w:p>
        </w:tc>
        <w:tc>
          <w:tcPr>
            <w:tcW w:w="20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Learning *</w:t>
            </w:r>
          </w:p>
        </w:tc>
        <w:tc>
          <w:tcPr>
            <w:tcW w:w="3960" w:type="dxa"/>
            <w:vAlign w:val="bottom"/>
            <w:gridSpan w:val="5"/>
          </w:tcPr>
          <w:p>
            <w:pPr>
              <w:jc w:val="right"/>
              <w:ind w:right="200"/>
              <w:spacing w:after="0"/>
              <w:rPr>
                <w:sz w:val="20"/>
                <w:szCs w:val="20"/>
                <w:color w:val="auto"/>
              </w:rPr>
            </w:pPr>
            <w:r>
              <w:rPr>
                <w:rFonts w:ascii="Arial" w:cs="Arial" w:eastAsia="Arial" w:hAnsi="Arial"/>
                <w:sz w:val="18"/>
                <w:szCs w:val="18"/>
                <w:color w:val="auto"/>
              </w:rPr>
              <w:t>$ 15,343,047</w:t>
            </w:r>
          </w:p>
        </w:tc>
        <w:tc>
          <w:tcPr>
            <w:tcW w:w="24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17,270,540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w:t>
            </w:r>
          </w:p>
        </w:tc>
        <w:tc>
          <w:tcPr>
            <w:tcW w:w="39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26,275,665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26,284,097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280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10,784,731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9,806,820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8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$ 53,403,443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8"/>
        <w:spacing w:after="0" w:line="286" w:lineRule="auto"/>
        <w:tabs>
          <w:tab w:leader="none" w:pos="135"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goodwill, intangible assets, capitalized software feature enhancements, restricted cash, prepaid and other current assets, other assets, and certain property and equipment. Cash and cash equivalents are not allocated to individual segments, and are included within Unallocated. A significant portion of property and equipment assets are included within Unallocated.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goodwill under the provisions of SFAS No. 142, “Goodwill and Other Intangible Assets” (“SFAS No. 142”). We test goodwill for impairment using a discounted cash flow model. We perform our annual impairment evaluation of goodwill during the fourth quarter of each year and as changes in facts and circumstances indicate impairment exists.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(continued)</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March 12, 2007, we acquired TJO. The amount of goodwill related to the acquisition of TJO at March 31, 2007 represented a preliminary estimate, and was subsequently adjusted based on the final purchase price allocation. There were no changes in the carrying amount of goodwill during the three months ended March 31, 2008.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Learning</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Research</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$ 3,306,688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Learning</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Research</w:t>
            </w:r>
          </w:p>
        </w:tc>
        <w:tc>
          <w:tcPr>
            <w:tcW w:w="660" w:type="dxa"/>
            <w:vAlign w:val="bottom"/>
          </w:tcPr>
          <w:p>
            <w:pPr>
              <w:spacing w:after="0"/>
              <w:rPr>
                <w:sz w:val="24"/>
                <w:szCs w:val="2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6"/>
              </w:rPr>
              <w:t>$ 3,306,688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7,010,705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8,976,906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8,976,906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15,987,611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19,294,299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All identifiable intangible assets have been evaluated in accordance with SFAS No. 142 and are considered to have finite useful lives. Intangible assets with finite lives are being amortized over their estimated useful lives, ranging from one to eight years. Amortization of intangible assets was $256,610 and $168,581 for the three months ended March 31, 2008 and 2007,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color w:val="auto"/>
              </w:rPr>
              <w:t>As of March 31, 2008</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9"/>
              </w:rPr>
              <w:t>As of December 31, 2007</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Gross Amount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9,915,000</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(4,688,193)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$ 5,226,807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9,915,000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(4,470,224)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$ 5,444,776</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(3,500,000)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(750,972)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(712,331)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259,811</w:t>
            </w:r>
          </w:p>
        </w:tc>
      </w:tr>
      <w:tr>
        <w:trPr>
          <w:trHeight w:val="223"/>
        </w:trPr>
        <w:tc>
          <w:tcPr>
            <w:tcW w:w="31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(8,939,165</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$ 5,447,977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(8,682,555</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$ 5,704,587</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Estimated amortization expense for the periods and years ending December 31, is as follows:</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April 1, 2008 through December 31, 2008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2009</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946,875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2011</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2013 and thereafter</w:t>
            </w: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1,085,402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5,447,977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 of March 31, 2008, the Company’s debt outstanding consisted of a promissory note with a remaining balance due of $1,562,669. The promissory note is being repaid on a monthly basis through June 2010. The note bears interest at an annual rate of 2.32%, and is unsecured. The Company may not prepay the loan without consent from the lender, and if a prepayment request is granted by the lender, a prepayment fee may be assessed.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30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1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effectively implement our growth strategy, as well as manage growth of our operations and infrastructure;</w:t>
      </w:r>
    </w:p>
    <w:p>
      <w:pPr>
        <w:spacing w:after="0" w:line="130" w:lineRule="exact"/>
        <w:rPr>
          <w:rFonts w:ascii="Arial" w:cs="Arial" w:eastAsia="Arial" w:hAnsi="Arial"/>
          <w:sz w:val="18"/>
          <w:szCs w:val="18"/>
          <w:b w:val="1"/>
          <w:bCs w:val="1"/>
          <w:color w:val="auto"/>
        </w:rPr>
      </w:pPr>
    </w:p>
    <w:p>
      <w:pPr>
        <w:ind w:left="660" w:right="380" w:hanging="20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fluctuation in quarterly operating results caused by a variety of factors including the timing of sales, subscription revenue recognition, customer subscription renewals, and customer scheduling and acceptance;</w:t>
      </w:r>
    </w:p>
    <w:p>
      <w:pPr>
        <w:spacing w:after="0" w:line="75"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b w:val="1"/>
          <w:bCs w:val="1"/>
          <w:color w:val="auto"/>
        </w:rPr>
      </w:pPr>
    </w:p>
    <w:p>
      <w:pPr>
        <w:ind w:left="660" w:right="580" w:hanging="20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75"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b w:val="1"/>
          <w:bCs w:val="1"/>
          <w:color w:val="auto"/>
        </w:rPr>
      </w:pPr>
    </w:p>
    <w:p>
      <w:pPr>
        <w:ind w:left="660" w:right="120" w:hanging="20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75"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address and resolve any customer concerns with the new version of our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platform;</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address our customers’ needs regarding their use of our products and services;</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adequately maintain our network infrastructure, computer systems, software and related security;</w:t>
      </w:r>
    </w:p>
    <w:p>
      <w:pPr>
        <w:spacing w:after="0" w:line="130" w:lineRule="exact"/>
        <w:rPr>
          <w:rFonts w:ascii="Arial" w:cs="Arial" w:eastAsia="Arial" w:hAnsi="Arial"/>
          <w:sz w:val="18"/>
          <w:szCs w:val="18"/>
          <w:b w:val="1"/>
          <w:bCs w:val="1"/>
          <w:color w:val="auto"/>
        </w:rPr>
      </w:pPr>
    </w:p>
    <w:p>
      <w:pPr>
        <w:ind w:left="660" w:hanging="20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our ability to protect our intellectual property;</w:t>
      </w:r>
    </w:p>
    <w:p>
      <w:pPr>
        <w:spacing w:after="0" w:line="130" w:lineRule="exact"/>
        <w:rPr>
          <w:rFonts w:ascii="Arial" w:cs="Arial" w:eastAsia="Arial" w:hAnsi="Arial"/>
          <w:sz w:val="18"/>
          <w:szCs w:val="18"/>
          <w:b w:val="1"/>
          <w:bCs w:val="1"/>
          <w:color w:val="auto"/>
        </w:rPr>
      </w:pPr>
    </w:p>
    <w:p>
      <w:pPr>
        <w:ind w:left="660" w:right="380" w:hanging="20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b w:val="1"/>
          <w:bCs w:val="1"/>
          <w:color w:val="auto"/>
        </w:rPr>
      </w:pPr>
    </w:p>
    <w:p>
      <w:pPr>
        <w:ind w:left="660" w:right="480" w:hanging="20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risk factors detailed in our Annual Report on Form 10-K for the year ended December 31, 2007, and other filings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valuable insight into measuring quality and satisfaction of physicians, patients, employees, and members of the community. Across both our HealthStream Learning and HealthStream Research segments, HealthStream’s customers include over 2,400 healthcare organization facilities (predominately acute-care facilities) throughout the United States.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provide HealthStream Learning products and services to over 1,700 healthcare facilities. The Company’s flagship learning product is the HLC, our proprietary, Internet-based learning platform. We deliver educational and training courseware to our customers through the HLC platform. HealthStream Learning products and services are focused on education and training initiatives designed to reach hospital-based healthcare professionals, as well as physicians and medical device and pharmaceutical device industry sales representatives. We offer a variety of online educational and training courseware and also provide traditional seminar and paper-based educational activities. We also deliver Internet-based medical device training within hospitals through our HospitalDirect</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provide HealthStream Research products and services to over 1,100 healthcare facilities. These products include quality and satisfaction surveys, data analyses of survey results, and other research-based measurement tools focused on patients, physicians, employees, and members of the community. HealthStream Research services are designed to provide customers thorough analyses that provide insightful recommendations for change; to provide benchmarking capability using our comprehensive databases; and to provide consulting services to identify solutions for our customers based on their survey results. As a certified vendor designated by the Centers for Medicare &amp; Medicaid Services, we offer our customers CAHPS</w:t>
      </w:r>
      <w:r>
        <w:rPr>
          <w:rFonts w:ascii="Arial" w:cs="Arial" w:eastAsia="Arial" w:hAnsi="Arial"/>
          <w:sz w:val="15"/>
          <w:szCs w:val="15"/>
          <w:color w:val="auto"/>
        </w:rPr>
        <w:t>®</w:t>
      </w:r>
      <w:r>
        <w:rPr>
          <w:rFonts w:ascii="Arial" w:cs="Arial" w:eastAsia="Arial" w:hAnsi="Arial"/>
          <w:sz w:val="18"/>
          <w:szCs w:val="18"/>
          <w:color w:val="auto"/>
        </w:rPr>
        <w:t xml:space="preserve"> (Consumer Assessment of Health Plan Survey) Hospital Survey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first quarter of 2008 include:</w:t>
      </w:r>
    </w:p>
    <w:p>
      <w:pPr>
        <w:spacing w:after="0" w:line="117" w:lineRule="exact"/>
        <w:rPr>
          <w:sz w:val="20"/>
          <w:szCs w:val="20"/>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of $11.4 million in the first quarter of 2008, up 41% over the first quarter of 2007</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of $66,000 in the first quarter of 2008, up from $45,000 in the first quarter of 2007</w:t>
      </w:r>
    </w:p>
    <w:p>
      <w:pPr>
        <w:spacing w:after="0" w:line="130" w:lineRule="exact"/>
        <w:rPr>
          <w:rFonts w:ascii="Arial" w:cs="Arial" w:eastAsia="Arial" w:hAnsi="Arial"/>
          <w:sz w:val="18"/>
          <w:szCs w:val="18"/>
          <w:b w:val="1"/>
          <w:bCs w:val="1"/>
          <w:color w:val="auto"/>
        </w:rPr>
      </w:pPr>
    </w:p>
    <w:p>
      <w:pPr>
        <w:ind w:left="440" w:right="480" w:hanging="216"/>
        <w:spacing w:after="0" w:line="277" w:lineRule="auto"/>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1,594,000 healthcare professional subscribers fully implemented on our Internet-based learning network at March 31, 2008, up from 1,379,000 at March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Accrual for service interruptions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2007 filed with the Securities and Exchange Commission, which contains additional information regarding our accounting policies and other disclosures required by US GAAP. There have been no changes in our critical accounting policies and estimates from those reported in our Annual Report on Form 10-K for the year ended December 31,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our HealthStream Learning business segment consist of the provision of services through our Internet-based HLC, authoring tools, a</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courseware subscriptions (add-on courseware), maintenance and support services for our installed learning management products, maintenance of content, live event development, online training and content development, online sales training courses (RepDirect™), live educational activities for nurses and other professionals conducted within healthcare organizations, continuing education activities at association meetings, and HospitalDirect</w:t>
      </w:r>
      <w:r>
        <w:rPr>
          <w:rFonts w:ascii="Arial" w:cs="Arial" w:eastAsia="Arial" w:hAnsi="Arial"/>
          <w:sz w:val="14"/>
          <w:szCs w:val="14"/>
          <w:color w:val="auto"/>
        </w:rPr>
        <w:t>®</w:t>
      </w:r>
      <w:r>
        <w:rPr>
          <w:rFonts w:ascii="Arial" w:cs="Arial" w:eastAsia="Arial" w:hAnsi="Arial"/>
          <w:sz w:val="17"/>
          <w:szCs w:val="17"/>
          <w:color w:val="auto"/>
        </w:rPr>
        <w:t>. Revenues for our HealthStream Research business segment consist of quality and satisfaction surveys, data analyses of survey results, and other research-based measurement tools focused on physicians, patients, employees, and other members of the community.</w:t>
      </w:r>
    </w:p>
    <w:p>
      <w:pPr>
        <w:spacing w:after="0" w:line="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consists primarily of salaries and employee benefits, stock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w:t>
      </w:r>
    </w:p>
    <w:p>
      <w:pPr>
        <w:sectPr>
          <w:pgSz w:w="11900" w:h="16838" w:orient="portrait"/>
          <w:cols w:equalWidth="0" w:num="1">
            <w:col w:w="11400"/>
          </w:cols>
          <w:pgMar w:left="240" w:top="419" w:right="259"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team, product managers, and other personnel associated with content and product development and product portfolio management.</w:t>
      </w:r>
    </w:p>
    <w:p>
      <w:pPr>
        <w:spacing w:after="0" w:line="6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consist primarily of salaries, commissions and employee benefits, stock 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travel and lodging, advertising, trade shows, promotions, and related marketing costs. Annually, we host a national users’ group in Nashville known as “The Summit,” and a separate conference for our Research customers, the costs of which are included in sales and marketing expenses. Personnel costs within sales and marketing include our sales and marketing team and strategic account management, as well as our account management group. Our account management personnel work to help our customers effectively utilize our products.</w:t>
      </w:r>
    </w:p>
    <w:p>
      <w:pPr>
        <w:spacing w:after="0" w:line="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2008 Compared to Three Months Ended March 31, 2007</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$3.3 million, or 41.0%, to $11.4 million for the three months ended March 31, 2008 from $8.1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2007. Revenues for 2008 consisted of $7.5 million, or 66% of total revenue, for HealthStream Learning and $3.9 million, or 34% of total revenue, for HealthStream Research. In 2007, revenues consisted of $6.5 million, or 80% of total revenue, for HealthStream Learning and $1.6 million, or 20% of total revenue, for HealthStream Research.</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HealthStream Learning revenue growth of $1.0 million over the prior year quarter included $1.5 million from our Internet-based subscription learning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products, which includes revenue increases from the HLC of $900,000 and from increased courseware subscriptions and online training services of $616,000.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these products increased 30% over the prior year first quarter as a result of increased subscribers and approximated $6.6 million for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2008. The remaining revenue growth came from implementation, development, and consulting services which increased $302,000 over the prior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first quarter. These revenue increases were partially offset by a decline in our live events business, including association activities, which declined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$663,000 from the prior year first quarter, primarily due to fewer live events and association activities during the first quarter of 2008 than in the first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2007.</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HealthStream Research revenue growth of $2.3 million over the prior year quarter resulted primarily from the acquisition of The Jackson Organization, Research Consultants Inc. (TJO) in March 2007. Revenue increases over the prior year first quarter included $1.7 million from patient surveys, $525,000 from employee surveys, and $94,000 from physician surveys. TJO revenues prior to our acquisition and not included in our results of operations for the first quarter of 2007, approximated $2.6 million.</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expect revenues for the second quarter of 2008 to range between $12.8 and $13.0 million, an increase of approximately seven to nine percent over the prior year second quarter. We expect revenues from HealthStream Learning to increase between 18 and 20 percent over the prior year second quarter resulting from growth in our HLC subscriber base and courseware subscriptions. These expected revenue increases are anticipated to be partially offset by continued declines in several of our project-based products. We expect revenues from HealthStream Research to decrease between eight and ten percent compared to the prior year second quarter. We expect this decline in revenue will result from fewer physician and employee survey projects being completed during the second quarter of 2008 as compared to the second quarter of 2007.</w:t>
      </w:r>
    </w:p>
    <w:p>
      <w:pPr>
        <w:spacing w:after="0" w:line="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$1.6 million, or 55.3%, to $4.5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2008 from $2.9 million for the three months ended March 31, 2007. Cost of revenues as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percentage of revenues increased to 39.6% of revenues for the three months ended March 31, 2008 from 36.0% of revenues for the three months ended March 31, 2007. Cost of revenues for HealthStream Learning increased approximately $277,000 to $2.5 million and approximated 32.8% and 33.7% of revenues for the three months ended March 31, 2008 and 2007, respectively. The expense increase was primarily associated with increased royalties paid by us resulting from growth in courseware subscription revenues as well as increased costs to support the growth in implementation, development, and consulting revenues. These expense increases were partially offset by expense reductions associated with declines in live event revenues. Cost of revenues for HealthStream Research increased approximately $1.3 million to $2.1 million and approximated 52.7% and 45.2% of revenues for the three months ended March 31, 2008 and 2007, respectively. The increase in cost of revenues in both amount and as a percentage of revenues for HealthStream Research resulted from the impact of TJO, including increased costs resulting from the increase in revenues from patient surveys, which have lower margins than physician and employee surveys.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Gross Margin (excluding depreciation and amortization). </w:t>
      </w:r>
      <w:r>
        <w:rPr>
          <w:rFonts w:ascii="Arial" w:cs="Arial" w:eastAsia="Arial" w:hAnsi="Arial"/>
          <w:sz w:val="18"/>
          <w:szCs w:val="18"/>
          <w:color w:val="auto"/>
        </w:rPr>
        <w:t>Gross margin (which we define as revenues less cost of revenues divided by revenues) declined to</w:t>
      </w:r>
      <w:r>
        <w:rPr>
          <w:rFonts w:ascii="Arial" w:cs="Arial" w:eastAsia="Arial" w:hAnsi="Arial"/>
          <w:sz w:val="18"/>
          <w:szCs w:val="18"/>
          <w:i w:val="1"/>
          <w:iCs w:val="1"/>
          <w:color w:val="auto"/>
        </w:rPr>
        <w:t xml:space="preserve"> </w:t>
      </w:r>
      <w:r>
        <w:rPr>
          <w:rFonts w:ascii="Arial" w:cs="Arial" w:eastAsia="Arial" w:hAnsi="Arial"/>
          <w:sz w:val="18"/>
          <w:szCs w:val="18"/>
          <w:color w:val="auto"/>
        </w:rPr>
        <w:t>60.4% for the three months ended March 31, 2008 from 64.0% for the three months ended March 31, 2007. This decline is a result of the change in revenue mix and related cost of revenues for both HealthStream Learning and HealthStream Research discussed above. Gross margins for HealthStream Learning were 67.2% and 66.3% for the three months ended March 31, 2008 and 2007, respectively. Gross margins for HealthStream Research were 47.3% and 54.8% for the three months ended March 31, 2008 and 2007, respectively. The gross margin decline for HealthStream Research resulted from the change in survey revenue mix and related costs of revenues mentioned above. We expect gross margins for the second quarter of 2008 to be comparable with the prior year second quarter.</w:t>
      </w:r>
    </w:p>
    <w:p>
      <w:pPr>
        <w:spacing w:after="0" w:line="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$206,000, or 19.1%, to $1.3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from $1.1 million for the three months ended March 31, 2007. Product development expenses as a percentage of revenues decreased to 11.2% of revenues for the three months ended March 31, 2008 compared to 13.3% for the three months ended March 31, 2007. The decrease as a percentage of revenues primarily resulted from the increase in revenues.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Product development expenses for HealthStream Learning increased approximately $118,000 and approximated 13.9% and 14.2% of revenues for the three months ended March 31, 2008 and 2007, respectively. This expense increase is associated with maintenance and support of our learning platform products. Product development expenses for HealthStream Research increased approximately $120,000 and approximated 6.2% and 7.6% of revenues for the three months ended March 31, 2008 and 2007, respectively. This expense increase relates primarily to TJO personnel. We expect product development expenses for the second quarter of 2008 to increase in amount and as a percentage of revenues over the prior year second quarter. We expect that these expense increases will primarily be due to increased platform maintenance and support costs.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$818,000, or 47.2%, to $2.5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2008 from $1.7 million for the three months ended March 31, 2007. The increase is primarily associated with incremental personnel and related expenses from both the HealthStream Learning and HealthStream Research sales teams. Sales and marketing expenses approximated 22.3% and 21.4% of revenues for the three months ended March 31, 2008 and 2007, respectively.</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Sales and marketing expenses for HealthStream Learning increased $260,000 and approximated 21.4% and 20.8% of revenues for the three months ended March 31, 2008 and 2007, respectively. This expense increase primarily resulted from additional sales personnel and related expenses. Sales and marketing expenses for HealthStream Research increased approximately $538,000, and approximated 22.9% and 22.6% of revenues for the three months ended March 31, 2008 and 2007, respectively. This increase resulted primarily from TJO personnel and related expenses as well as additional sales personnel who joined the Company after the acquisition. We expect sales and marketing expenses for the second quarter of 2008 to increase over the prior year second quarter, but to be comparable as a percentage of revenues. We expect that these expense increases will primarily be due to increases in sales personnel, but are expected to be slightly offset by lower marketing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$390,000, or 45.6%, to $1.2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2008 from $856,000 for the three months ended March 31, 2007. Depreciation, which is included in the unallocated corporate function, increased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$165,000 resulting from capital expenditures during 2007. The amortization increase of $225,000 resulted from TJO intangible asset amortization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capitalized software feature enhancements associated with our platform products. Amortization for HealthStream Learning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$127,000, and approximated 6.1% and 5.1% of revenues for the three months ended March 31, 2008 and 2007, respectively. This increase is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 software feature enhancements associated with our platform products. Amortization for HealthStream Research increased $97,000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approximated 6.8% and 10.4% of revenues for the three months ended March 31, 2008 and 2007, respectively. This increase is associated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TJO intangible assets. We expect depreciation and amortization for the second quarter of 2008 to increase in amount and as a percentage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when compared to the prior year second quarter. We expect that these expense increases will result from capital expenditure depreciation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capitalized software feature enhancements.</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$159,000, or 9.9%, and approximated $1.8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2008 compared to $1.6 million for the three months ended March 31, 2007. This increase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primarily resulted from expenses associated with TJO personnel and facilities, and was partially offset by declines in personnel expenses. Other general and administrative expense as a percentage of revenues decreased to 15.5% for the three months ended March 31, 2008 from 19.9% for the three months ended March 31, 2007. The percentage decrease is a result of the revenue increases mentioned above.</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general and administrative expenses for HealthStream Learning decreased $28,000 compared to the prior year quarter due to lower personnel expenses. Other general and administrative expenses for HealthStream Research increased approximately $144,000 over the prior year quarter, primarily resulting from TJO personnel and facilities. The unallocated corporate portion of other general and administrative expenses increased $42,000 over the prior year quarter and resulted primarily from increased contract labor. We expect other general and administrative expenses for the second quarter of 2008 to increase when compared to the prior year second quarter.</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decreased approximately $118,000, or 84.4%, to $22,000 for the three months ended March 31, 2008 from</w:t>
      </w:r>
      <w:r>
        <w:rPr>
          <w:rFonts w:ascii="Arial" w:cs="Arial" w:eastAsia="Arial" w:hAnsi="Arial"/>
          <w:sz w:val="18"/>
          <w:szCs w:val="18"/>
          <w:i w:val="1"/>
          <w:iCs w:val="1"/>
          <w:color w:val="auto"/>
        </w:rPr>
        <w:t xml:space="preserve"> </w:t>
      </w:r>
      <w:r>
        <w:rPr>
          <w:rFonts w:ascii="Arial" w:cs="Arial" w:eastAsia="Arial" w:hAnsi="Arial"/>
          <w:sz w:val="18"/>
          <w:szCs w:val="18"/>
          <w:color w:val="auto"/>
        </w:rPr>
        <w:t>$140,000 for the three months ended March 31, 2007. Interest income decreased $101,000 from the prior year quarter resulting from lower cash and investment balances. Interest expense increased $16,000 over the prior year quarter and related to interest from our promissory note and revolving credit facility.</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alternative minimum tax. Taxable income for 2008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substantially offset by the utilization of our operating loss carryforwards.</w:t>
      </w:r>
    </w:p>
    <w:p>
      <w:pPr>
        <w:spacing w:after="0" w:line="6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$66,000 for the three months ended March 31, 2008, up from $45,000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2007. Net income per share during the second quarter of 2008 is expected to range between $0.02 and $0.03 per diluted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cash provided by operating activities was approximately $1.7 million during the three months ended March 31, 2008 compared to $2.5 million during the three months ended March 31, 2007. Our primary sources of cash were generated from receipts from the sales of our products and services. Our days sales outstanding (DSO, which we calculate by dividing the accounts receivable balance, excluding unbilled and other receivables, by average daily revenues for the quarter) approximated 57 days for the first quarter of 2008 compared to 75 days for the first quarter of 2007. Excluding the impact of accounts receivable balances acquired with the TJO acquisition during March 2007, DSO for the first quarter of 2007 approximated 60 days. The primary uses of cash to fund our operations for the quarter ended March 31, 2008 included personnel expenses, sales commissions, royalty payments, payments for contract labor and other direct expenses associated with delivery of our products and services, and general corporate expenses, as well as payments associated with content development. Cash provided by operating activities decreased from the prior year quarter due to increased payments to vendors related to live events.</w:t>
      </w:r>
    </w:p>
    <w:p>
      <w:pPr>
        <w:spacing w:after="0" w:line="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cash used in investing activities approximated $385,000 for the three months ended March 31, 2008 compared to $11.1 million during the three months ended March 31, 2007. The primary uses of cash for the quarter ended March 31, 2008 were associated with property and equipment purchases of $217,000 and capitalized software feature enhancements of $160,000. In addition we paid $9,000 associated with the valuation of acquired intangible assets associated with the TJO acquisition.</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used in financing activities was approximately $187,000 and $44,000 for the three months ended March 31, 2008 and 2007, respectively. The primary uses of cash for the quarter ended March 31, 2008 related to payments under a promissory note and capital lease obligations. The primary source of cash was from the exercise of stock options.</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working capital deficit improved to approximately $112,000 at March 31, 2008 from $906,000 at December 31, 2007. Current assets declined approximately $227,000 during the first quarter of 2008 resulting from cash receipts from customers which were primarily used to fund operations while reducing current liabilities that existed at December 31, 2007. Current liabilities decreased approximately $1.0 million during the first quarter 2008 resulting from payments to vendors. Our primary source of liquidity was $4.8 million of cash and cash equivalents, restricted cash, and interest receivable. We also have a $15.0 million revolving credit facility loan agreement, all of which was available at March 31, 2008.</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There can be no assurance that additional sources of financing will be available to us on acceptable terms, or at all, to consummate any acquisitions. Failure to generate sufficient cash flow from operations or raise additional capital when required in sufficient amounts and on terms acceptable to us could harm our business, financial condition, and results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expect that our capital expenditures, software feature enhancements, and content purchases will approximate $5.0 million in 2008. We expect to fund these capital expenditures with existing cash and investments, from cash generated from operations, and if necessary from our revolving credit facility.</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strategic alliances have typically provided for payments to content partners based on revenues and development partners and other parties based on services rendered. We expect to continue similar arrangements in the future. We have commitments under capital lease obligations for computer hardware and operating lease commitments for our operating facilities in Nashville, TN, Laurel, MD, Franklin, TN, and Denver, CO. We also have scheduled monthly payments due under a promissory note.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 March 31, 2008, our outstanding indebtedness included a promissory note of approximately $1.6 million and approximately $110,000 of capital lease obligations. We may become subject to interest rate market risk associated with borrowings under our revolving credit facility, which bears interest at a variable rate based on the 30 Day LIBOR Rate plus 150 basis points. We are also exposed to market risk with respect to our cash balances. At March 31, 2008, the Company had cash and cash equivalents, restricted cash, and related interest receivable totaling approximately $4.8 million. Current investment rates of return approximate 3.25% — 3.75%. Assuming a 3.5% rate of return on $4.8 million, a hypothetical 10% decrease in interest rates would decrease interest income and decrease net income on an annualized basis by approximately $17,000.</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and A1/P1 or better for commercial paper.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March 31, 2008, we maintained no investments in marketable securities.</w:t>
      </w:r>
    </w:p>
    <w:p>
      <w:pPr>
        <w:spacing w:after="0" w:line="6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Board of Directors authorized the Company to purchase up to $3,000,000 of its common stock through September 20, 2008. The table below sets forth activity under the stock repurchase plan for the quarter ended March 31,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(c)</w:t>
            </w:r>
          </w:p>
        </w:tc>
        <w:tc>
          <w:tcPr>
            <w:tcW w:w="12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Maximum number (or</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(a)</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Total number of shares (or</w:t>
            </w:r>
          </w:p>
        </w:tc>
        <w:tc>
          <w:tcPr>
            <w:tcW w:w="17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approximate dollar value)</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Total number of</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(b)</w:t>
            </w:r>
          </w:p>
        </w:tc>
        <w:tc>
          <w:tcPr>
            <w:tcW w:w="220" w:type="dxa"/>
            <w:vAlign w:val="bottom"/>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units) purchased as part of</w:t>
            </w: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of shares (or units) that</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5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shares (or units)</w:t>
            </w:r>
          </w:p>
        </w:tc>
        <w:tc>
          <w:tcPr>
            <w:tcW w:w="2080" w:type="dxa"/>
            <w:vAlign w:val="bottom"/>
            <w:gridSpan w:val="4"/>
          </w:tcPr>
          <w:p>
            <w:pPr>
              <w:ind w:left="220"/>
              <w:spacing w:after="0" w:line="149" w:lineRule="exact"/>
              <w:rPr>
                <w:sz w:val="20"/>
                <w:szCs w:val="20"/>
                <w:color w:val="auto"/>
              </w:rPr>
            </w:pPr>
            <w:r>
              <w:rPr>
                <w:rFonts w:ascii="Arial" w:cs="Arial" w:eastAsia="Arial" w:hAnsi="Arial"/>
                <w:sz w:val="14"/>
                <w:szCs w:val="14"/>
                <w:color w:val="auto"/>
              </w:rPr>
              <w:t>Average price paid per share</w:t>
            </w:r>
          </w:p>
        </w:tc>
        <w:tc>
          <w:tcPr>
            <w:tcW w:w="22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publicly announced plans or</w:t>
            </w:r>
          </w:p>
        </w:tc>
        <w:tc>
          <w:tcPr>
            <w:tcW w:w="17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may yet be purchased under</w:t>
            </w:r>
          </w:p>
        </w:tc>
      </w:tr>
      <w:tr>
        <w:trPr>
          <w:trHeight w:val="167"/>
        </w:trPr>
        <w:tc>
          <w:tcPr>
            <w:tcW w:w="20" w:type="dxa"/>
            <w:vAlign w:val="bottom"/>
          </w:tcPr>
          <w:p>
            <w:pPr>
              <w:spacing w:after="0"/>
              <w:rPr>
                <w:sz w:val="14"/>
                <w:szCs w:val="14"/>
                <w:color w:val="auto"/>
              </w:rPr>
            </w:pPr>
          </w:p>
        </w:tc>
        <w:tc>
          <w:tcPr>
            <w:tcW w:w="3820" w:type="dxa"/>
            <w:vAlign w:val="bottom"/>
            <w:tcBorders>
              <w:bottom w:val="single" w:sz="8" w:color="auto"/>
            </w:tcBorders>
          </w:tcPr>
          <w:p>
            <w:pPr>
              <w:ind w:left="1720"/>
              <w:spacing w:after="0"/>
              <w:rPr>
                <w:sz w:val="20"/>
                <w:szCs w:val="20"/>
                <w:color w:val="auto"/>
              </w:rPr>
            </w:pPr>
            <w:r>
              <w:rPr>
                <w:rFonts w:ascii="Arial" w:cs="Arial" w:eastAsia="Arial" w:hAnsi="Arial"/>
                <w:sz w:val="14"/>
                <w:szCs w:val="14"/>
                <w:color w:val="auto"/>
              </w:rPr>
              <w:t>Period</w:t>
            </w:r>
          </w:p>
        </w:tc>
        <w:tc>
          <w:tcPr>
            <w:tcW w:w="360" w:type="dxa"/>
            <w:vAlign w:val="bottom"/>
          </w:tcPr>
          <w:p>
            <w:pPr>
              <w:spacing w:after="0"/>
              <w:rPr>
                <w:sz w:val="14"/>
                <w:szCs w:val="14"/>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purchased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(or unit)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programs</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2"/>
              </w:rPr>
              <w:t>the plans or 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Month #1 (January 1 — January 31)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Month #2 (February 1 — February 29)</w:t>
            </w: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Month # 3 (March 1 — March 31)</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shd w:val="clear" w:color="auto" w:fill="CCEEFF"/>
          </w:tcPr>
          <w:p>
            <w:pPr>
              <w:spacing w:after="0"/>
              <w:rPr>
                <w:sz w:val="18"/>
                <w:szCs w:val="18"/>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2,920,033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of the Chief Executive Officer Pursuant to Section 302 of the Sarbanes-Oxley Act of 2002</w:t>
      </w:r>
    </w:p>
    <w:p>
      <w:pPr>
        <w:spacing w:after="0" w:line="23"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Certification of the Principal Financial Officer Pursuant to Section 302 of the Sarbanes-Oxley Act of 2002</w:t>
      </w:r>
    </w:p>
    <w:p>
      <w:pPr>
        <w:spacing w:after="0" w:line="9"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Certification Pursuant to 18 U.S.C. Section 1350, as Adopted Pursuant to Section 906 of the Sarbanes-Oxley Act of 2002</w:t>
      </w:r>
    </w:p>
    <w:p>
      <w:pPr>
        <w:spacing w:after="0" w:line="9" w:lineRule="exact"/>
        <w:rPr>
          <w:sz w:val="20"/>
          <w:szCs w:val="20"/>
          <w:color w:val="auto"/>
        </w:rPr>
      </w:pPr>
    </w:p>
    <w:p>
      <w:pPr>
        <w:ind w:left="580"/>
        <w:spacing w:after="0"/>
        <w:tabs>
          <w:tab w:leader="none" w:pos="13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Certification Pursuant to 18 U.S.C. Section 1350, as Adopted Pursuant to Section 906 of the Sarbanes-Oxley Act of 2002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Arthur E.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May 12, 2008</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HEALTHSTREAM, INC.</w:t>
            </w:r>
          </w:p>
        </w:tc>
      </w:tr>
      <w:tr>
        <w:trPr>
          <w:trHeight w:val="540"/>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31.1</w:t>
            </w:r>
          </w:p>
        </w:tc>
        <w:tc>
          <w:tcPr>
            <w:tcW w:w="9180" w:type="dxa"/>
            <w:vAlign w:val="bottom"/>
          </w:tcPr>
          <w:p>
            <w:pPr>
              <w:ind w:left="44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31.2</w:t>
            </w:r>
          </w:p>
        </w:tc>
        <w:tc>
          <w:tcPr>
            <w:tcW w:w="9180" w:type="dxa"/>
            <w:vAlign w:val="bottom"/>
          </w:tcPr>
          <w:p>
            <w:pPr>
              <w:ind w:left="44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32.1</w:t>
            </w:r>
          </w:p>
        </w:tc>
        <w:tc>
          <w:tcPr>
            <w:tcW w:w="918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760" w:type="dxa"/>
            <w:vAlign w:val="bottom"/>
          </w:tcPr>
          <w:p>
            <w:pPr>
              <w:jc w:val="right"/>
              <w:ind w:right="350"/>
              <w:spacing w:after="0"/>
              <w:rPr>
                <w:sz w:val="20"/>
                <w:szCs w:val="20"/>
                <w:color w:val="auto"/>
              </w:rPr>
            </w:pPr>
            <w:r>
              <w:rPr>
                <w:rFonts w:ascii="Arial" w:cs="Arial" w:eastAsia="Arial" w:hAnsi="Arial"/>
                <w:sz w:val="18"/>
                <w:szCs w:val="18"/>
                <w:color w:val="auto"/>
                <w:w w:val="85"/>
              </w:rPr>
              <w:t>32.2</w:t>
            </w:r>
          </w:p>
        </w:tc>
        <w:tc>
          <w:tcPr>
            <w:tcW w:w="9180" w:type="dxa"/>
            <w:vAlign w:val="bottom"/>
          </w:tcPr>
          <w:p>
            <w:pPr>
              <w:ind w:left="4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05"/>
        </w:trPr>
        <w:tc>
          <w:tcPr>
            <w:tcW w:w="76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color w:val="auto"/>
                <w:w w:val="89"/>
              </w:rPr>
              <w:t>18</w:t>
            </w:r>
          </w:p>
        </w:tc>
      </w:tr>
    </w:tbl>
    <w:p>
      <w:pPr>
        <w:sectPr>
          <w:pgSz w:w="11900" w:h="16838" w:orient="portrait"/>
          <w:cols w:equalWidth="0" w:num="1">
            <w:col w:w="10280"/>
          </w:cols>
          <w:pgMar w:left="240" w:top="419" w:right="13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00" w:firstLine="8"/>
        <w:spacing w:after="0" w:line="264"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60" w:firstLine="8"/>
        <w:spacing w:after="0" w:line="264"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8"/>
        <w:spacing w:after="0" w:line="277" w:lineRule="auto"/>
        <w:tabs>
          <w:tab w:leader="none" w:pos="18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7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12,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Arthur E. Newman, certify that:</w:t>
      </w:r>
    </w:p>
    <w:p>
      <w:pPr>
        <w:spacing w:after="0" w:line="11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00" w:firstLine="8"/>
        <w:spacing w:after="0" w:line="264"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60" w:firstLine="8"/>
        <w:spacing w:after="0" w:line="264" w:lineRule="auto"/>
        <w:tabs>
          <w:tab w:leader="none" w:pos="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8"/>
        <w:spacing w:after="0" w:line="277"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7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80" w:firstLine="8"/>
        <w:spacing w:after="0" w:line="277"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12,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Arthur E. Newman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2008,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41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1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2008</w:t>
      </w:r>
    </w:p>
    <w:p>
      <w:pPr>
        <w:sectPr>
          <w:pgSz w:w="11900" w:h="16838" w:orient="portrait"/>
          <w:cols w:equalWidth="0" w:num="1">
            <w:col w:w="11340"/>
          </w:cols>
          <w:pgMar w:left="240" w:top="665" w:right="31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2008, as filed with the Securities and Exchange Commission on the date hereof (the “Report”), Arthur E. Newman,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614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41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Arthur E. Newman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2008</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2019-12-14T23:56:12Z</dcterms:created>
  <dcterms:modified xsi:type="dcterms:W3CDTF">2019-12-14T23:56:12Z</dcterms:modified>
</cp:coreProperties>
</file>