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-232410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-215265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 w:lineRule="exact"/>
        <w:rPr>
          <w:sz w:val="24"/>
          <w:szCs w:val="24"/>
          <w:color w:val="auto"/>
        </w:rPr>
      </w:pPr>
    </w:p>
    <w:p>
      <w:pPr>
        <w:ind w:left="400" w:hanging="393"/>
        <w:spacing w:after="0"/>
        <w:tabs>
          <w:tab w:leader="none" w:pos="40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 1934</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color w:val="auto"/>
        </w:rPr>
        <w:t>June 30, 2021</w:t>
      </w:r>
    </w:p>
    <w:p>
      <w:pPr>
        <w:spacing w:after="0" w:line="186" w:lineRule="exact"/>
        <w:rPr>
          <w:sz w:val="24"/>
          <w:szCs w:val="24"/>
          <w:color w:val="auto"/>
        </w:rPr>
      </w:pPr>
    </w:p>
    <w:p>
      <w:pPr>
        <w:ind w:left="380" w:hanging="373"/>
        <w:spacing w:after="0"/>
        <w:tabs>
          <w:tab w:leader="none" w:pos="38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HealthStream, Inc.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82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40" w:type="dxa"/>
            <w:vAlign w:val="bottom"/>
            <w:gridSpan w:val="5"/>
          </w:tcPr>
          <w:p>
            <w:pPr>
              <w:jc w:val="right"/>
              <w:ind w:right="2380"/>
              <w:spacing w:after="0"/>
              <w:rPr>
                <w:sz w:val="20"/>
                <w:szCs w:val="20"/>
                <w:color w:val="auto"/>
              </w:rPr>
            </w:pPr>
            <w:r>
              <w:rPr>
                <w:rFonts w:ascii="Arial" w:cs="Arial" w:eastAsia="Arial" w:hAnsi="Arial"/>
                <w:sz w:val="18"/>
                <w:szCs w:val="18"/>
                <w:b w:val="1"/>
                <w:bCs w:val="1"/>
                <w:color w:val="auto"/>
              </w:rPr>
              <w:t>62-1443555</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020" w:type="dxa"/>
            <w:vAlign w:val="bottom"/>
            <w:gridSpan w:val="6"/>
          </w:tcPr>
          <w:p>
            <w:pPr>
              <w:jc w:val="center"/>
              <w:ind w:left="1541"/>
              <w:spacing w:after="0" w:line="145" w:lineRule="exact"/>
              <w:rPr>
                <w:sz w:val="20"/>
                <w:szCs w:val="20"/>
                <w:color w:val="auto"/>
              </w:rPr>
            </w:pPr>
            <w:r>
              <w:rPr>
                <w:rFonts w:ascii="Arial" w:cs="Arial" w:eastAsia="Arial" w:hAnsi="Arial"/>
                <w:sz w:val="14"/>
                <w:szCs w:val="14"/>
                <w:b w:val="1"/>
                <w:bCs w:val="1"/>
                <w:color w:val="auto"/>
                <w:w w:val="89"/>
              </w:rPr>
              <w:t>(State or other jurisdiction of</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40" w:type="dxa"/>
            <w:vAlign w:val="bottom"/>
            <w:gridSpan w:val="5"/>
          </w:tcPr>
          <w:p>
            <w:pPr>
              <w:jc w:val="center"/>
              <w:ind w:right="1760"/>
              <w:spacing w:after="0" w:line="145" w:lineRule="exact"/>
              <w:rPr>
                <w:sz w:val="20"/>
                <w:szCs w:val="20"/>
                <w:color w:val="auto"/>
              </w:rPr>
            </w:pPr>
            <w:r>
              <w:rPr>
                <w:rFonts w:ascii="Arial" w:cs="Arial" w:eastAsia="Arial" w:hAnsi="Arial"/>
                <w:sz w:val="14"/>
                <w:szCs w:val="14"/>
                <w:b w:val="1"/>
                <w:bCs w:val="1"/>
                <w:color w:val="auto"/>
                <w:w w:val="93"/>
              </w:rPr>
              <w:t>(I.R.S. Employer</w:t>
            </w:r>
          </w:p>
        </w:tc>
        <w:tc>
          <w:tcPr>
            <w:tcW w:w="0" w:type="dxa"/>
            <w:vAlign w:val="bottom"/>
          </w:tcPr>
          <w:p>
            <w:pPr>
              <w:spacing w:after="0"/>
              <w:rPr>
                <w:sz w:val="1"/>
                <w:szCs w:val="1"/>
                <w:color w:val="auto"/>
              </w:rPr>
            </w:pPr>
          </w:p>
        </w:tc>
      </w:tr>
      <w:tr>
        <w:trPr>
          <w:trHeight w:val="185"/>
        </w:trPr>
        <w:tc>
          <w:tcPr>
            <w:tcW w:w="4020" w:type="dxa"/>
            <w:vAlign w:val="bottom"/>
            <w:gridSpan w:val="6"/>
          </w:tcPr>
          <w:p>
            <w:pPr>
              <w:jc w:val="center"/>
              <w:ind w:left="1541"/>
              <w:spacing w:after="0"/>
              <w:rPr>
                <w:sz w:val="20"/>
                <w:szCs w:val="20"/>
                <w:color w:val="auto"/>
              </w:rPr>
            </w:pPr>
            <w:r>
              <w:rPr>
                <w:rFonts w:ascii="Arial" w:cs="Arial" w:eastAsia="Arial" w:hAnsi="Arial"/>
                <w:sz w:val="14"/>
                <w:szCs w:val="14"/>
                <w:b w:val="1"/>
                <w:bCs w:val="1"/>
                <w:color w:val="auto"/>
                <w:w w:val="90"/>
              </w:rPr>
              <w:t>incorporation or organization)</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40" w:type="dxa"/>
            <w:vAlign w:val="bottom"/>
            <w:gridSpan w:val="5"/>
          </w:tcPr>
          <w:p>
            <w:pPr>
              <w:jc w:val="center"/>
              <w:ind w:right="1760"/>
              <w:spacing w:after="0"/>
              <w:rPr>
                <w:sz w:val="20"/>
                <w:szCs w:val="20"/>
                <w:color w:val="auto"/>
              </w:rPr>
            </w:pPr>
            <w:r>
              <w:rPr>
                <w:rFonts w:ascii="Arial" w:cs="Arial" w:eastAsia="Arial" w:hAnsi="Arial"/>
                <w:sz w:val="14"/>
                <w:szCs w:val="14"/>
                <w:b w:val="1"/>
                <w:bCs w:val="1"/>
                <w:color w:val="auto"/>
                <w:w w:val="91"/>
              </w:rPr>
              <w:t>Identification No.)</w:t>
            </w:r>
          </w:p>
        </w:tc>
        <w:tc>
          <w:tcPr>
            <w:tcW w:w="0" w:type="dxa"/>
            <w:vAlign w:val="bottom"/>
          </w:tcPr>
          <w:p>
            <w:pPr>
              <w:spacing w:after="0"/>
              <w:rPr>
                <w:sz w:val="1"/>
                <w:szCs w:val="1"/>
                <w:color w:val="auto"/>
              </w:rPr>
            </w:pPr>
          </w:p>
        </w:tc>
      </w:tr>
      <w:tr>
        <w:trPr>
          <w:trHeight w:val="328"/>
        </w:trPr>
        <w:tc>
          <w:tcPr>
            <w:tcW w:w="7400" w:type="dxa"/>
            <w:vAlign w:val="bottom"/>
            <w:gridSpan w:val="12"/>
          </w:tcPr>
          <w:p>
            <w:pPr>
              <w:jc w:val="center"/>
              <w:ind w:right="1760"/>
              <w:spacing w:after="0"/>
              <w:rPr>
                <w:sz w:val="20"/>
                <w:szCs w:val="20"/>
                <w:color w:val="auto"/>
              </w:rPr>
            </w:pPr>
            <w:r>
              <w:rPr>
                <w:rFonts w:ascii="Arial" w:cs="Arial" w:eastAsia="Arial" w:hAnsi="Arial"/>
                <w:sz w:val="18"/>
                <w:szCs w:val="18"/>
                <w:b w:val="1"/>
                <w:bCs w:val="1"/>
                <w:color w:val="auto"/>
                <w:w w:val="86"/>
              </w:rPr>
              <w:t>500 11th Avenue North, Suite 1000,</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60" w:type="dxa"/>
            <w:vAlign w:val="bottom"/>
          </w:tcPr>
          <w:p>
            <w:pPr>
              <w:spacing w:after="0"/>
              <w:rPr>
                <w:sz w:val="16"/>
                <w:szCs w:val="16"/>
                <w:color w:val="auto"/>
              </w:rPr>
            </w:pPr>
          </w:p>
        </w:tc>
        <w:tc>
          <w:tcPr>
            <w:tcW w:w="1960" w:type="dxa"/>
            <w:vAlign w:val="bottom"/>
            <w:gridSpan w:val="5"/>
          </w:tcPr>
          <w:p>
            <w:pPr>
              <w:jc w:val="center"/>
              <w:ind w:right="440"/>
              <w:spacing w:after="0" w:line="193" w:lineRule="exact"/>
              <w:rPr>
                <w:sz w:val="20"/>
                <w:szCs w:val="20"/>
                <w:color w:val="auto"/>
              </w:rPr>
            </w:pPr>
            <w:r>
              <w:rPr>
                <w:rFonts w:ascii="Arial" w:cs="Arial" w:eastAsia="Arial" w:hAnsi="Arial"/>
                <w:sz w:val="18"/>
                <w:szCs w:val="18"/>
                <w:b w:val="1"/>
                <w:bCs w:val="1"/>
                <w:color w:val="auto"/>
                <w:w w:val="83"/>
              </w:rPr>
              <w:t>Nashville, Tennessee</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4"/>
          </w:tcPr>
          <w:p>
            <w:pPr>
              <w:jc w:val="right"/>
              <w:ind w:right="200"/>
              <w:spacing w:after="0" w:line="193" w:lineRule="exact"/>
              <w:rPr>
                <w:sz w:val="20"/>
                <w:szCs w:val="20"/>
                <w:color w:val="auto"/>
              </w:rPr>
            </w:pPr>
            <w:r>
              <w:rPr>
                <w:rFonts w:ascii="Arial" w:cs="Arial" w:eastAsia="Arial" w:hAnsi="Arial"/>
                <w:sz w:val="18"/>
                <w:szCs w:val="18"/>
                <w:b w:val="1"/>
                <w:bCs w:val="1"/>
                <w:color w:val="auto"/>
              </w:rPr>
              <w:t>37203</w:t>
            </w: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gridSpan w:val="6"/>
          </w:tcPr>
          <w:p>
            <w:pPr>
              <w:jc w:val="center"/>
              <w:ind w:left="154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20" w:type="dxa"/>
            <w:vAlign w:val="bottom"/>
            <w:gridSpan w:val="4"/>
          </w:tcPr>
          <w:p>
            <w:pPr>
              <w:jc w:val="center"/>
              <w:ind w:right="2380"/>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386"/>
        </w:trPr>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(615) 301-3100</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8"/>
              </w:rPr>
              <w:t>(Registrant's telephone number, including area code)</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7"/>
        </w:trPr>
        <w:tc>
          <w:tcPr>
            <w:tcW w:w="402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87"/>
              </w:rPr>
              <w:t>Title of each class</w:t>
            </w:r>
          </w:p>
        </w:tc>
        <w:tc>
          <w:tcPr>
            <w:tcW w:w="700" w:type="dxa"/>
            <w:vAlign w:val="bottom"/>
          </w:tcPr>
          <w:p>
            <w:pPr>
              <w:spacing w:after="0"/>
              <w:rPr>
                <w:sz w:val="24"/>
                <w:szCs w:val="24"/>
                <w:color w:val="auto"/>
              </w:rPr>
            </w:pPr>
          </w:p>
        </w:tc>
        <w:tc>
          <w:tcPr>
            <w:tcW w:w="2680" w:type="dxa"/>
            <w:vAlign w:val="bottom"/>
            <w:gridSpan w:val="5"/>
          </w:tcPr>
          <w:p>
            <w:pPr>
              <w:jc w:val="center"/>
              <w:ind w:right="1400"/>
              <w:spacing w:after="0"/>
              <w:rPr>
                <w:sz w:val="20"/>
                <w:szCs w:val="20"/>
                <w:color w:val="auto"/>
              </w:rPr>
            </w:pPr>
            <w:r>
              <w:rPr>
                <w:rFonts w:ascii="Arial" w:cs="Arial" w:eastAsia="Arial" w:hAnsi="Arial"/>
                <w:sz w:val="16"/>
                <w:szCs w:val="16"/>
                <w:b w:val="1"/>
                <w:bCs w:val="1"/>
                <w:color w:val="auto"/>
                <w:w w:val="91"/>
              </w:rPr>
              <w:t>Trading Symbol(s)</w:t>
            </w:r>
          </w:p>
        </w:tc>
        <w:tc>
          <w:tcPr>
            <w:tcW w:w="384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340" w:type="dxa"/>
            <w:vAlign w:val="bottom"/>
            <w:tcBorders>
              <w:top w:val="single" w:sz="8" w:color="auto"/>
              <w:bottom w:val="single" w:sz="8" w:color="auto"/>
            </w:tcBorders>
            <w:vMerge w:val="restart"/>
          </w:tcPr>
          <w:p>
            <w:pPr>
              <w:spacing w:after="0" w:line="20" w:lineRule="exact"/>
              <w:rPr>
                <w:sz w:val="1"/>
                <w:szCs w:val="1"/>
                <w:color w:val="auto"/>
              </w:rPr>
            </w:pPr>
          </w:p>
        </w:tc>
        <w:tc>
          <w:tcPr>
            <w:tcW w:w="940" w:type="dxa"/>
            <w:vAlign w:val="bottom"/>
            <w:tcBorders>
              <w:top w:val="single" w:sz="8" w:color="auto"/>
              <w:bottom w:val="single" w:sz="8" w:color="auto"/>
            </w:tcBorders>
            <w:vMerge w:val="restart"/>
          </w:tcPr>
          <w:p>
            <w:pPr>
              <w:jc w:val="center"/>
              <w:ind w:right="231"/>
              <w:spacing w:after="0"/>
              <w:rPr>
                <w:sz w:val="20"/>
                <w:szCs w:val="20"/>
                <w:color w:val="auto"/>
              </w:rPr>
            </w:pPr>
            <w:r>
              <w:rPr>
                <w:rFonts w:ascii="Arial" w:cs="Arial" w:eastAsia="Arial" w:hAnsi="Arial"/>
                <w:sz w:val="18"/>
                <w:szCs w:val="18"/>
                <w:color w:val="auto"/>
                <w:w w:val="97"/>
              </w:rPr>
              <w:t>HSTM</w:t>
            </w:r>
          </w:p>
        </w:tc>
        <w:tc>
          <w:tcPr>
            <w:tcW w:w="980" w:type="dxa"/>
            <w:vAlign w:val="bottom"/>
            <w:gridSpan w:val="2"/>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3740" w:type="dxa"/>
            <w:vAlign w:val="bottom"/>
            <w:gridSpan w:val="5"/>
          </w:tcPr>
          <w:p>
            <w:pPr>
              <w:jc w:val="center"/>
              <w:spacing w:after="0"/>
              <w:rPr>
                <w:sz w:val="20"/>
                <w:szCs w:val="20"/>
                <w:color w:val="auto"/>
              </w:rPr>
            </w:pPr>
            <w:r>
              <w:rPr>
                <w:rFonts w:ascii="Arial" w:cs="Arial" w:eastAsia="Arial" w:hAnsi="Arial"/>
                <w:sz w:val="18"/>
                <w:szCs w:val="18"/>
                <w:color w:val="auto"/>
                <w:w w:val="89"/>
              </w:rPr>
              <w:t>Common Stock (Par Value $0.00)</w:t>
            </w:r>
          </w:p>
        </w:tc>
        <w:tc>
          <w:tcPr>
            <w:tcW w:w="28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20" w:type="dxa"/>
            <w:vAlign w:val="bottom"/>
            <w:gridSpan w:val="4"/>
          </w:tcPr>
          <w:p>
            <w:pPr>
              <w:jc w:val="center"/>
              <w:ind w:right="1040"/>
              <w:spacing w:after="0"/>
              <w:rPr>
                <w:sz w:val="20"/>
                <w:szCs w:val="20"/>
                <w:color w:val="auto"/>
              </w:rPr>
            </w:pPr>
            <w:r>
              <w:rPr>
                <w:rFonts w:ascii="Arial" w:cs="Arial" w:eastAsia="Arial" w:hAnsi="Arial"/>
                <w:sz w:val="18"/>
                <w:szCs w:val="18"/>
                <w:color w:val="auto"/>
                <w:w w:val="89"/>
              </w:rPr>
              <w:t>Nasdaq Global Select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1" w:lineRule="exact"/>
        <w:rPr>
          <w:sz w:val="24"/>
          <w:szCs w:val="24"/>
          <w:color w:val="auto"/>
        </w:rPr>
      </w:pPr>
    </w:p>
    <w:p>
      <w:pPr>
        <w:jc w:val="both"/>
        <w:spacing w:after="0" w:line="28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60" w:hanging="253"/>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85" w:lineRule="exact"/>
        <w:rPr>
          <w:sz w:val="24"/>
          <w:szCs w:val="24"/>
          <w:color w:val="auto"/>
        </w:rPr>
      </w:pPr>
    </w:p>
    <w:p>
      <w:pPr>
        <w:jc w:val="both"/>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3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4"/>
        </w:trPr>
        <w:tc>
          <w:tcPr>
            <w:tcW w:w="23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3"/>
        </w:trPr>
        <w:tc>
          <w:tcPr>
            <w:tcW w:w="23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201" w:lineRule="exact"/>
        <w:rPr>
          <w:sz w:val="24"/>
          <w:szCs w:val="24"/>
          <w:color w:val="auto"/>
        </w:rPr>
      </w:pPr>
    </w:p>
    <w:p>
      <w:pPr>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ind w:right="2280"/>
        <w:spacing w:after="0" w:line="32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26, 2021, there were 31,554,160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137795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915670</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 w:name="page2"/>
    <w:bookmarkEnd w:id="1"/>
    <w:p>
      <w:pPr>
        <w:jc w:val="center"/>
        <w:spacing w:after="0" w:line="207" w:lineRule="exact"/>
        <w:rPr>
          <w:sz w:val="20"/>
          <w:szCs w:val="20"/>
          <w:color w:val="auto"/>
        </w:rPr>
      </w:pPr>
      <w:r>
        <w:rPr>
          <w:rFonts w:ascii="Arial" w:cs="Arial" w:eastAsia="Arial" w:hAnsi="Arial"/>
          <w:sz w:val="18"/>
          <w:szCs w:val="18"/>
          <w:b w:val="1"/>
          <w:bCs w:val="1"/>
          <w:color w:val="auto"/>
        </w:rPr>
        <w:t>Index to 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Q</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253"/>
              <w:spacing w:after="0"/>
              <w:rPr>
                <w:sz w:val="20"/>
                <w:szCs w:val="20"/>
                <w:color w:val="auto"/>
              </w:rPr>
            </w:pPr>
            <w:r>
              <w:rPr>
                <w:rFonts w:ascii="Arial" w:cs="Arial" w:eastAsia="Arial" w:hAnsi="Arial"/>
                <w:sz w:val="14"/>
                <w:szCs w:val="14"/>
                <w:b w:val="1"/>
                <w:bCs w:val="1"/>
                <w:color w:val="auto"/>
              </w:rPr>
              <w:t>Page</w:t>
            </w:r>
          </w:p>
        </w:tc>
      </w:tr>
      <w:tr>
        <w:trPr>
          <w:trHeight w:val="170"/>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Number</w:t>
            </w:r>
          </w:p>
        </w:tc>
      </w:tr>
      <w:tr>
        <w:trPr>
          <w:trHeight w:val="288"/>
        </w:trPr>
        <w:tc>
          <w:tcPr>
            <w:tcW w:w="980" w:type="dxa"/>
            <w:vAlign w:val="bottom"/>
          </w:tcPr>
          <w:p>
            <w:pPr>
              <w:spacing w:after="0"/>
              <w:rPr>
                <w:sz w:val="20"/>
                <w:szCs w:val="20"/>
                <w:color w:val="auto"/>
              </w:rPr>
            </w:pPr>
            <w:r>
              <w:rPr>
                <w:rFonts w:ascii="Arial" w:cs="Arial" w:eastAsia="Arial" w:hAnsi="Arial"/>
                <w:sz w:val="18"/>
                <w:szCs w:val="18"/>
                <w:color w:val="auto"/>
              </w:rPr>
              <w:t>Part I.</w:t>
            </w:r>
          </w:p>
        </w:tc>
        <w:tc>
          <w:tcPr>
            <w:tcW w:w="928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5"/>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7760" w:type="dxa"/>
            <w:vAlign w:val="bottom"/>
            <w:gridSpan w:val="1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15"/>
        </w:trPr>
        <w:tc>
          <w:tcPr>
            <w:tcW w:w="980" w:type="dxa"/>
            <w:vAlign w:val="bottom"/>
          </w:tcPr>
          <w:p>
            <w:pPr>
              <w:spacing w:after="0"/>
              <w:rPr>
                <w:sz w:val="24"/>
                <w:szCs w:val="24"/>
                <w:color w:val="auto"/>
              </w:rPr>
            </w:pPr>
          </w:p>
        </w:tc>
        <w:tc>
          <w:tcPr>
            <w:tcW w:w="928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 – June 30, 2021 and December 31, 20</w:t>
              </w:r>
            </w:hyperlink>
            <w:r>
              <w:rPr>
                <w:rFonts w:ascii="Arial" w:cs="Arial" w:eastAsia="Arial" w:hAnsi="Arial"/>
                <w:sz w:val="18"/>
                <w:szCs w:val="18"/>
                <w:color w:val="000000"/>
              </w:rPr>
              <w:t>20</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15"/>
        </w:trPr>
        <w:tc>
          <w:tcPr>
            <w:tcW w:w="980" w:type="dxa"/>
            <w:vAlign w:val="bottom"/>
          </w:tcPr>
          <w:p>
            <w:pPr>
              <w:spacing w:after="0"/>
              <w:rPr>
                <w:sz w:val="24"/>
                <w:szCs w:val="24"/>
                <w:color w:val="auto"/>
              </w:rPr>
            </w:pPr>
          </w:p>
        </w:tc>
        <w:tc>
          <w:tcPr>
            <w:tcW w:w="9280" w:type="dxa"/>
            <w:vAlign w:val="bottom"/>
            <w:gridSpan w:val="22"/>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Income (Unaudited) – Three and Six Months ended June 30, 2021 and 20</w:t>
              </w:r>
            </w:hyperlink>
            <w:r>
              <w:rPr>
                <w:rFonts w:ascii="Arial" w:cs="Arial" w:eastAsia="Arial" w:hAnsi="Arial"/>
                <w:sz w:val="18"/>
                <w:szCs w:val="18"/>
                <w:color w:val="000000"/>
                <w:w w:val="99"/>
              </w:rPr>
              <w:t>20</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15"/>
        </w:trPr>
        <w:tc>
          <w:tcPr>
            <w:tcW w:w="980" w:type="dxa"/>
            <w:vAlign w:val="bottom"/>
          </w:tcPr>
          <w:p>
            <w:pPr>
              <w:spacing w:after="0"/>
              <w:rPr>
                <w:sz w:val="24"/>
                <w:szCs w:val="24"/>
                <w:color w:val="auto"/>
              </w:rPr>
            </w:pPr>
          </w:p>
        </w:tc>
        <w:tc>
          <w:tcPr>
            <w:tcW w:w="9280" w:type="dxa"/>
            <w:vAlign w:val="bottom"/>
            <w:gridSpan w:val="22"/>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(Unaudited) – Three and Six Months ended June 30, 2021 and</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4"/>
        </w:trPr>
        <w:tc>
          <w:tcPr>
            <w:tcW w:w="980" w:type="dxa"/>
            <w:vAlign w:val="bottom"/>
          </w:tcPr>
          <w:p>
            <w:pPr>
              <w:spacing w:after="0"/>
              <w:rPr>
                <w:sz w:val="16"/>
                <w:szCs w:val="16"/>
                <w:color w:val="auto"/>
              </w:rPr>
            </w:pPr>
          </w:p>
        </w:tc>
        <w:tc>
          <w:tcPr>
            <w:tcW w:w="580" w:type="dxa"/>
            <w:vAlign w:val="bottom"/>
            <w:tcBorders>
              <w:top w:val="single" w:sz="8" w:color="0000EE"/>
            </w:tcBorders>
            <w:gridSpan w:val="3"/>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20</w:t>
              </w:r>
              <w:r>
                <w:rPr>
                  <w:rFonts w:ascii="Arial" w:cs="Arial" w:eastAsia="Arial" w:hAnsi="Arial"/>
                  <w:sz w:val="18"/>
                  <w:szCs w:val="18"/>
                  <w:color w:val="000000"/>
                </w:rPr>
                <w:t>20</w:t>
              </w:r>
            </w:hyperlink>
          </w:p>
        </w:tc>
        <w:tc>
          <w:tcPr>
            <w:tcW w:w="3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46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14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3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15"/>
        </w:trPr>
        <w:tc>
          <w:tcPr>
            <w:tcW w:w="980" w:type="dxa"/>
            <w:vAlign w:val="bottom"/>
          </w:tcPr>
          <w:p>
            <w:pPr>
              <w:spacing w:after="0"/>
              <w:rPr>
                <w:sz w:val="24"/>
                <w:szCs w:val="24"/>
                <w:color w:val="auto"/>
              </w:rPr>
            </w:pPr>
          </w:p>
        </w:tc>
        <w:tc>
          <w:tcPr>
            <w:tcW w:w="9280" w:type="dxa"/>
            <w:vAlign w:val="bottom"/>
            <w:gridSpan w:val="2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Shareholders' Equity (Unaudited) – Three and Six Months ended June 30, 2021 and 20</w:t>
              </w:r>
            </w:hyperlink>
            <w:r>
              <w:rPr>
                <w:rFonts w:ascii="Arial" w:cs="Arial" w:eastAsia="Arial" w:hAnsi="Arial"/>
                <w:sz w:val="18"/>
                <w:szCs w:val="18"/>
                <w:color w:val="000000"/>
                <w:w w:val="89"/>
              </w:rPr>
              <w:t>20</w:t>
            </w: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5"/>
        </w:trPr>
        <w:tc>
          <w:tcPr>
            <w:tcW w:w="980" w:type="dxa"/>
            <w:vAlign w:val="bottom"/>
          </w:tcPr>
          <w:p>
            <w:pPr>
              <w:spacing w:after="0"/>
              <w:rPr>
                <w:sz w:val="24"/>
                <w:szCs w:val="24"/>
                <w:color w:val="auto"/>
              </w:rPr>
            </w:pPr>
          </w:p>
        </w:tc>
        <w:tc>
          <w:tcPr>
            <w:tcW w:w="8760" w:type="dxa"/>
            <w:vAlign w:val="bottom"/>
            <w:tcBorders>
              <w:top w:val="single" w:sz="8" w:color="0000EE"/>
            </w:tcBorders>
            <w:gridSpan w:val="19"/>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Condensed Consolidated Statements of Cash Flows (Unaudited) – Three and Six Months ended June 30, 2021 and 20</w:t>
              </w:r>
            </w:hyperlink>
            <w:r>
              <w:rPr>
                <w:rFonts w:ascii="Arial" w:cs="Arial" w:eastAsia="Arial" w:hAnsi="Arial"/>
                <w:sz w:val="18"/>
                <w:szCs w:val="18"/>
                <w:color w:val="000000"/>
                <w:w w:val="90"/>
              </w:rPr>
              <w:t>20</w:t>
            </w:r>
          </w:p>
        </w:tc>
        <w:tc>
          <w:tcPr>
            <w:tcW w:w="180" w:type="dxa"/>
            <w:vAlign w:val="bottom"/>
            <w:tcBorders>
              <w:top w:val="single" w:sz="8" w:color="auto"/>
            </w:tcBorders>
          </w:tcPr>
          <w:p>
            <w:pPr>
              <w:spacing w:after="0"/>
              <w:rPr>
                <w:sz w:val="24"/>
                <w:szCs w:val="24"/>
                <w:color w:val="auto"/>
              </w:rPr>
            </w:pPr>
          </w:p>
        </w:tc>
        <w:tc>
          <w:tcPr>
            <w:tcW w:w="340" w:type="dxa"/>
            <w:vAlign w:val="bottom"/>
            <w:gridSpan w:val="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5"/>
        </w:trPr>
        <w:tc>
          <w:tcPr>
            <w:tcW w:w="980" w:type="dxa"/>
            <w:vAlign w:val="bottom"/>
          </w:tcPr>
          <w:p>
            <w:pPr>
              <w:spacing w:after="0"/>
              <w:rPr>
                <w:sz w:val="24"/>
                <w:szCs w:val="24"/>
                <w:color w:val="auto"/>
              </w:rPr>
            </w:pPr>
          </w:p>
        </w:tc>
        <w:tc>
          <w:tcPr>
            <w:tcW w:w="47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6"/>
              </w:rPr>
            </w:pPr>
            <w:hyperlink w:anchor="page9">
              <w:r>
                <w:rPr>
                  <w:rFonts w:ascii="Arial" w:cs="Arial" w:eastAsia="Arial" w:hAnsi="Arial"/>
                  <w:sz w:val="18"/>
                  <w:szCs w:val="18"/>
                  <w:color w:val="0000EE"/>
                  <w:w w:val="86"/>
                </w:rPr>
                <w:t>Notes to Condensed Consolidated Financial Statements (Unaudited)</w:t>
              </w:r>
            </w:hyperlink>
          </w:p>
        </w:tc>
        <w:tc>
          <w:tcPr>
            <w:tcW w:w="3440" w:type="dxa"/>
            <w:vAlign w:val="bottom"/>
            <w:tcBorders>
              <w:top w:val="single" w:sz="8" w:color="0000EE"/>
            </w:tcBorders>
            <w:gridSpan w:val="6"/>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5"/>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9280" w:type="dxa"/>
            <w:vAlign w:val="bottom"/>
            <w:gridSpan w:val="2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5"/>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41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Quantitative and Qualitative Disclosures about Market Risk</w:t>
              </w:r>
            </w:hyperlink>
          </w:p>
        </w:tc>
        <w:tc>
          <w:tcPr>
            <w:tcW w:w="2060" w:type="dxa"/>
            <w:vAlign w:val="bottom"/>
            <w:tcBorders>
              <w:top w:val="single" w:sz="8" w:color="0000EE"/>
            </w:tcBorders>
            <w:gridSpan w:val="2"/>
          </w:tcPr>
          <w:p>
            <w:pPr>
              <w:spacing w:after="0"/>
              <w:rPr>
                <w:sz w:val="24"/>
                <w:szCs w:val="24"/>
                <w:color w:val="auto"/>
              </w:rPr>
            </w:pPr>
          </w:p>
        </w:tc>
        <w:tc>
          <w:tcPr>
            <w:tcW w:w="3040" w:type="dxa"/>
            <w:vAlign w:val="bottom"/>
            <w:gridSpan w:val="10"/>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5"/>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9"/>
          </w:tcPr>
          <w:p>
            <w:pPr>
              <w:spacing w:after="0"/>
              <w:rPr>
                <w:rFonts w:ascii="Arial" w:cs="Arial" w:eastAsia="Arial" w:hAnsi="Arial"/>
                <w:sz w:val="18"/>
                <w:szCs w:val="18"/>
                <w:color w:val="0000EE"/>
                <w:w w:val="85"/>
              </w:rPr>
            </w:pPr>
            <w:hyperlink w:anchor="page28">
              <w:r>
                <w:rPr>
                  <w:rFonts w:ascii="Arial" w:cs="Arial" w:eastAsia="Arial" w:hAnsi="Arial"/>
                  <w:sz w:val="18"/>
                  <w:szCs w:val="18"/>
                  <w:color w:val="0000EE"/>
                  <w:w w:val="85"/>
                </w:rPr>
                <w:t>Controls and Procedures</w:t>
              </w:r>
            </w:hyperlink>
          </w:p>
        </w:tc>
        <w:tc>
          <w:tcPr>
            <w:tcW w:w="7560" w:type="dxa"/>
            <w:vAlign w:val="bottom"/>
            <w:gridSpan w:val="1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5"/>
        </w:trPr>
        <w:tc>
          <w:tcPr>
            <w:tcW w:w="980" w:type="dxa"/>
            <w:vAlign w:val="bottom"/>
          </w:tcPr>
          <w:p>
            <w:pPr>
              <w:spacing w:after="0"/>
              <w:rPr>
                <w:sz w:val="20"/>
                <w:szCs w:val="20"/>
                <w:color w:val="auto"/>
              </w:rPr>
            </w:pPr>
            <w:r>
              <w:rPr>
                <w:rFonts w:ascii="Arial" w:cs="Arial" w:eastAsia="Arial" w:hAnsi="Arial"/>
                <w:sz w:val="18"/>
                <w:szCs w:val="18"/>
                <w:color w:val="auto"/>
              </w:rPr>
              <w:t>Part II.</w:t>
            </w:r>
          </w:p>
        </w:tc>
        <w:tc>
          <w:tcPr>
            <w:tcW w:w="12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Other Information</w:t>
              </w:r>
            </w:hyperlink>
          </w:p>
        </w:tc>
        <w:tc>
          <w:tcPr>
            <w:tcW w:w="8000" w:type="dxa"/>
            <w:vAlign w:val="bottom"/>
            <w:gridSpan w:val="16"/>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5"/>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9280" w:type="dxa"/>
            <w:vAlign w:val="bottom"/>
            <w:gridSpan w:val="2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5"/>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8380" w:type="dxa"/>
            <w:vAlign w:val="bottom"/>
            <w:gridSpan w:val="18"/>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9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300" w:type="dxa"/>
            <w:vAlign w:val="bottom"/>
            <w:gridSpan w:val="1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15"/>
        </w:trPr>
        <w:tc>
          <w:tcPr>
            <w:tcW w:w="980" w:type="dxa"/>
            <w:vAlign w:val="bottom"/>
          </w:tcPr>
          <w:p>
            <w:pPr>
              <w:spacing w:after="0"/>
              <w:rPr>
                <w:sz w:val="24"/>
                <w:szCs w:val="24"/>
                <w:color w:val="auto"/>
              </w:rPr>
            </w:pPr>
          </w:p>
        </w:tc>
        <w:tc>
          <w:tcPr>
            <w:tcW w:w="9280" w:type="dxa"/>
            <w:vAlign w:val="bottom"/>
            <w:gridSpan w:val="2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714"/>
        </w:trPr>
        <w:tc>
          <w:tcPr>
            <w:tcW w:w="980" w:type="dxa"/>
            <w:vAlign w:val="bottom"/>
            <w:tcBorders>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June 30,</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w:t>
            </w:r>
          </w:p>
        </w:tc>
      </w:tr>
      <w:tr>
        <w:trPr>
          <w:trHeight w:val="178"/>
        </w:trPr>
        <w:tc>
          <w:tcPr>
            <w:tcW w:w="6580" w:type="dxa"/>
            <w:vAlign w:val="bottom"/>
          </w:tcPr>
          <w:p>
            <w:pPr>
              <w:spacing w:after="0"/>
              <w:rPr>
                <w:sz w:val="15"/>
                <w:szCs w:val="15"/>
                <w:color w:val="auto"/>
              </w:rPr>
            </w:pPr>
          </w:p>
        </w:tc>
        <w:tc>
          <w:tcPr>
            <w:tcW w:w="2200" w:type="dxa"/>
            <w:vAlign w:val="bottom"/>
            <w:gridSpan w:val="2"/>
          </w:tcPr>
          <w:p>
            <w:pPr>
              <w:jc w:val="right"/>
              <w:ind w:right="44"/>
              <w:spacing w:after="0"/>
              <w:rPr>
                <w:sz w:val="20"/>
                <w:szCs w:val="20"/>
                <w:color w:val="auto"/>
              </w:rPr>
            </w:pPr>
            <w:r>
              <w:rPr>
                <w:rFonts w:ascii="Arial" w:cs="Arial" w:eastAsia="Arial" w:hAnsi="Arial"/>
                <w:sz w:val="15"/>
                <w:szCs w:val="15"/>
                <w:b w:val="1"/>
                <w:bCs w:val="1"/>
                <w:color w:val="auto"/>
              </w:rPr>
              <w:t>2021</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56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5"/>
                <w:szCs w:val="15"/>
                <w:color w:val="auto"/>
              </w:rPr>
            </w:pPr>
          </w:p>
        </w:tc>
      </w:tr>
      <w:tr>
        <w:trPr>
          <w:trHeight w:val="167"/>
        </w:trPr>
        <w:tc>
          <w:tcPr>
            <w:tcW w:w="6580" w:type="dxa"/>
            <w:vAlign w:val="bottom"/>
            <w:tcBorders>
              <w:top w:val="single" w:sz="8" w:color="CFF0FC"/>
            </w:tcBorders>
            <w:shd w:val="clear" w:color="auto" w:fill="CFF0FC"/>
          </w:tcPr>
          <w:p>
            <w:pPr>
              <w:ind w:left="3500"/>
              <w:spacing w:after="0" w:line="167" w:lineRule="exact"/>
              <w:rPr>
                <w:sz w:val="20"/>
                <w:szCs w:val="20"/>
                <w:color w:val="auto"/>
              </w:rPr>
            </w:pPr>
            <w:r>
              <w:rPr>
                <w:rFonts w:ascii="Arial" w:cs="Arial" w:eastAsia="Arial" w:hAnsi="Arial"/>
                <w:sz w:val="15"/>
                <w:szCs w:val="15"/>
                <w:b w:val="1"/>
                <w:bCs w:val="1"/>
                <w:color w:val="auto"/>
              </w:rPr>
              <w:t>ASSETS</w:t>
            </w:r>
          </w:p>
        </w:tc>
        <w:tc>
          <w:tcPr>
            <w:tcW w:w="116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Current assets:</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and cash equivalents</w:t>
            </w:r>
          </w:p>
        </w:tc>
        <w:tc>
          <w:tcPr>
            <w:tcW w:w="2200" w:type="dxa"/>
            <w:vAlign w:val="bottom"/>
            <w:gridSpan w:val="2"/>
            <w:shd w:val="clear" w:color="auto" w:fill="CFF0FC"/>
          </w:tcPr>
          <w:p>
            <w:pPr>
              <w:jc w:val="right"/>
              <w:ind w:right="904"/>
              <w:spacing w:after="0"/>
              <w:rPr>
                <w:sz w:val="20"/>
                <w:szCs w:val="20"/>
                <w:color w:val="auto"/>
              </w:rPr>
            </w:pPr>
            <w:r>
              <w:rPr>
                <w:rFonts w:ascii="Arial" w:cs="Arial" w:eastAsia="Arial" w:hAnsi="Arial"/>
                <w:sz w:val="15"/>
                <w:szCs w:val="15"/>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49,792</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36,566</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Marketable securities</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5,349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9,928</w:t>
            </w:r>
          </w:p>
        </w:tc>
        <w:tc>
          <w:tcPr>
            <w:tcW w:w="100" w:type="dxa"/>
            <w:vAlign w:val="bottom"/>
          </w:tcPr>
          <w:p>
            <w:pPr>
              <w:spacing w:after="0"/>
              <w:rPr>
                <w:sz w:val="15"/>
                <w:szCs w:val="15"/>
                <w:color w:val="auto"/>
              </w:rPr>
            </w:pPr>
          </w:p>
        </w:tc>
      </w:tr>
      <w:tr>
        <w:trPr>
          <w:trHeight w:val="161"/>
        </w:trPr>
        <w:tc>
          <w:tcPr>
            <w:tcW w:w="6580" w:type="dxa"/>
            <w:vAlign w:val="bottom"/>
            <w:shd w:val="clear" w:color="auto" w:fill="CFF0FC"/>
          </w:tcPr>
          <w:p>
            <w:pPr>
              <w:ind w:left="260"/>
              <w:spacing w:after="0" w:line="161" w:lineRule="exact"/>
              <w:rPr>
                <w:sz w:val="20"/>
                <w:szCs w:val="20"/>
                <w:color w:val="auto"/>
              </w:rPr>
            </w:pPr>
            <w:r>
              <w:rPr>
                <w:rFonts w:ascii="Arial" w:cs="Arial" w:eastAsia="Arial" w:hAnsi="Arial"/>
                <w:sz w:val="15"/>
                <w:szCs w:val="15"/>
                <w:color w:val="auto"/>
              </w:rPr>
              <w:t>Accounts receivable, net of allowance for doubtful accounts of $383 and</w:t>
            </w:r>
          </w:p>
        </w:tc>
        <w:tc>
          <w:tcPr>
            <w:tcW w:w="1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4"/>
        </w:trPr>
        <w:tc>
          <w:tcPr>
            <w:tcW w:w="65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$549 at June 30, 2021 and December 31, 2020, respectively</w:t>
            </w:r>
          </w:p>
        </w:tc>
        <w:tc>
          <w:tcPr>
            <w:tcW w:w="1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28,405</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40,726</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Accounts receivable - unbilled</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4,049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5,374</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Prepaid royalties, net of amortization</w:t>
            </w:r>
          </w:p>
        </w:tc>
        <w:tc>
          <w:tcPr>
            <w:tcW w:w="1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10,603</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9,571</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Other prepaid expenses and other current assets</w:t>
            </w:r>
          </w:p>
        </w:tc>
        <w:tc>
          <w:tcPr>
            <w:tcW w:w="116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11,969</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12,560</w:t>
            </w:r>
          </w:p>
        </w:tc>
        <w:tc>
          <w:tcPr>
            <w:tcW w:w="100" w:type="dxa"/>
            <w:vAlign w:val="bottom"/>
            <w:tcBorders>
              <w:bottom w:val="single" w:sz="8" w:color="CFF0FC"/>
            </w:tcBorders>
          </w:tcPr>
          <w:p>
            <w:pPr>
              <w:spacing w:after="0"/>
              <w:rPr>
                <w:sz w:val="15"/>
                <w:szCs w:val="15"/>
                <w:color w:val="auto"/>
              </w:rPr>
            </w:pPr>
          </w:p>
        </w:tc>
      </w:tr>
      <w:tr>
        <w:trPr>
          <w:trHeight w:val="167"/>
        </w:trPr>
        <w:tc>
          <w:tcPr>
            <w:tcW w:w="6580" w:type="dxa"/>
            <w:vAlign w:val="bottom"/>
            <w:shd w:val="clear" w:color="auto" w:fill="CFF0FC"/>
          </w:tcPr>
          <w:p>
            <w:pPr>
              <w:ind w:left="500"/>
              <w:spacing w:after="0" w:line="168" w:lineRule="exact"/>
              <w:rPr>
                <w:sz w:val="20"/>
                <w:szCs w:val="20"/>
                <w:color w:val="auto"/>
              </w:rPr>
            </w:pPr>
            <w:r>
              <w:rPr>
                <w:rFonts w:ascii="Arial" w:cs="Arial" w:eastAsia="Arial" w:hAnsi="Arial"/>
                <w:sz w:val="15"/>
                <w:szCs w:val="15"/>
                <w:color w:val="auto"/>
              </w:rPr>
              <w:t>Total current assets</w:t>
            </w:r>
          </w:p>
        </w:tc>
        <w:tc>
          <w:tcPr>
            <w:tcW w:w="11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w w:val="88"/>
              </w:rPr>
              <w:t>110,167</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114,725</w:t>
            </w:r>
          </w:p>
        </w:tc>
        <w:tc>
          <w:tcPr>
            <w:tcW w:w="100" w:type="dxa"/>
            <w:vAlign w:val="bottom"/>
            <w:shd w:val="clear" w:color="auto" w:fill="CFF0FC"/>
          </w:tcPr>
          <w:p>
            <w:pPr>
              <w:spacing w:after="0"/>
              <w:rPr>
                <w:sz w:val="14"/>
                <w:szCs w:val="14"/>
                <w:color w:val="auto"/>
              </w:rPr>
            </w:pPr>
          </w:p>
        </w:tc>
      </w:tr>
      <w:tr>
        <w:trPr>
          <w:trHeight w:val="174"/>
        </w:trPr>
        <w:tc>
          <w:tcPr>
            <w:tcW w:w="6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1"/>
        </w:trPr>
        <w:tc>
          <w:tcPr>
            <w:tcW w:w="6580" w:type="dxa"/>
            <w:vAlign w:val="bottom"/>
            <w:shd w:val="clear" w:color="auto" w:fill="CFF0FC"/>
          </w:tcPr>
          <w:p>
            <w:pPr>
              <w:spacing w:after="0" w:line="161" w:lineRule="exact"/>
              <w:rPr>
                <w:sz w:val="20"/>
                <w:szCs w:val="20"/>
                <w:color w:val="auto"/>
              </w:rPr>
            </w:pPr>
            <w:r>
              <w:rPr>
                <w:rFonts w:ascii="Arial" w:cs="Arial" w:eastAsia="Arial" w:hAnsi="Arial"/>
                <w:sz w:val="15"/>
                <w:szCs w:val="15"/>
                <w:color w:val="auto"/>
              </w:rPr>
              <w:t>Property and equipment, net of accumulated depreciation of $22,587 and</w:t>
            </w:r>
          </w:p>
        </w:tc>
        <w:tc>
          <w:tcPr>
            <w:tcW w:w="1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4"/>
        </w:trPr>
        <w:tc>
          <w:tcPr>
            <w:tcW w:w="65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$19,237 at June 30, 2021 and December 31, 2020, respectively</w:t>
            </w:r>
          </w:p>
        </w:tc>
        <w:tc>
          <w:tcPr>
            <w:tcW w:w="1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19,516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22,218</w:t>
            </w:r>
          </w:p>
        </w:tc>
        <w:tc>
          <w:tcPr>
            <w:tcW w:w="100" w:type="dxa"/>
            <w:vAlign w:val="bottom"/>
            <w:shd w:val="clear" w:color="auto" w:fill="CFF0FC"/>
          </w:tcPr>
          <w:p>
            <w:pPr>
              <w:spacing w:after="0"/>
              <w:rPr>
                <w:sz w:val="15"/>
                <w:szCs w:val="15"/>
                <w:color w:val="auto"/>
              </w:rPr>
            </w:pPr>
          </w:p>
        </w:tc>
      </w:tr>
      <w:tr>
        <w:trPr>
          <w:trHeight w:val="161"/>
        </w:trPr>
        <w:tc>
          <w:tcPr>
            <w:tcW w:w="6580" w:type="dxa"/>
            <w:vAlign w:val="bottom"/>
          </w:tcPr>
          <w:p>
            <w:pPr>
              <w:spacing w:after="0" w:line="161" w:lineRule="exact"/>
              <w:rPr>
                <w:sz w:val="20"/>
                <w:szCs w:val="20"/>
                <w:color w:val="auto"/>
              </w:rPr>
            </w:pPr>
            <w:r>
              <w:rPr>
                <w:rFonts w:ascii="Arial" w:cs="Arial" w:eastAsia="Arial" w:hAnsi="Arial"/>
                <w:sz w:val="15"/>
                <w:szCs w:val="15"/>
                <w:color w:val="auto"/>
              </w:rPr>
              <w:t>Capitalized software development, net of accumulated amortization of $77,778 and</w:t>
            </w: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4"/>
        </w:trPr>
        <w:tc>
          <w:tcPr>
            <w:tcW w:w="6580" w:type="dxa"/>
            <w:vAlign w:val="bottom"/>
          </w:tcPr>
          <w:p>
            <w:pPr>
              <w:ind w:left="120"/>
              <w:spacing w:after="0"/>
              <w:rPr>
                <w:sz w:val="20"/>
                <w:szCs w:val="20"/>
                <w:color w:val="auto"/>
              </w:rPr>
            </w:pPr>
            <w:r>
              <w:rPr>
                <w:rFonts w:ascii="Arial" w:cs="Arial" w:eastAsia="Arial" w:hAnsi="Arial"/>
                <w:sz w:val="15"/>
                <w:szCs w:val="15"/>
                <w:color w:val="auto"/>
              </w:rPr>
              <w:t>$70,516 at June 30, 2021 and December 31, 2020, respectively</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29,918</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26,631</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Operating lease right of use assets, net</w:t>
            </w:r>
          </w:p>
        </w:tc>
        <w:tc>
          <w:tcPr>
            <w:tcW w:w="1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26,384</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28,081</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Goodwill</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8"/>
              </w:rPr>
              <w:t>181,502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178,440</w:t>
            </w:r>
          </w:p>
        </w:tc>
        <w:tc>
          <w:tcPr>
            <w:tcW w:w="100" w:type="dxa"/>
            <w:vAlign w:val="bottom"/>
          </w:tcPr>
          <w:p>
            <w:pPr>
              <w:spacing w:after="0"/>
              <w:rPr>
                <w:sz w:val="15"/>
                <w:szCs w:val="15"/>
                <w:color w:val="auto"/>
              </w:rPr>
            </w:pPr>
          </w:p>
        </w:tc>
      </w:tr>
      <w:tr>
        <w:trPr>
          <w:trHeight w:val="161"/>
        </w:trPr>
        <w:tc>
          <w:tcPr>
            <w:tcW w:w="6580" w:type="dxa"/>
            <w:vAlign w:val="bottom"/>
            <w:shd w:val="clear" w:color="auto" w:fill="CFF0FC"/>
          </w:tcPr>
          <w:p>
            <w:pPr>
              <w:spacing w:after="0" w:line="161" w:lineRule="exact"/>
              <w:rPr>
                <w:sz w:val="20"/>
                <w:szCs w:val="20"/>
                <w:color w:val="auto"/>
              </w:rPr>
            </w:pPr>
            <w:r>
              <w:rPr>
                <w:rFonts w:ascii="Arial" w:cs="Arial" w:eastAsia="Arial" w:hAnsi="Arial"/>
                <w:sz w:val="15"/>
                <w:szCs w:val="15"/>
                <w:color w:val="auto"/>
              </w:rPr>
              <w:t>Customer-related intangibles, net of accumulated amortization of $41,155 and</w:t>
            </w:r>
          </w:p>
        </w:tc>
        <w:tc>
          <w:tcPr>
            <w:tcW w:w="1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4"/>
        </w:trPr>
        <w:tc>
          <w:tcPr>
            <w:tcW w:w="65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$36,723 at June 30, 2021 and December 31, 2020, respectively</w:t>
            </w:r>
          </w:p>
        </w:tc>
        <w:tc>
          <w:tcPr>
            <w:tcW w:w="1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73,109</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76,927</w:t>
            </w:r>
          </w:p>
        </w:tc>
        <w:tc>
          <w:tcPr>
            <w:tcW w:w="100" w:type="dxa"/>
            <w:vAlign w:val="bottom"/>
            <w:shd w:val="clear" w:color="auto" w:fill="CFF0FC"/>
          </w:tcPr>
          <w:p>
            <w:pPr>
              <w:spacing w:after="0"/>
              <w:rPr>
                <w:sz w:val="15"/>
                <w:szCs w:val="15"/>
                <w:color w:val="auto"/>
              </w:rPr>
            </w:pPr>
          </w:p>
        </w:tc>
      </w:tr>
      <w:tr>
        <w:trPr>
          <w:trHeight w:val="161"/>
        </w:trPr>
        <w:tc>
          <w:tcPr>
            <w:tcW w:w="6580" w:type="dxa"/>
            <w:vAlign w:val="bottom"/>
          </w:tcPr>
          <w:p>
            <w:pPr>
              <w:spacing w:after="0" w:line="161" w:lineRule="exact"/>
              <w:rPr>
                <w:sz w:val="20"/>
                <w:szCs w:val="20"/>
                <w:color w:val="auto"/>
              </w:rPr>
            </w:pPr>
            <w:r>
              <w:rPr>
                <w:rFonts w:ascii="Arial" w:cs="Arial" w:eastAsia="Arial" w:hAnsi="Arial"/>
                <w:sz w:val="15"/>
                <w:szCs w:val="15"/>
                <w:color w:val="auto"/>
              </w:rPr>
              <w:t>Other intangible assets, net of accumulated amortization of $14,005 and</w:t>
            </w: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4"/>
        </w:trPr>
        <w:tc>
          <w:tcPr>
            <w:tcW w:w="6580" w:type="dxa"/>
            <w:vAlign w:val="bottom"/>
          </w:tcPr>
          <w:p>
            <w:pPr>
              <w:ind w:left="120"/>
              <w:spacing w:after="0"/>
              <w:rPr>
                <w:sz w:val="20"/>
                <w:szCs w:val="20"/>
                <w:color w:val="auto"/>
              </w:rPr>
            </w:pPr>
            <w:r>
              <w:rPr>
                <w:rFonts w:ascii="Arial" w:cs="Arial" w:eastAsia="Arial" w:hAnsi="Arial"/>
                <w:sz w:val="15"/>
                <w:szCs w:val="15"/>
                <w:color w:val="auto"/>
              </w:rPr>
              <w:t>$10,748 at June 30, 2021 and December 31, 2020, respectively</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20,993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23,788</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Deferred tax assets</w:t>
            </w:r>
          </w:p>
        </w:tc>
        <w:tc>
          <w:tcPr>
            <w:tcW w:w="1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974</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974</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Deferred commissions</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22,009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19,907</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Non-marketable equity investments</w:t>
            </w:r>
          </w:p>
        </w:tc>
        <w:tc>
          <w:tcPr>
            <w:tcW w:w="1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8,463</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6,845</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assets</w:t>
            </w:r>
          </w:p>
        </w:tc>
        <w:tc>
          <w:tcPr>
            <w:tcW w:w="116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3,267</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1,777</w:t>
            </w:r>
          </w:p>
        </w:tc>
        <w:tc>
          <w:tcPr>
            <w:tcW w:w="100" w:type="dxa"/>
            <w:vAlign w:val="bottom"/>
            <w:tcBorders>
              <w:bottom w:val="single" w:sz="8" w:color="CFF0FC"/>
            </w:tcBorders>
          </w:tcPr>
          <w:p>
            <w:pPr>
              <w:spacing w:after="0"/>
              <w:rPr>
                <w:sz w:val="15"/>
                <w:szCs w:val="15"/>
                <w:color w:val="auto"/>
              </w:rPr>
            </w:pPr>
          </w:p>
        </w:tc>
      </w:tr>
      <w:tr>
        <w:trPr>
          <w:trHeight w:val="167"/>
        </w:trPr>
        <w:tc>
          <w:tcPr>
            <w:tcW w:w="6580" w:type="dxa"/>
            <w:vAlign w:val="bottom"/>
            <w:shd w:val="clear" w:color="auto" w:fill="CFF0FC"/>
          </w:tcPr>
          <w:p>
            <w:pPr>
              <w:ind w:left="500"/>
              <w:spacing w:after="0" w:line="167" w:lineRule="exact"/>
              <w:rPr>
                <w:sz w:val="20"/>
                <w:szCs w:val="20"/>
                <w:color w:val="auto"/>
              </w:rPr>
            </w:pPr>
            <w:r>
              <w:rPr>
                <w:rFonts w:ascii="Arial" w:cs="Arial" w:eastAsia="Arial" w:hAnsi="Arial"/>
                <w:sz w:val="15"/>
                <w:szCs w:val="15"/>
                <w:color w:val="auto"/>
              </w:rPr>
              <w:t>Total assets</w:t>
            </w:r>
          </w:p>
        </w:tc>
        <w:tc>
          <w:tcPr>
            <w:tcW w:w="2200" w:type="dxa"/>
            <w:vAlign w:val="bottom"/>
            <w:gridSpan w:val="2"/>
            <w:shd w:val="clear" w:color="auto" w:fill="CFF0FC"/>
          </w:tcPr>
          <w:p>
            <w:pPr>
              <w:jc w:val="right"/>
              <w:ind w:right="904"/>
              <w:spacing w:after="0" w:line="167" w:lineRule="exact"/>
              <w:rPr>
                <w:sz w:val="20"/>
                <w:szCs w:val="20"/>
                <w:color w:val="auto"/>
              </w:rPr>
            </w:pPr>
            <w:r>
              <w:rPr>
                <w:rFonts w:ascii="Arial" w:cs="Arial" w:eastAsia="Arial" w:hAnsi="Arial"/>
                <w:sz w:val="15"/>
                <w:szCs w:val="15"/>
                <w:color w:val="auto"/>
              </w:rPr>
              <w:t>$</w:t>
            </w:r>
          </w:p>
        </w:tc>
        <w:tc>
          <w:tcPr>
            <w:tcW w:w="50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w w:val="88"/>
              </w:rPr>
              <w:t>496,302</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4"/>
              <w:spacing w:after="0" w:line="167" w:lineRule="exact"/>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500,313</w:t>
            </w:r>
          </w:p>
        </w:tc>
        <w:tc>
          <w:tcPr>
            <w:tcW w:w="100" w:type="dxa"/>
            <w:vAlign w:val="bottom"/>
            <w:shd w:val="clear" w:color="auto" w:fill="CFF0FC"/>
          </w:tcPr>
          <w:p>
            <w:pPr>
              <w:spacing w:after="0"/>
              <w:rPr>
                <w:sz w:val="14"/>
                <w:szCs w:val="14"/>
                <w:color w:val="auto"/>
              </w:rPr>
            </w:pP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54"/>
        </w:trPr>
        <w:tc>
          <w:tcPr>
            <w:tcW w:w="6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4"/>
        </w:trPr>
        <w:tc>
          <w:tcPr>
            <w:tcW w:w="6580" w:type="dxa"/>
            <w:vAlign w:val="bottom"/>
            <w:shd w:val="clear" w:color="auto" w:fill="CFF0FC"/>
          </w:tcPr>
          <w:p>
            <w:pPr>
              <w:ind w:left="2140"/>
              <w:spacing w:after="0"/>
              <w:rPr>
                <w:sz w:val="20"/>
                <w:szCs w:val="20"/>
                <w:color w:val="auto"/>
              </w:rPr>
            </w:pPr>
            <w:r>
              <w:rPr>
                <w:rFonts w:ascii="Arial" w:cs="Arial" w:eastAsia="Arial" w:hAnsi="Arial"/>
                <w:sz w:val="15"/>
                <w:szCs w:val="15"/>
                <w:b w:val="1"/>
                <w:bCs w:val="1"/>
                <w:color w:val="auto"/>
              </w:rPr>
              <w:t>LIABILITIES AND SHAREHOLDERS’ EQUITY</w:t>
            </w:r>
          </w:p>
        </w:tc>
        <w:tc>
          <w:tcPr>
            <w:tcW w:w="1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Current liabilities:</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payable and accrued expenses</w:t>
            </w:r>
          </w:p>
        </w:tc>
        <w:tc>
          <w:tcPr>
            <w:tcW w:w="2200" w:type="dxa"/>
            <w:vAlign w:val="bottom"/>
            <w:gridSpan w:val="2"/>
            <w:shd w:val="clear" w:color="auto" w:fill="CFF0FC"/>
          </w:tcPr>
          <w:p>
            <w:pPr>
              <w:jc w:val="right"/>
              <w:ind w:right="904"/>
              <w:spacing w:after="0"/>
              <w:rPr>
                <w:sz w:val="20"/>
                <w:szCs w:val="20"/>
                <w:color w:val="auto"/>
              </w:rPr>
            </w:pPr>
            <w:r>
              <w:rPr>
                <w:rFonts w:ascii="Arial" w:cs="Arial" w:eastAsia="Arial" w:hAnsi="Arial"/>
                <w:sz w:val="15"/>
                <w:szCs w:val="15"/>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20,365</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29,457</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Accrued royalties</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6,011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8,809</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Deferred revenue</w:t>
            </w:r>
          </w:p>
        </w:tc>
        <w:tc>
          <w:tcPr>
            <w:tcW w:w="1160" w:type="dxa"/>
            <w:vAlign w:val="bottom"/>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79,542</w:t>
            </w:r>
          </w:p>
        </w:tc>
        <w:tc>
          <w:tcPr>
            <w:tcW w:w="2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81,176</w:t>
            </w:r>
          </w:p>
        </w:tc>
        <w:tc>
          <w:tcPr>
            <w:tcW w:w="100" w:type="dxa"/>
            <w:vAlign w:val="bottom"/>
            <w:shd w:val="clear" w:color="auto" w:fill="CFF0FC"/>
          </w:tcPr>
          <w:p>
            <w:pPr>
              <w:spacing w:after="0"/>
              <w:rPr>
                <w:sz w:val="15"/>
                <w:szCs w:val="15"/>
                <w:color w:val="auto"/>
              </w:rPr>
            </w:pPr>
          </w:p>
        </w:tc>
      </w:tr>
      <w:tr>
        <w:trPr>
          <w:trHeight w:val="167"/>
        </w:trPr>
        <w:tc>
          <w:tcPr>
            <w:tcW w:w="6580" w:type="dxa"/>
            <w:vAlign w:val="bottom"/>
          </w:tcPr>
          <w:p>
            <w:pPr>
              <w:ind w:left="500"/>
              <w:spacing w:after="0" w:line="168" w:lineRule="exact"/>
              <w:rPr>
                <w:sz w:val="20"/>
                <w:szCs w:val="20"/>
                <w:color w:val="auto"/>
              </w:rPr>
            </w:pPr>
            <w:r>
              <w:rPr>
                <w:rFonts w:ascii="Arial" w:cs="Arial" w:eastAsia="Arial" w:hAnsi="Arial"/>
                <w:sz w:val="15"/>
                <w:szCs w:val="15"/>
                <w:color w:val="auto"/>
              </w:rPr>
              <w:t>Total current liabilities</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jc w:val="right"/>
              <w:spacing w:after="0" w:line="168" w:lineRule="exact"/>
              <w:rPr>
                <w:sz w:val="20"/>
                <w:szCs w:val="20"/>
                <w:color w:val="auto"/>
              </w:rPr>
            </w:pPr>
            <w:r>
              <w:rPr>
                <w:rFonts w:ascii="Arial" w:cs="Arial" w:eastAsia="Arial" w:hAnsi="Arial"/>
                <w:sz w:val="15"/>
                <w:szCs w:val="15"/>
                <w:color w:val="auto"/>
                <w:w w:val="88"/>
              </w:rPr>
              <w:t>105,918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Arial" w:cs="Arial" w:eastAsia="Arial" w:hAnsi="Arial"/>
                <w:sz w:val="15"/>
                <w:szCs w:val="15"/>
                <w:color w:val="auto"/>
              </w:rPr>
              <w:t>119,442</w:t>
            </w:r>
          </w:p>
        </w:tc>
        <w:tc>
          <w:tcPr>
            <w:tcW w:w="100" w:type="dxa"/>
            <w:vAlign w:val="bottom"/>
          </w:tcPr>
          <w:p>
            <w:pPr>
              <w:spacing w:after="0"/>
              <w:rPr>
                <w:sz w:val="14"/>
                <w:szCs w:val="14"/>
                <w:color w:val="auto"/>
              </w:rPr>
            </w:pPr>
          </w:p>
        </w:tc>
      </w:tr>
      <w:tr>
        <w:trPr>
          <w:trHeight w:val="174"/>
        </w:trPr>
        <w:tc>
          <w:tcPr>
            <w:tcW w:w="65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17,898</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14,523</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Deferred revenue, noncurrent</w:t>
            </w:r>
          </w:p>
        </w:tc>
        <w:tc>
          <w:tcPr>
            <w:tcW w:w="1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1,550</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1,603</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Operating lease liability, noncurrent</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26,911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28,479</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Other long term liabilities</w:t>
            </w:r>
          </w:p>
        </w:tc>
        <w:tc>
          <w:tcPr>
            <w:tcW w:w="1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3,646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2,204</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Commitments and contingencies</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Shareholders’ equity:</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1"/>
        </w:trPr>
        <w:tc>
          <w:tcPr>
            <w:tcW w:w="6580" w:type="dxa"/>
            <w:vAlign w:val="bottom"/>
            <w:shd w:val="clear" w:color="auto" w:fill="CFF0FC"/>
          </w:tcPr>
          <w:p>
            <w:pPr>
              <w:ind w:left="260"/>
              <w:spacing w:after="0" w:line="161" w:lineRule="exact"/>
              <w:rPr>
                <w:sz w:val="20"/>
                <w:szCs w:val="20"/>
                <w:color w:val="auto"/>
              </w:rPr>
            </w:pPr>
            <w:r>
              <w:rPr>
                <w:rFonts w:ascii="Arial" w:cs="Arial" w:eastAsia="Arial" w:hAnsi="Arial"/>
                <w:sz w:val="15"/>
                <w:szCs w:val="15"/>
                <w:color w:val="auto"/>
              </w:rPr>
              <w:t>Common stock, no par value, 75,000 shares authorized; 31,554 and 31,493 shares</w:t>
            </w:r>
          </w:p>
        </w:tc>
        <w:tc>
          <w:tcPr>
            <w:tcW w:w="1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4"/>
        </w:trPr>
        <w:tc>
          <w:tcPr>
            <w:tcW w:w="65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issued and outstanding at June 30, 2021 and December 31, 2020, respectively</w:t>
            </w:r>
          </w:p>
        </w:tc>
        <w:tc>
          <w:tcPr>
            <w:tcW w:w="1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8"/>
              </w:rPr>
              <w:t>272,783</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271,784</w:t>
            </w:r>
          </w:p>
        </w:tc>
        <w:tc>
          <w:tcPr>
            <w:tcW w:w="100" w:type="dxa"/>
            <w:vAlign w:val="bottom"/>
            <w:shd w:val="clear" w:color="auto" w:fill="CFF0FC"/>
          </w:tcPr>
          <w:p>
            <w:pPr>
              <w:spacing w:after="0"/>
              <w:rPr>
                <w:sz w:val="15"/>
                <w:szCs w:val="15"/>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Retained earnings</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67,010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62,277</w:t>
            </w:r>
          </w:p>
        </w:tc>
        <w:tc>
          <w:tcPr>
            <w:tcW w:w="100" w:type="dxa"/>
            <w:vAlign w:val="bottom"/>
          </w:tcPr>
          <w:p>
            <w:pPr>
              <w:spacing w:after="0"/>
              <w:rPr>
                <w:sz w:val="15"/>
                <w:szCs w:val="15"/>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Accumulated other comprehensive income</w:t>
            </w:r>
          </w:p>
        </w:tc>
        <w:tc>
          <w:tcPr>
            <w:tcW w:w="1160" w:type="dxa"/>
            <w:vAlign w:val="bottom"/>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586</w:t>
            </w:r>
          </w:p>
        </w:tc>
        <w:tc>
          <w:tcPr>
            <w:tcW w:w="2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FF0FC"/>
          </w:tcPr>
          <w:p>
            <w:pPr>
              <w:spacing w:after="0"/>
              <w:rPr>
                <w:sz w:val="15"/>
                <w:szCs w:val="15"/>
                <w:color w:val="auto"/>
              </w:rPr>
            </w:pPr>
          </w:p>
        </w:tc>
      </w:tr>
      <w:tr>
        <w:trPr>
          <w:trHeight w:val="167"/>
        </w:trPr>
        <w:tc>
          <w:tcPr>
            <w:tcW w:w="6580" w:type="dxa"/>
            <w:vAlign w:val="bottom"/>
            <w:tcBorders>
              <w:bottom w:val="single" w:sz="8" w:color="CFF0FC"/>
            </w:tcBorders>
          </w:tcPr>
          <w:p>
            <w:pPr>
              <w:ind w:left="500"/>
              <w:spacing w:after="0" w:line="167" w:lineRule="exact"/>
              <w:rPr>
                <w:sz w:val="20"/>
                <w:szCs w:val="20"/>
                <w:color w:val="auto"/>
              </w:rPr>
            </w:pPr>
            <w:r>
              <w:rPr>
                <w:rFonts w:ascii="Arial" w:cs="Arial" w:eastAsia="Arial" w:hAnsi="Arial"/>
                <w:sz w:val="15"/>
                <w:szCs w:val="15"/>
                <w:color w:val="auto"/>
              </w:rPr>
              <w:t>Total shareholders’ equity</w:t>
            </w:r>
          </w:p>
        </w:tc>
        <w:tc>
          <w:tcPr>
            <w:tcW w:w="116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88"/>
              </w:rPr>
              <w:t>340,379</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334,062</w:t>
            </w:r>
          </w:p>
        </w:tc>
        <w:tc>
          <w:tcPr>
            <w:tcW w:w="100" w:type="dxa"/>
            <w:vAlign w:val="bottom"/>
            <w:tcBorders>
              <w:bottom w:val="single" w:sz="8" w:color="CFF0FC"/>
            </w:tcBorders>
          </w:tcPr>
          <w:p>
            <w:pPr>
              <w:spacing w:after="0"/>
              <w:rPr>
                <w:sz w:val="14"/>
                <w:szCs w:val="14"/>
                <w:color w:val="auto"/>
              </w:rPr>
            </w:pPr>
          </w:p>
        </w:tc>
      </w:tr>
      <w:tr>
        <w:trPr>
          <w:trHeight w:val="167"/>
        </w:trPr>
        <w:tc>
          <w:tcPr>
            <w:tcW w:w="6580" w:type="dxa"/>
            <w:vAlign w:val="bottom"/>
            <w:shd w:val="clear" w:color="auto" w:fill="CFF0FC"/>
          </w:tcPr>
          <w:p>
            <w:pPr>
              <w:ind w:left="500"/>
              <w:spacing w:after="0" w:line="168" w:lineRule="exact"/>
              <w:rPr>
                <w:sz w:val="20"/>
                <w:szCs w:val="20"/>
                <w:color w:val="auto"/>
              </w:rPr>
            </w:pPr>
            <w:r>
              <w:rPr>
                <w:rFonts w:ascii="Arial" w:cs="Arial" w:eastAsia="Arial" w:hAnsi="Arial"/>
                <w:sz w:val="15"/>
                <w:szCs w:val="15"/>
                <w:color w:val="auto"/>
              </w:rPr>
              <w:t>Total liabilities and shareholders’ equity</w:t>
            </w:r>
          </w:p>
        </w:tc>
        <w:tc>
          <w:tcPr>
            <w:tcW w:w="2200" w:type="dxa"/>
            <w:vAlign w:val="bottom"/>
            <w:gridSpan w:val="2"/>
            <w:shd w:val="clear" w:color="auto" w:fill="CFF0FC"/>
          </w:tcPr>
          <w:p>
            <w:pPr>
              <w:jc w:val="right"/>
              <w:ind w:right="904"/>
              <w:spacing w:after="0" w:line="168" w:lineRule="exact"/>
              <w:rPr>
                <w:sz w:val="20"/>
                <w:szCs w:val="20"/>
                <w:color w:val="auto"/>
              </w:rPr>
            </w:pPr>
            <w:r>
              <w:rPr>
                <w:rFonts w:ascii="Arial" w:cs="Arial" w:eastAsia="Arial" w:hAnsi="Arial"/>
                <w:sz w:val="15"/>
                <w:szCs w:val="15"/>
                <w:color w:val="auto"/>
              </w:rPr>
              <w:t>$</w:t>
            </w:r>
          </w:p>
        </w:tc>
        <w:tc>
          <w:tcPr>
            <w:tcW w:w="50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w w:val="88"/>
              </w:rPr>
              <w:t>496,302</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4"/>
              <w:spacing w:after="0" w:line="168" w:lineRule="exact"/>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500,313</w:t>
            </w:r>
          </w:p>
        </w:tc>
        <w:tc>
          <w:tcPr>
            <w:tcW w:w="100" w:type="dxa"/>
            <w:vAlign w:val="bottom"/>
            <w:shd w:val="clear" w:color="auto" w:fill="CFF0FC"/>
          </w:tcPr>
          <w:p>
            <w:pPr>
              <w:spacing w:after="0"/>
              <w:rPr>
                <w:sz w:val="14"/>
                <w:szCs w:val="14"/>
                <w:color w:val="auto"/>
              </w:rPr>
            </w:pP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unaudited Condensed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40" w:type="dxa"/>
            <w:vAlign w:val="bottom"/>
            <w:gridSpan w:val="6"/>
          </w:tcPr>
          <w:p>
            <w:pPr>
              <w:ind w:lef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1"/>
        </w:trPr>
        <w:tc>
          <w:tcPr>
            <w:tcW w:w="58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480"/>
              <w:spacing w:after="0" w:line="131" w:lineRule="exact"/>
              <w:rPr>
                <w:sz w:val="20"/>
                <w:szCs w:val="20"/>
                <w:color w:val="auto"/>
              </w:rPr>
            </w:pPr>
            <w:r>
              <w:rPr>
                <w:rFonts w:ascii="Arial" w:cs="Arial" w:eastAsia="Arial" w:hAnsi="Arial"/>
                <w:sz w:val="14"/>
                <w:szCs w:val="14"/>
                <w:b w:val="1"/>
                <w:bCs w:val="1"/>
                <w:color w:val="auto"/>
              </w:rPr>
              <w:t>June 30,</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33"/>
              <w:spacing w:after="0" w:line="131"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480"/>
              <w:spacing w:after="0" w:line="131" w:lineRule="exact"/>
              <w:rPr>
                <w:sz w:val="20"/>
                <w:szCs w:val="20"/>
                <w:color w:val="auto"/>
              </w:rPr>
            </w:pPr>
            <w:r>
              <w:rPr>
                <w:rFonts w:ascii="Arial" w:cs="Arial" w:eastAsia="Arial" w:hAnsi="Arial"/>
                <w:sz w:val="14"/>
                <w:szCs w:val="14"/>
                <w:b w:val="1"/>
                <w:bCs w:val="1"/>
                <w:color w:val="auto"/>
              </w:rPr>
              <w:t>June 30,</w:t>
            </w: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53"/>
              <w:spacing w:after="0" w:line="131"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8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Revenues, net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64,816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60,553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revenues (excluding depreciation and amortization)</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45,518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40" w:type="dxa"/>
            <w:vAlign w:val="bottom"/>
          </w:tcPr>
          <w:p>
            <w:pPr>
              <w:ind w:left="260"/>
              <w:spacing w:after="0"/>
              <w:rPr>
                <w:sz w:val="20"/>
                <w:szCs w:val="20"/>
                <w:color w:val="auto"/>
              </w:rPr>
            </w:pPr>
            <w:r>
              <w:rPr>
                <w:rFonts w:ascii="Arial" w:cs="Arial" w:eastAsia="Arial" w:hAnsi="Arial"/>
                <w:sz w:val="18"/>
                <w:szCs w:val="18"/>
                <w:color w:val="auto"/>
              </w:rPr>
              <w:t>Product development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40" w:type="dxa"/>
            <w:vAlign w:val="bottom"/>
          </w:tcPr>
          <w:p>
            <w:pPr>
              <w:ind w:left="260"/>
              <w:spacing w:after="0"/>
              <w:rPr>
                <w:sz w:val="20"/>
                <w:szCs w:val="20"/>
                <w:color w:val="auto"/>
              </w:rPr>
            </w:pPr>
            <w:r>
              <w:rPr>
                <w:rFonts w:ascii="Arial" w:cs="Arial" w:eastAsia="Arial" w:hAnsi="Arial"/>
                <w:sz w:val="18"/>
                <w:szCs w:val="18"/>
                <w:color w:val="auto"/>
              </w:rPr>
              <w:t>Other general and administrative expenses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10,098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7,150</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18,302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40" w:type="dxa"/>
            <w:vAlign w:val="bottom"/>
          </w:tcPr>
          <w:p>
            <w:pPr>
              <w:ind w:left="500"/>
              <w:spacing w:after="0"/>
              <w:rPr>
                <w:sz w:val="20"/>
                <w:szCs w:val="20"/>
                <w:color w:val="auto"/>
              </w:rPr>
            </w:pPr>
            <w:r>
              <w:rPr>
                <w:rFonts w:ascii="Arial" w:cs="Arial" w:eastAsia="Arial" w:hAnsi="Arial"/>
                <w:sz w:val="18"/>
                <w:szCs w:val="18"/>
                <w:color w:val="auto"/>
              </w:rPr>
              <w:t>Total operating costs and expenses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61,385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56,249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121,553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4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40" w:type="dxa"/>
            <w:vAlign w:val="bottom"/>
          </w:tcPr>
          <w:p>
            <w:pPr>
              <w:spacing w:after="0"/>
              <w:rPr>
                <w:sz w:val="20"/>
                <w:szCs w:val="20"/>
                <w:color w:val="auto"/>
              </w:rPr>
            </w:pPr>
            <w:r>
              <w:rPr>
                <w:rFonts w:ascii="Arial" w:cs="Arial" w:eastAsia="Arial" w:hAnsi="Arial"/>
                <w:sz w:val="18"/>
                <w:szCs w:val="18"/>
                <w:color w:val="auto"/>
              </w:rPr>
              <w:t>Other (loss) income, net</w:t>
            </w:r>
          </w:p>
        </w:tc>
        <w:tc>
          <w:tcPr>
            <w:tcW w:w="2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40" w:type="dxa"/>
            <w:vAlign w:val="bottom"/>
          </w:tcPr>
          <w:p>
            <w:pPr>
              <w:spacing w:after="0"/>
              <w:rPr>
                <w:sz w:val="20"/>
                <w:szCs w:val="20"/>
                <w:color w:val="auto"/>
              </w:rPr>
            </w:pPr>
            <w:r>
              <w:rPr>
                <w:rFonts w:ascii="Arial" w:cs="Arial" w:eastAsia="Arial" w:hAnsi="Arial"/>
                <w:sz w:val="18"/>
                <w:szCs w:val="18"/>
                <w:color w:val="auto"/>
              </w:rPr>
              <w:t>Income before income tax provision</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6,579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5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40" w:type="dxa"/>
            <w:vAlign w:val="bottom"/>
          </w:tcPr>
          <w:p>
            <w:pPr>
              <w:spacing w:after="0"/>
              <w:rPr>
                <w:sz w:val="20"/>
                <w:szCs w:val="20"/>
                <w:color w:val="auto"/>
              </w:rPr>
            </w:pPr>
            <w:r>
              <w:rPr>
                <w:rFonts w:ascii="Arial" w:cs="Arial" w:eastAsia="Arial" w:hAnsi="Arial"/>
                <w:sz w:val="18"/>
                <w:szCs w:val="18"/>
                <w:color w:val="auto"/>
              </w:rPr>
              <w:t>Net income per share:</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84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40" w:type="dxa"/>
            <w:vAlign w:val="bottom"/>
          </w:tcPr>
          <w:p>
            <w:pPr>
              <w:spacing w:after="0"/>
              <w:rPr>
                <w:sz w:val="20"/>
                <w:szCs w:val="20"/>
                <w:color w:val="auto"/>
              </w:rPr>
            </w:pPr>
            <w:r>
              <w:rPr>
                <w:rFonts w:ascii="Arial" w:cs="Arial" w:eastAsia="Arial" w:hAnsi="Arial"/>
                <w:sz w:val="18"/>
                <w:szCs w:val="18"/>
                <w:color w:val="auto"/>
              </w:rPr>
              <w:t>Weighted average shares of common stock outstanding:</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31,553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31,997</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31,528</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4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32,025</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4"/>
          </w:tcPr>
          <w:p>
            <w:pPr>
              <w:jc w:val="right"/>
              <w:ind w:right="616"/>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Six Months Ended</w:t>
            </w:r>
          </w:p>
        </w:tc>
      </w:tr>
      <w:tr>
        <w:trPr>
          <w:trHeight w:val="131"/>
        </w:trPr>
        <w:tc>
          <w:tcPr>
            <w:tcW w:w="55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60"/>
              <w:spacing w:after="0" w:line="131" w:lineRule="exact"/>
              <w:rPr>
                <w:sz w:val="20"/>
                <w:szCs w:val="20"/>
                <w:color w:val="auto"/>
              </w:rPr>
            </w:pPr>
            <w:r>
              <w:rPr>
                <w:rFonts w:ascii="Arial" w:cs="Arial" w:eastAsia="Arial" w:hAnsi="Arial"/>
                <w:sz w:val="14"/>
                <w:szCs w:val="14"/>
                <w:b w:val="1"/>
                <w:bCs w:val="1"/>
                <w:color w:val="auto"/>
              </w:rPr>
              <w:t>June 30,</w:t>
            </w: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56"/>
              <w:spacing w:after="0" w:line="131"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60"/>
              <w:spacing w:after="0" w:line="131" w:lineRule="exact"/>
              <w:rPr>
                <w:sz w:val="20"/>
                <w:szCs w:val="20"/>
                <w:color w:val="auto"/>
              </w:rPr>
            </w:pPr>
            <w:r>
              <w:rPr>
                <w:rFonts w:ascii="Arial" w:cs="Arial" w:eastAsia="Arial" w:hAnsi="Arial"/>
                <w:sz w:val="14"/>
                <w:szCs w:val="14"/>
                <w:b w:val="1"/>
                <w:bCs w:val="1"/>
                <w:color w:val="auto"/>
              </w:rPr>
              <w:t>June 30,</w:t>
            </w: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56"/>
              <w:spacing w:after="0" w:line="131"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r>
      <w:tr>
        <w:trPr>
          <w:trHeight w:val="170"/>
        </w:trPr>
        <w:tc>
          <w:tcPr>
            <w:tcW w:w="55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1"/>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10,533</w:t>
            </w:r>
          </w:p>
        </w:tc>
        <w:tc>
          <w:tcPr>
            <w:tcW w:w="120" w:type="dxa"/>
            <w:vAlign w:val="bottom"/>
            <w:shd w:val="clear" w:color="auto" w:fill="CFF0FC"/>
          </w:tcPr>
          <w:p>
            <w:pPr>
              <w:spacing w:after="0"/>
              <w:rPr>
                <w:sz w:val="19"/>
                <w:szCs w:val="19"/>
                <w:color w:val="auto"/>
              </w:rPr>
            </w:pPr>
          </w:p>
        </w:tc>
      </w:tr>
      <w:tr>
        <w:trPr>
          <w:trHeight w:val="228"/>
        </w:trPr>
        <w:tc>
          <w:tcPr>
            <w:tcW w:w="5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net of taxes:</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552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228"/>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on marketable securities</w:t>
            </w: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r>
      <w:tr>
        <w:trPr>
          <w:trHeight w:val="221"/>
        </w:trPr>
        <w:tc>
          <w:tcPr>
            <w:tcW w:w="5520" w:type="dxa"/>
            <w:vAlign w:val="bottom"/>
          </w:tcPr>
          <w:p>
            <w:pPr>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21"/>
        </w:trPr>
        <w:tc>
          <w:tcPr>
            <w:tcW w:w="5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9"/>
          </w:tcPr>
          <w:p>
            <w:pPr>
              <w:ind w:left="660"/>
              <w:spacing w:after="0"/>
              <w:rPr>
                <w:sz w:val="20"/>
                <w:szCs w:val="20"/>
                <w:color w:val="auto"/>
              </w:rPr>
            </w:pPr>
            <w:r>
              <w:rPr>
                <w:rFonts w:ascii="Arial" w:cs="Arial" w:eastAsia="Arial" w:hAnsi="Arial"/>
                <w:sz w:val="14"/>
                <w:szCs w:val="14"/>
                <w:b w:val="1"/>
                <w:bCs w:val="1"/>
                <w:color w:val="auto"/>
              </w:rPr>
              <w:t>Six Months Ended June 30, 2021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7"/>
        </w:trPr>
        <w:tc>
          <w:tcPr>
            <w:tcW w:w="4940" w:type="dxa"/>
            <w:vAlign w:val="bottom"/>
          </w:tcPr>
          <w:p>
            <w:pPr>
              <w:spacing w:after="0"/>
              <w:rPr>
                <w:sz w:val="12"/>
                <w:szCs w:val="12"/>
                <w:color w:val="auto"/>
              </w:rPr>
            </w:pPr>
          </w:p>
        </w:tc>
        <w:tc>
          <w:tcPr>
            <w:tcW w:w="2460" w:type="dxa"/>
            <w:vAlign w:val="bottom"/>
            <w:gridSpan w:val="5"/>
            <w:vMerge w:val="restart"/>
          </w:tcPr>
          <w:p>
            <w:pPr>
              <w:jc w:val="right"/>
              <w:ind w:right="8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940" w:type="dxa"/>
            <w:vAlign w:val="bottom"/>
          </w:tcPr>
          <w:p>
            <w:pPr>
              <w:spacing w:after="0"/>
              <w:rPr>
                <w:sz w:val="14"/>
                <w:szCs w:val="14"/>
                <w:color w:val="auto"/>
              </w:rPr>
            </w:pPr>
          </w:p>
        </w:tc>
        <w:tc>
          <w:tcPr>
            <w:tcW w:w="24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54"/>
        </w:trPr>
        <w:tc>
          <w:tcPr>
            <w:tcW w:w="4940" w:type="dxa"/>
            <w:vAlign w:val="bottom"/>
            <w:vMerge w:val="restart"/>
          </w:tcPr>
          <w:p>
            <w:pPr>
              <w:spacing w:after="0"/>
              <w:rPr>
                <w:sz w:val="20"/>
                <w:szCs w:val="20"/>
                <w:color w:val="auto"/>
              </w:rPr>
            </w:pPr>
            <w:r>
              <w:rPr>
                <w:rFonts w:ascii="Arial" w:cs="Arial" w:eastAsia="Arial" w:hAnsi="Arial"/>
                <w:sz w:val="18"/>
                <w:szCs w:val="18"/>
                <w:color w:val="auto"/>
              </w:rPr>
              <w:t>Balance at December 31, 2020</w:t>
            </w:r>
          </w:p>
        </w:tc>
        <w:tc>
          <w:tcPr>
            <w:tcW w:w="1040" w:type="dxa"/>
            <w:vAlign w:val="bottom"/>
            <w:tcBorders>
              <w:top w:val="single" w:sz="8" w:color="auto"/>
            </w:tcBorders>
          </w:tcPr>
          <w:p>
            <w:pPr>
              <w:jc w:val="right"/>
              <w:ind w:right="234"/>
              <w:spacing w:after="0" w:line="154"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194"/>
              <w:spacing w:after="0" w:line="154"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54"/>
              <w:spacing w:after="0" w:line="154" w:lineRule="exact"/>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w w:val="89"/>
              </w:rPr>
              <w:t>Income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1"/>
        </w:trPr>
        <w:tc>
          <w:tcPr>
            <w:tcW w:w="4940" w:type="dxa"/>
            <w:vAlign w:val="bottom"/>
            <w:vMerge w:val="continue"/>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31,493</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271,784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62,277</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40" w:type="dxa"/>
            <w:vAlign w:val="bottom"/>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Arial" w:cs="Arial" w:eastAsia="Arial" w:hAnsi="Arial"/>
                <w:sz w:val="18"/>
                <w:szCs w:val="18"/>
                <w:color w:val="auto"/>
              </w:rPr>
              <w:t>Common stock issued under stock plans,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40" w:type="dxa"/>
            <w:vAlign w:val="bottom"/>
          </w:tcPr>
          <w:p>
            <w:pPr>
              <w:ind w:left="180"/>
              <w:spacing w:after="0"/>
              <w:rPr>
                <w:sz w:val="20"/>
                <w:szCs w:val="20"/>
                <w:color w:val="auto"/>
              </w:rPr>
            </w:pPr>
            <w:r>
              <w:rPr>
                <w:rFonts w:ascii="Arial" w:cs="Arial" w:eastAsia="Arial" w:hAnsi="Arial"/>
                <w:sz w:val="18"/>
                <w:szCs w:val="18"/>
                <w:color w:val="auto"/>
              </w:rPr>
              <w:t>net of shares withheld for employee taxes</w:t>
            </w: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1"/>
        </w:trPr>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2021</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272,001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336,805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40" w:type="dxa"/>
            <w:vAlign w:val="bottom"/>
            <w:vMerge w:val="continue"/>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Common stock issued under stock plans,</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of shares withheld for employee taxes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94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31,554</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67,010</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r>
        <w:rPr>
          <w:rFonts w:ascii="Arial" w:cs="Arial" w:eastAsia="Arial" w:hAnsi="Arial"/>
          <w:sz w:val="14"/>
          <w:szCs w:val="14"/>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9"/>
          </w:tcPr>
          <w:p>
            <w:pPr>
              <w:jc w:val="right"/>
              <w:ind w:right="960"/>
              <w:spacing w:after="0"/>
              <w:rPr>
                <w:sz w:val="20"/>
                <w:szCs w:val="20"/>
                <w:color w:val="auto"/>
              </w:rPr>
            </w:pPr>
            <w:r>
              <w:rPr>
                <w:rFonts w:ascii="Arial" w:cs="Arial" w:eastAsia="Arial" w:hAnsi="Arial"/>
                <w:sz w:val="14"/>
                <w:szCs w:val="14"/>
                <w:b w:val="1"/>
                <w:bCs w:val="1"/>
                <w:color w:val="auto"/>
              </w:rPr>
              <w:t>Six Months Ended June 30, 2020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7"/>
        </w:trPr>
        <w:tc>
          <w:tcPr>
            <w:tcW w:w="4940" w:type="dxa"/>
            <w:vAlign w:val="bottom"/>
          </w:tcPr>
          <w:p>
            <w:pPr>
              <w:spacing w:after="0"/>
              <w:rPr>
                <w:sz w:val="12"/>
                <w:szCs w:val="12"/>
                <w:color w:val="auto"/>
              </w:rPr>
            </w:pPr>
          </w:p>
        </w:tc>
        <w:tc>
          <w:tcPr>
            <w:tcW w:w="2460" w:type="dxa"/>
            <w:vAlign w:val="bottom"/>
            <w:gridSpan w:val="6"/>
            <w:vMerge w:val="restart"/>
          </w:tcPr>
          <w:p>
            <w:pPr>
              <w:jc w:val="right"/>
              <w:ind w:right="8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940" w:type="dxa"/>
            <w:vAlign w:val="bottom"/>
          </w:tcPr>
          <w:p>
            <w:pPr>
              <w:spacing w:after="0"/>
              <w:rPr>
                <w:sz w:val="14"/>
                <w:szCs w:val="14"/>
                <w:color w:val="auto"/>
              </w:rPr>
            </w:pPr>
          </w:p>
        </w:tc>
        <w:tc>
          <w:tcPr>
            <w:tcW w:w="246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54"/>
        </w:trPr>
        <w:tc>
          <w:tcPr>
            <w:tcW w:w="4940" w:type="dxa"/>
            <w:vAlign w:val="bottom"/>
            <w:vMerge w:val="restart"/>
          </w:tcPr>
          <w:p>
            <w:pPr>
              <w:spacing w:after="0"/>
              <w:rPr>
                <w:sz w:val="20"/>
                <w:szCs w:val="20"/>
                <w:color w:val="auto"/>
              </w:rPr>
            </w:pPr>
            <w:r>
              <w:rPr>
                <w:rFonts w:ascii="Arial" w:cs="Arial" w:eastAsia="Arial" w:hAnsi="Arial"/>
                <w:sz w:val="18"/>
                <w:szCs w:val="18"/>
                <w:color w:val="auto"/>
              </w:rPr>
              <w:t>Balance at December 31, 2019</w:t>
            </w:r>
          </w:p>
        </w:tc>
        <w:tc>
          <w:tcPr>
            <w:tcW w:w="1180" w:type="dxa"/>
            <w:vAlign w:val="bottom"/>
            <w:tcBorders>
              <w:top w:val="single" w:sz="8" w:color="auto"/>
            </w:tcBorders>
            <w:gridSpan w:val="2"/>
          </w:tcPr>
          <w:p>
            <w:pPr>
              <w:jc w:val="right"/>
              <w:ind w:right="460"/>
              <w:spacing w:after="0" w:line="154"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193"/>
              <w:spacing w:after="0" w:line="154"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53"/>
              <w:spacing w:after="0" w:line="154" w:lineRule="exact"/>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1"/>
        </w:trPr>
        <w:tc>
          <w:tcPr>
            <w:tcW w:w="4940" w:type="dxa"/>
            <w:vAlign w:val="bottom"/>
            <w:vMerge w:val="continue"/>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290,021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48,143</w:t>
            </w:r>
          </w:p>
        </w:tc>
        <w:tc>
          <w:tcPr>
            <w:tcW w:w="2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40" w:type="dxa"/>
            <w:vAlign w:val="bottom"/>
          </w:tcPr>
          <w:p>
            <w:pPr>
              <w:spacing w:after="0"/>
              <w:rPr>
                <w:sz w:val="20"/>
                <w:szCs w:val="20"/>
                <w:color w:val="auto"/>
              </w:rPr>
            </w:pPr>
            <w:r>
              <w:rPr>
                <w:rFonts w:ascii="Arial" w:cs="Arial" w:eastAsia="Arial" w:hAnsi="Arial"/>
                <w:sz w:val="18"/>
                <w:szCs w:val="18"/>
                <w:color w:val="auto"/>
              </w:rPr>
              <w:t>Comprehensive loss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8"/>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Arial" w:cs="Arial" w:eastAsia="Arial" w:hAnsi="Arial"/>
                <w:sz w:val="18"/>
                <w:szCs w:val="18"/>
                <w:color w:val="auto"/>
              </w:rPr>
              <w:t>Common stock issued under stock plans,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40" w:type="dxa"/>
            <w:vAlign w:val="bottom"/>
          </w:tcPr>
          <w:p>
            <w:pPr>
              <w:ind w:left="180"/>
              <w:spacing w:after="0"/>
              <w:rPr>
                <w:sz w:val="20"/>
                <w:szCs w:val="20"/>
                <w:color w:val="auto"/>
              </w:rPr>
            </w:pPr>
            <w:r>
              <w:rPr>
                <w:rFonts w:ascii="Arial" w:cs="Arial" w:eastAsia="Arial" w:hAnsi="Arial"/>
                <w:sz w:val="18"/>
                <w:szCs w:val="18"/>
                <w:color w:val="auto"/>
              </w:rPr>
              <w:t>net of shares withheld for employee taxes</w:t>
            </w: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8"/>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Repurchase of common stock</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(9,876)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(9,876)</w:t>
            </w:r>
          </w:p>
        </w:tc>
        <w:tc>
          <w:tcPr>
            <w:tcW w:w="0" w:type="dxa"/>
            <w:vAlign w:val="bottom"/>
          </w:tcPr>
          <w:p>
            <w:pPr>
              <w:spacing w:after="0"/>
              <w:rPr>
                <w:sz w:val="1"/>
                <w:szCs w:val="1"/>
                <w:color w:val="auto"/>
              </w:rPr>
            </w:pPr>
          </w:p>
        </w:tc>
      </w:tr>
      <w:tr>
        <w:trPr>
          <w:trHeight w:val="261"/>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March 31, 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32,003</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280,322</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55,235</w:t>
            </w:r>
          </w:p>
        </w:tc>
        <w:tc>
          <w:tcPr>
            <w:tcW w:w="2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335,416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940" w:type="dxa"/>
            <w:vAlign w:val="bottom"/>
          </w:tcPr>
          <w:p>
            <w:pPr>
              <w:spacing w:after="0"/>
              <w:rPr>
                <w:sz w:val="20"/>
                <w:szCs w:val="20"/>
                <w:color w:val="auto"/>
              </w:rPr>
            </w:pPr>
            <w:r>
              <w:rPr>
                <w:rFonts w:ascii="Arial" w:cs="Arial" w:eastAsia="Arial" w:hAnsi="Arial"/>
                <w:sz w:val="18"/>
                <w:szCs w:val="18"/>
                <w:color w:val="auto"/>
              </w:rPr>
              <w:t>Comprehensive income</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4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1"/>
        </w:trPr>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2020</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31,997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280,746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58,677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339,424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r>
        <w:rPr>
          <w:rFonts w:ascii="Arial" w:cs="Arial" w:eastAsia="Arial" w:hAnsi="Arial"/>
          <w:sz w:val="14"/>
          <w:szCs w:val="14"/>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7"/>
                <w:szCs w:val="17"/>
                <w:b w:val="1"/>
                <w:bCs w:val="1"/>
                <w:color w:val="auto"/>
              </w:rPr>
              <w:t>Six Months Ended June 30,</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662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08"/>
        </w:trPr>
        <w:tc>
          <w:tcPr>
            <w:tcW w:w="6620" w:type="dxa"/>
            <w:vAlign w:val="bottom"/>
            <w:shd w:val="clear" w:color="auto" w:fill="CFF0FC"/>
          </w:tcPr>
          <w:p>
            <w:pPr>
              <w:spacing w:after="0"/>
              <w:rPr>
                <w:sz w:val="20"/>
                <w:szCs w:val="20"/>
                <w:color w:val="auto"/>
              </w:rPr>
            </w:pPr>
            <w:r>
              <w:rPr>
                <w:rFonts w:ascii="Arial" w:cs="Arial" w:eastAsia="Arial" w:hAnsi="Arial"/>
                <w:sz w:val="17"/>
                <w:szCs w:val="17"/>
                <w:color w:val="auto"/>
              </w:rPr>
              <w:t>OPERATING ACTIVITIES:</w:t>
            </w:r>
          </w:p>
        </w:tc>
        <w:tc>
          <w:tcPr>
            <w:tcW w:w="1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6620" w:type="dxa"/>
            <w:vAlign w:val="bottom"/>
          </w:tcPr>
          <w:p>
            <w:pPr>
              <w:spacing w:after="0"/>
              <w:rPr>
                <w:sz w:val="20"/>
                <w:szCs w:val="20"/>
                <w:color w:val="auto"/>
              </w:rPr>
            </w:pPr>
            <w:r>
              <w:rPr>
                <w:rFonts w:ascii="Arial" w:cs="Arial" w:eastAsia="Arial" w:hAnsi="Arial"/>
                <w:sz w:val="17"/>
                <w:szCs w:val="17"/>
                <w:color w:val="auto"/>
              </w:rPr>
              <w:t>Net income</w:t>
            </w:r>
          </w:p>
        </w:tc>
        <w:tc>
          <w:tcPr>
            <w:tcW w:w="2100" w:type="dxa"/>
            <w:vAlign w:val="bottom"/>
            <w:gridSpan w:val="2"/>
          </w:tcPr>
          <w:p>
            <w:pPr>
              <w:jc w:val="right"/>
              <w:ind w:right="819"/>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4,732</w:t>
            </w:r>
          </w:p>
        </w:tc>
        <w:tc>
          <w:tcPr>
            <w:tcW w:w="280" w:type="dxa"/>
            <w:vAlign w:val="bottom"/>
          </w:tcPr>
          <w:p>
            <w:pPr>
              <w:spacing w:after="0"/>
              <w:rPr>
                <w:sz w:val="18"/>
                <w:szCs w:val="18"/>
                <w:color w:val="auto"/>
              </w:rPr>
            </w:pPr>
          </w:p>
        </w:tc>
        <w:tc>
          <w:tcPr>
            <w:tcW w:w="980" w:type="dxa"/>
            <w:vAlign w:val="bottom"/>
          </w:tcPr>
          <w:p>
            <w:pPr>
              <w:jc w:val="right"/>
              <w:ind w:right="795"/>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10,533</w:t>
            </w:r>
          </w:p>
        </w:tc>
        <w:tc>
          <w:tcPr>
            <w:tcW w:w="100" w:type="dxa"/>
            <w:vAlign w:val="bottom"/>
          </w:tcPr>
          <w:p>
            <w:pPr>
              <w:spacing w:after="0"/>
              <w:rPr>
                <w:sz w:val="18"/>
                <w:szCs w:val="18"/>
                <w:color w:val="auto"/>
              </w:rPr>
            </w:pPr>
          </w:p>
        </w:tc>
      </w:tr>
      <w:tr>
        <w:trPr>
          <w:trHeight w:val="214"/>
        </w:trPr>
        <w:tc>
          <w:tcPr>
            <w:tcW w:w="662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6620" w:type="dxa"/>
            <w:vAlign w:val="bottom"/>
          </w:tcPr>
          <w:p>
            <w:pPr>
              <w:ind w:left="260"/>
              <w:spacing w:after="0"/>
              <w:rPr>
                <w:sz w:val="20"/>
                <w:szCs w:val="20"/>
                <w:color w:val="auto"/>
              </w:rPr>
            </w:pPr>
            <w:r>
              <w:rPr>
                <w:rFonts w:ascii="Arial" w:cs="Arial" w:eastAsia="Arial" w:hAnsi="Arial"/>
                <w:sz w:val="17"/>
                <w:szCs w:val="17"/>
                <w:color w:val="auto"/>
              </w:rPr>
              <w:t>Depreciation and amortization</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18,302</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14,599</w:t>
            </w:r>
          </w:p>
        </w:tc>
        <w:tc>
          <w:tcPr>
            <w:tcW w:w="100" w:type="dxa"/>
            <w:vAlign w:val="bottom"/>
          </w:tcPr>
          <w:p>
            <w:pPr>
              <w:spacing w:after="0"/>
              <w:rPr>
                <w:sz w:val="18"/>
                <w:szCs w:val="18"/>
                <w:color w:val="auto"/>
              </w:rPr>
            </w:pPr>
          </w:p>
        </w:tc>
      </w:tr>
      <w:tr>
        <w:trPr>
          <w:trHeight w:val="214"/>
        </w:trPr>
        <w:tc>
          <w:tcPr>
            <w:tcW w:w="66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Stock based compensation</w:t>
            </w:r>
          </w:p>
        </w:tc>
        <w:tc>
          <w:tcPr>
            <w:tcW w:w="1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1,398</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1,107</w:t>
            </w:r>
          </w:p>
        </w:tc>
        <w:tc>
          <w:tcPr>
            <w:tcW w:w="100" w:type="dxa"/>
            <w:vAlign w:val="bottom"/>
            <w:shd w:val="clear" w:color="auto" w:fill="CFF0FC"/>
          </w:tcPr>
          <w:p>
            <w:pPr>
              <w:spacing w:after="0"/>
              <w:rPr>
                <w:sz w:val="18"/>
                <w:szCs w:val="18"/>
                <w:color w:val="auto"/>
              </w:rPr>
            </w:pPr>
          </w:p>
        </w:tc>
      </w:tr>
      <w:tr>
        <w:trPr>
          <w:trHeight w:val="214"/>
        </w:trPr>
        <w:tc>
          <w:tcPr>
            <w:tcW w:w="6620" w:type="dxa"/>
            <w:vAlign w:val="bottom"/>
          </w:tcPr>
          <w:p>
            <w:pPr>
              <w:ind w:left="260"/>
              <w:spacing w:after="0"/>
              <w:rPr>
                <w:sz w:val="20"/>
                <w:szCs w:val="20"/>
                <w:color w:val="auto"/>
              </w:rPr>
            </w:pPr>
            <w:r>
              <w:rPr>
                <w:rFonts w:ascii="Arial" w:cs="Arial" w:eastAsia="Arial" w:hAnsi="Arial"/>
                <w:sz w:val="17"/>
                <w:szCs w:val="17"/>
                <w:color w:val="auto"/>
              </w:rPr>
              <w:t>Amortization of deferred commissions</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4,509</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4,254</w:t>
            </w:r>
          </w:p>
        </w:tc>
        <w:tc>
          <w:tcPr>
            <w:tcW w:w="100" w:type="dxa"/>
            <w:vAlign w:val="bottom"/>
          </w:tcPr>
          <w:p>
            <w:pPr>
              <w:spacing w:after="0"/>
              <w:rPr>
                <w:sz w:val="18"/>
                <w:szCs w:val="18"/>
                <w:color w:val="auto"/>
              </w:rPr>
            </w:pPr>
          </w:p>
        </w:tc>
      </w:tr>
      <w:tr>
        <w:trPr>
          <w:trHeight w:val="214"/>
        </w:trPr>
        <w:tc>
          <w:tcPr>
            <w:tcW w:w="66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Provision for doubtful accounts</w:t>
            </w:r>
          </w:p>
        </w:tc>
        <w:tc>
          <w:tcPr>
            <w:tcW w:w="1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351</w:t>
            </w:r>
          </w:p>
        </w:tc>
        <w:tc>
          <w:tcPr>
            <w:tcW w:w="100" w:type="dxa"/>
            <w:vAlign w:val="bottom"/>
            <w:shd w:val="clear" w:color="auto" w:fill="CFF0FC"/>
          </w:tcPr>
          <w:p>
            <w:pPr>
              <w:spacing w:after="0"/>
              <w:rPr>
                <w:sz w:val="18"/>
                <w:szCs w:val="18"/>
                <w:color w:val="auto"/>
              </w:rPr>
            </w:pPr>
          </w:p>
        </w:tc>
      </w:tr>
      <w:tr>
        <w:trPr>
          <w:trHeight w:val="214"/>
        </w:trPr>
        <w:tc>
          <w:tcPr>
            <w:tcW w:w="6620" w:type="dxa"/>
            <w:vAlign w:val="bottom"/>
          </w:tcPr>
          <w:p>
            <w:pPr>
              <w:ind w:left="260"/>
              <w:spacing w:after="0"/>
              <w:rPr>
                <w:sz w:val="20"/>
                <w:szCs w:val="20"/>
                <w:color w:val="auto"/>
              </w:rPr>
            </w:pPr>
            <w:r>
              <w:rPr>
                <w:rFonts w:ascii="Arial" w:cs="Arial" w:eastAsia="Arial" w:hAnsi="Arial"/>
                <w:sz w:val="17"/>
                <w:szCs w:val="17"/>
                <w:color w:val="auto"/>
              </w:rPr>
              <w:t>Deferred income taxes</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1,751</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2,427</w:t>
            </w:r>
          </w:p>
        </w:tc>
        <w:tc>
          <w:tcPr>
            <w:tcW w:w="100" w:type="dxa"/>
            <w:vAlign w:val="bottom"/>
          </w:tcPr>
          <w:p>
            <w:pPr>
              <w:spacing w:after="0"/>
              <w:rPr>
                <w:sz w:val="18"/>
                <w:szCs w:val="18"/>
                <w:color w:val="auto"/>
              </w:rPr>
            </w:pPr>
          </w:p>
        </w:tc>
      </w:tr>
      <w:tr>
        <w:trPr>
          <w:trHeight w:val="214"/>
        </w:trPr>
        <w:tc>
          <w:tcPr>
            <w:tcW w:w="66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Loss on non-marketable equity investments</w:t>
            </w:r>
          </w:p>
        </w:tc>
        <w:tc>
          <w:tcPr>
            <w:tcW w:w="1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FF0FC"/>
          </w:tcPr>
          <w:p>
            <w:pPr>
              <w:spacing w:after="0"/>
              <w:rPr>
                <w:sz w:val="18"/>
                <w:szCs w:val="18"/>
                <w:color w:val="auto"/>
              </w:rPr>
            </w:pPr>
          </w:p>
        </w:tc>
      </w:tr>
      <w:tr>
        <w:trPr>
          <w:trHeight w:val="214"/>
        </w:trPr>
        <w:tc>
          <w:tcPr>
            <w:tcW w:w="6620" w:type="dxa"/>
            <w:vAlign w:val="bottom"/>
          </w:tcPr>
          <w:p>
            <w:pPr>
              <w:ind w:left="260"/>
              <w:spacing w:after="0"/>
              <w:rPr>
                <w:sz w:val="20"/>
                <w:szCs w:val="20"/>
                <w:color w:val="auto"/>
              </w:rPr>
            </w:pPr>
            <w:r>
              <w:rPr>
                <w:rFonts w:ascii="Arial" w:cs="Arial" w:eastAsia="Arial" w:hAnsi="Arial"/>
                <w:sz w:val="17"/>
                <w:szCs w:val="17"/>
                <w:color w:val="auto"/>
              </w:rPr>
              <w:t>Non-cash paid time off expense</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(1,011)</w:t>
            </w:r>
          </w:p>
        </w:tc>
        <w:tc>
          <w:tcPr>
            <w:tcW w:w="9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4"/>
        </w:trPr>
        <w:tc>
          <w:tcPr>
            <w:tcW w:w="66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Non-cash royalty expense</w:t>
            </w:r>
          </w:p>
        </w:tc>
        <w:tc>
          <w:tcPr>
            <w:tcW w:w="1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(3,440)</w:t>
            </w:r>
          </w:p>
        </w:tc>
      </w:tr>
      <w:tr>
        <w:trPr>
          <w:trHeight w:val="214"/>
        </w:trPr>
        <w:tc>
          <w:tcPr>
            <w:tcW w:w="6620" w:type="dxa"/>
            <w:vAlign w:val="bottom"/>
          </w:tcPr>
          <w:p>
            <w:pPr>
              <w:ind w:left="260"/>
              <w:spacing w:after="0"/>
              <w:rPr>
                <w:sz w:val="20"/>
                <w:szCs w:val="20"/>
                <w:color w:val="auto"/>
              </w:rPr>
            </w:pPr>
            <w:r>
              <w:rPr>
                <w:rFonts w:ascii="Arial" w:cs="Arial" w:eastAsia="Arial" w:hAnsi="Arial"/>
                <w:sz w:val="17"/>
                <w:szCs w:val="17"/>
                <w:color w:val="auto"/>
              </w:rPr>
              <w:t>Change in fair value of non-marketable equity investments</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(1,181)</w:t>
            </w:r>
          </w:p>
        </w:tc>
      </w:tr>
      <w:tr>
        <w:trPr>
          <w:trHeight w:val="214"/>
        </w:trPr>
        <w:tc>
          <w:tcPr>
            <w:tcW w:w="66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Other</w:t>
            </w:r>
          </w:p>
        </w:tc>
        <w:tc>
          <w:tcPr>
            <w:tcW w:w="1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FF0FC"/>
          </w:tcPr>
          <w:p>
            <w:pPr>
              <w:spacing w:after="0"/>
              <w:rPr>
                <w:sz w:val="18"/>
                <w:szCs w:val="18"/>
                <w:color w:val="auto"/>
              </w:rPr>
            </w:pPr>
          </w:p>
        </w:tc>
      </w:tr>
      <w:tr>
        <w:trPr>
          <w:trHeight w:val="214"/>
        </w:trPr>
        <w:tc>
          <w:tcPr>
            <w:tcW w:w="6620" w:type="dxa"/>
            <w:vAlign w:val="bottom"/>
          </w:tcPr>
          <w:p>
            <w:pPr>
              <w:spacing w:after="0"/>
              <w:rPr>
                <w:sz w:val="20"/>
                <w:szCs w:val="20"/>
                <w:color w:val="auto"/>
              </w:rPr>
            </w:pPr>
            <w:r>
              <w:rPr>
                <w:rFonts w:ascii="Arial" w:cs="Arial" w:eastAsia="Arial" w:hAnsi="Arial"/>
                <w:sz w:val="17"/>
                <w:szCs w:val="17"/>
                <w:color w:val="auto"/>
              </w:rPr>
              <w:t>Changes in operating assets and liabilities:</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6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Accounts and unbilled receivables</w:t>
            </w:r>
          </w:p>
        </w:tc>
        <w:tc>
          <w:tcPr>
            <w:tcW w:w="1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12,247</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(3,759)</w:t>
            </w:r>
          </w:p>
        </w:tc>
      </w:tr>
      <w:tr>
        <w:trPr>
          <w:trHeight w:val="214"/>
        </w:trPr>
        <w:tc>
          <w:tcPr>
            <w:tcW w:w="6620" w:type="dxa"/>
            <w:vAlign w:val="bottom"/>
          </w:tcPr>
          <w:p>
            <w:pPr>
              <w:ind w:left="260"/>
              <w:spacing w:after="0"/>
              <w:rPr>
                <w:sz w:val="20"/>
                <w:szCs w:val="20"/>
                <w:color w:val="auto"/>
              </w:rPr>
            </w:pPr>
            <w:r>
              <w:rPr>
                <w:rFonts w:ascii="Arial" w:cs="Arial" w:eastAsia="Arial" w:hAnsi="Arial"/>
                <w:sz w:val="17"/>
                <w:szCs w:val="17"/>
                <w:color w:val="auto"/>
              </w:rPr>
              <w:t>Prepaid royalties</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(1,032)</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576</w:t>
            </w:r>
          </w:p>
        </w:tc>
        <w:tc>
          <w:tcPr>
            <w:tcW w:w="100" w:type="dxa"/>
            <w:vAlign w:val="bottom"/>
          </w:tcPr>
          <w:p>
            <w:pPr>
              <w:spacing w:after="0"/>
              <w:rPr>
                <w:sz w:val="18"/>
                <w:szCs w:val="18"/>
                <w:color w:val="auto"/>
              </w:rPr>
            </w:pPr>
          </w:p>
        </w:tc>
      </w:tr>
      <w:tr>
        <w:trPr>
          <w:trHeight w:val="214"/>
        </w:trPr>
        <w:tc>
          <w:tcPr>
            <w:tcW w:w="66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Other prepaid expenses and other current assets</w:t>
            </w:r>
          </w:p>
        </w:tc>
        <w:tc>
          <w:tcPr>
            <w:tcW w:w="1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590</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547</w:t>
            </w:r>
          </w:p>
        </w:tc>
        <w:tc>
          <w:tcPr>
            <w:tcW w:w="100" w:type="dxa"/>
            <w:vAlign w:val="bottom"/>
            <w:shd w:val="clear" w:color="auto" w:fill="CFF0FC"/>
          </w:tcPr>
          <w:p>
            <w:pPr>
              <w:spacing w:after="0"/>
              <w:rPr>
                <w:sz w:val="18"/>
                <w:szCs w:val="18"/>
                <w:color w:val="auto"/>
              </w:rPr>
            </w:pPr>
          </w:p>
        </w:tc>
      </w:tr>
      <w:tr>
        <w:trPr>
          <w:trHeight w:val="214"/>
        </w:trPr>
        <w:tc>
          <w:tcPr>
            <w:tcW w:w="6620" w:type="dxa"/>
            <w:vAlign w:val="bottom"/>
          </w:tcPr>
          <w:p>
            <w:pPr>
              <w:ind w:left="260"/>
              <w:spacing w:after="0"/>
              <w:rPr>
                <w:sz w:val="20"/>
                <w:szCs w:val="20"/>
                <w:color w:val="auto"/>
              </w:rPr>
            </w:pPr>
            <w:r>
              <w:rPr>
                <w:rFonts w:ascii="Arial" w:cs="Arial" w:eastAsia="Arial" w:hAnsi="Arial"/>
                <w:sz w:val="17"/>
                <w:szCs w:val="17"/>
                <w:color w:val="auto"/>
              </w:rPr>
              <w:t>Deferred commissions</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(6,612)</w:t>
            </w: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(3,634)</w:t>
            </w:r>
          </w:p>
        </w:tc>
      </w:tr>
      <w:tr>
        <w:trPr>
          <w:trHeight w:val="214"/>
        </w:trPr>
        <w:tc>
          <w:tcPr>
            <w:tcW w:w="66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Other assets</w:t>
            </w:r>
          </w:p>
        </w:tc>
        <w:tc>
          <w:tcPr>
            <w:tcW w:w="1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(168)</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505</w:t>
            </w:r>
          </w:p>
        </w:tc>
        <w:tc>
          <w:tcPr>
            <w:tcW w:w="100" w:type="dxa"/>
            <w:vAlign w:val="bottom"/>
            <w:shd w:val="clear" w:color="auto" w:fill="CFF0FC"/>
          </w:tcPr>
          <w:p>
            <w:pPr>
              <w:spacing w:after="0"/>
              <w:rPr>
                <w:sz w:val="18"/>
                <w:szCs w:val="18"/>
                <w:color w:val="auto"/>
              </w:rPr>
            </w:pPr>
          </w:p>
        </w:tc>
      </w:tr>
      <w:tr>
        <w:trPr>
          <w:trHeight w:val="214"/>
        </w:trPr>
        <w:tc>
          <w:tcPr>
            <w:tcW w:w="6620" w:type="dxa"/>
            <w:vAlign w:val="bottom"/>
          </w:tcPr>
          <w:p>
            <w:pPr>
              <w:ind w:left="260"/>
              <w:spacing w:after="0"/>
              <w:rPr>
                <w:sz w:val="20"/>
                <w:szCs w:val="20"/>
                <w:color w:val="auto"/>
              </w:rPr>
            </w:pPr>
            <w:r>
              <w:rPr>
                <w:rFonts w:ascii="Arial" w:cs="Arial" w:eastAsia="Arial" w:hAnsi="Arial"/>
                <w:sz w:val="17"/>
                <w:szCs w:val="17"/>
                <w:color w:val="auto"/>
              </w:rPr>
              <w:t>Accounts payable and accrued expenses</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(6,041)</w:t>
            </w: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(5,167)</w:t>
            </w:r>
          </w:p>
        </w:tc>
      </w:tr>
      <w:tr>
        <w:trPr>
          <w:trHeight w:val="214"/>
        </w:trPr>
        <w:tc>
          <w:tcPr>
            <w:tcW w:w="66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Accrued royalties</w:t>
            </w:r>
          </w:p>
        </w:tc>
        <w:tc>
          <w:tcPr>
            <w:tcW w:w="1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(2,798)</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(4,588)</w:t>
            </w:r>
          </w:p>
        </w:tc>
      </w:tr>
      <w:tr>
        <w:trPr>
          <w:trHeight w:val="214"/>
        </w:trPr>
        <w:tc>
          <w:tcPr>
            <w:tcW w:w="6620" w:type="dxa"/>
            <w:vAlign w:val="bottom"/>
          </w:tcPr>
          <w:p>
            <w:pPr>
              <w:ind w:left="260"/>
              <w:spacing w:after="0"/>
              <w:rPr>
                <w:sz w:val="20"/>
                <w:szCs w:val="20"/>
                <w:color w:val="auto"/>
              </w:rPr>
            </w:pPr>
            <w:r>
              <w:rPr>
                <w:rFonts w:ascii="Arial" w:cs="Arial" w:eastAsia="Arial" w:hAnsi="Arial"/>
                <w:sz w:val="17"/>
                <w:szCs w:val="17"/>
                <w:color w:val="auto"/>
              </w:rPr>
              <w:t>Deferred revenue</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(1,739)</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18"/>
                <w:szCs w:val="18"/>
                <w:color w:val="auto"/>
              </w:rPr>
            </w:pPr>
          </w:p>
        </w:tc>
      </w:tr>
      <w:tr>
        <w:trPr>
          <w:trHeight w:val="208"/>
        </w:trPr>
        <w:tc>
          <w:tcPr>
            <w:tcW w:w="662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7"/>
                <w:szCs w:val="17"/>
                <w:color w:val="auto"/>
              </w:rPr>
              <w:t>Net cash provided by operating activities</w:t>
            </w:r>
          </w:p>
        </w:tc>
        <w:tc>
          <w:tcPr>
            <w:tcW w:w="1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24,324</w:t>
            </w:r>
          </w:p>
        </w:tc>
        <w:tc>
          <w:tcPr>
            <w:tcW w:w="2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13,532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4"/>
        </w:trPr>
        <w:tc>
          <w:tcPr>
            <w:tcW w:w="6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620" w:type="dxa"/>
            <w:vAlign w:val="bottom"/>
            <w:shd w:val="clear" w:color="auto" w:fill="CFF0FC"/>
          </w:tcPr>
          <w:p>
            <w:pPr>
              <w:spacing w:after="0"/>
              <w:rPr>
                <w:sz w:val="20"/>
                <w:szCs w:val="20"/>
                <w:color w:val="auto"/>
              </w:rPr>
            </w:pPr>
            <w:r>
              <w:rPr>
                <w:rFonts w:ascii="Arial" w:cs="Arial" w:eastAsia="Arial" w:hAnsi="Arial"/>
                <w:sz w:val="17"/>
                <w:szCs w:val="17"/>
                <w:color w:val="auto"/>
              </w:rPr>
              <w:t>INVESTING ACTIVITIES:</w:t>
            </w:r>
          </w:p>
        </w:tc>
        <w:tc>
          <w:tcPr>
            <w:tcW w:w="1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6620" w:type="dxa"/>
            <w:vAlign w:val="bottom"/>
          </w:tcPr>
          <w:p>
            <w:pPr>
              <w:spacing w:after="0"/>
              <w:rPr>
                <w:sz w:val="20"/>
                <w:szCs w:val="20"/>
                <w:color w:val="auto"/>
              </w:rPr>
            </w:pPr>
            <w:r>
              <w:rPr>
                <w:rFonts w:ascii="Arial" w:cs="Arial" w:eastAsia="Arial" w:hAnsi="Arial"/>
                <w:sz w:val="17"/>
                <w:szCs w:val="17"/>
                <w:color w:val="auto"/>
              </w:rPr>
              <w:t>Business combinations, net of cash acquired</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(731)</w:t>
            </w: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(21,449)</w:t>
            </w:r>
          </w:p>
        </w:tc>
      </w:tr>
      <w:tr>
        <w:trPr>
          <w:trHeight w:val="214"/>
        </w:trPr>
        <w:tc>
          <w:tcPr>
            <w:tcW w:w="6620" w:type="dxa"/>
            <w:vAlign w:val="bottom"/>
            <w:shd w:val="clear" w:color="auto" w:fill="CFF0FC"/>
          </w:tcPr>
          <w:p>
            <w:pPr>
              <w:spacing w:after="0"/>
              <w:rPr>
                <w:sz w:val="20"/>
                <w:szCs w:val="20"/>
                <w:color w:val="auto"/>
              </w:rPr>
            </w:pPr>
            <w:r>
              <w:rPr>
                <w:rFonts w:ascii="Arial" w:cs="Arial" w:eastAsia="Arial" w:hAnsi="Arial"/>
                <w:sz w:val="17"/>
                <w:szCs w:val="17"/>
                <w:color w:val="auto"/>
              </w:rPr>
              <w:t>Proceeds from maturities of marketable securities</w:t>
            </w:r>
          </w:p>
        </w:tc>
        <w:tc>
          <w:tcPr>
            <w:tcW w:w="1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9,731</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46,183</w:t>
            </w:r>
          </w:p>
        </w:tc>
        <w:tc>
          <w:tcPr>
            <w:tcW w:w="100" w:type="dxa"/>
            <w:vAlign w:val="bottom"/>
            <w:shd w:val="clear" w:color="auto" w:fill="CFF0FC"/>
          </w:tcPr>
          <w:p>
            <w:pPr>
              <w:spacing w:after="0"/>
              <w:rPr>
                <w:sz w:val="18"/>
                <w:szCs w:val="18"/>
                <w:color w:val="auto"/>
              </w:rPr>
            </w:pPr>
          </w:p>
        </w:tc>
      </w:tr>
      <w:tr>
        <w:trPr>
          <w:trHeight w:val="214"/>
        </w:trPr>
        <w:tc>
          <w:tcPr>
            <w:tcW w:w="6620" w:type="dxa"/>
            <w:vAlign w:val="bottom"/>
          </w:tcPr>
          <w:p>
            <w:pPr>
              <w:spacing w:after="0"/>
              <w:rPr>
                <w:sz w:val="20"/>
                <w:szCs w:val="20"/>
                <w:color w:val="auto"/>
              </w:rPr>
            </w:pPr>
            <w:r>
              <w:rPr>
                <w:rFonts w:ascii="Arial" w:cs="Arial" w:eastAsia="Arial" w:hAnsi="Arial"/>
                <w:sz w:val="17"/>
                <w:szCs w:val="17"/>
                <w:color w:val="auto"/>
              </w:rPr>
              <w:t>Purchases of marketable securities</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(5,205)</w:t>
            </w: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(36,942)</w:t>
            </w:r>
          </w:p>
        </w:tc>
      </w:tr>
      <w:tr>
        <w:trPr>
          <w:trHeight w:val="214"/>
        </w:trPr>
        <w:tc>
          <w:tcPr>
            <w:tcW w:w="6620" w:type="dxa"/>
            <w:vAlign w:val="bottom"/>
            <w:shd w:val="clear" w:color="auto" w:fill="CFF0FC"/>
          </w:tcPr>
          <w:p>
            <w:pPr>
              <w:spacing w:after="0"/>
              <w:rPr>
                <w:sz w:val="20"/>
                <w:szCs w:val="20"/>
                <w:color w:val="auto"/>
              </w:rPr>
            </w:pPr>
            <w:r>
              <w:rPr>
                <w:rFonts w:ascii="Arial" w:cs="Arial" w:eastAsia="Arial" w:hAnsi="Arial"/>
                <w:sz w:val="17"/>
                <w:szCs w:val="17"/>
                <w:color w:val="auto"/>
              </w:rPr>
              <w:t>Payments to acquire non-marketable equity investments</w:t>
            </w:r>
          </w:p>
        </w:tc>
        <w:tc>
          <w:tcPr>
            <w:tcW w:w="1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(1,000)</w:t>
            </w:r>
          </w:p>
        </w:tc>
      </w:tr>
      <w:tr>
        <w:trPr>
          <w:trHeight w:val="214"/>
        </w:trPr>
        <w:tc>
          <w:tcPr>
            <w:tcW w:w="6620" w:type="dxa"/>
            <w:vAlign w:val="bottom"/>
          </w:tcPr>
          <w:p>
            <w:pPr>
              <w:spacing w:after="0"/>
              <w:rPr>
                <w:sz w:val="20"/>
                <w:szCs w:val="20"/>
                <w:color w:val="auto"/>
              </w:rPr>
            </w:pPr>
            <w:r>
              <w:rPr>
                <w:rFonts w:ascii="Arial" w:cs="Arial" w:eastAsia="Arial" w:hAnsi="Arial"/>
                <w:sz w:val="17"/>
                <w:szCs w:val="17"/>
                <w:color w:val="auto"/>
              </w:rPr>
              <w:t>Payments to acquire equity method investments</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(1,750)</w:t>
            </w:r>
          </w:p>
        </w:tc>
        <w:tc>
          <w:tcPr>
            <w:tcW w:w="9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4"/>
        </w:trPr>
        <w:tc>
          <w:tcPr>
            <w:tcW w:w="6620" w:type="dxa"/>
            <w:vAlign w:val="bottom"/>
            <w:shd w:val="clear" w:color="auto" w:fill="CFF0FC"/>
          </w:tcPr>
          <w:p>
            <w:pPr>
              <w:spacing w:after="0"/>
              <w:rPr>
                <w:sz w:val="20"/>
                <w:szCs w:val="20"/>
                <w:color w:val="auto"/>
              </w:rPr>
            </w:pPr>
            <w:r>
              <w:rPr>
                <w:rFonts w:ascii="Arial" w:cs="Arial" w:eastAsia="Arial" w:hAnsi="Arial"/>
                <w:sz w:val="17"/>
                <w:szCs w:val="17"/>
                <w:color w:val="auto"/>
              </w:rPr>
              <w:t>Payments associated with capitalized software development</w:t>
            </w:r>
          </w:p>
        </w:tc>
        <w:tc>
          <w:tcPr>
            <w:tcW w:w="1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4"/>
              </w:rPr>
              <w:t>(10,277)</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(7,619)</w:t>
            </w:r>
          </w:p>
        </w:tc>
      </w:tr>
      <w:tr>
        <w:trPr>
          <w:trHeight w:val="214"/>
        </w:trPr>
        <w:tc>
          <w:tcPr>
            <w:tcW w:w="6620" w:type="dxa"/>
            <w:vAlign w:val="bottom"/>
          </w:tcPr>
          <w:p>
            <w:pPr>
              <w:spacing w:after="0"/>
              <w:rPr>
                <w:sz w:val="20"/>
                <w:szCs w:val="20"/>
                <w:color w:val="auto"/>
              </w:rPr>
            </w:pPr>
            <w:r>
              <w:rPr>
                <w:rFonts w:ascii="Arial" w:cs="Arial" w:eastAsia="Arial" w:hAnsi="Arial"/>
                <w:sz w:val="17"/>
                <w:szCs w:val="17"/>
                <w:color w:val="auto"/>
              </w:rPr>
              <w:t>Purchases of property and equipment</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(2,407)</w:t>
            </w: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(1,268)</w:t>
            </w:r>
          </w:p>
        </w:tc>
      </w:tr>
      <w:tr>
        <w:trPr>
          <w:trHeight w:val="208"/>
        </w:trPr>
        <w:tc>
          <w:tcPr>
            <w:tcW w:w="662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7"/>
                <w:szCs w:val="17"/>
                <w:color w:val="auto"/>
              </w:rPr>
              <w:t>Net cash used in investing activities</w:t>
            </w:r>
          </w:p>
        </w:tc>
        <w:tc>
          <w:tcPr>
            <w:tcW w:w="1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5"/>
              </w:rPr>
              <w:t>(10,639)</w:t>
            </w:r>
          </w:p>
        </w:tc>
        <w:tc>
          <w:tcPr>
            <w:tcW w:w="2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(22,095)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4"/>
        </w:trPr>
        <w:tc>
          <w:tcPr>
            <w:tcW w:w="6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620" w:type="dxa"/>
            <w:vAlign w:val="bottom"/>
            <w:shd w:val="clear" w:color="auto" w:fill="CFF0FC"/>
          </w:tcPr>
          <w:p>
            <w:pPr>
              <w:spacing w:after="0"/>
              <w:rPr>
                <w:sz w:val="20"/>
                <w:szCs w:val="20"/>
                <w:color w:val="auto"/>
              </w:rPr>
            </w:pPr>
            <w:r>
              <w:rPr>
                <w:rFonts w:ascii="Arial" w:cs="Arial" w:eastAsia="Arial" w:hAnsi="Arial"/>
                <w:sz w:val="17"/>
                <w:szCs w:val="17"/>
                <w:color w:val="auto"/>
              </w:rPr>
              <w:t>FINANCING ACTIVITIES:</w:t>
            </w:r>
          </w:p>
        </w:tc>
        <w:tc>
          <w:tcPr>
            <w:tcW w:w="1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6620" w:type="dxa"/>
            <w:vAlign w:val="bottom"/>
          </w:tcPr>
          <w:p>
            <w:pPr>
              <w:spacing w:after="0"/>
              <w:rPr>
                <w:sz w:val="20"/>
                <w:szCs w:val="20"/>
                <w:color w:val="auto"/>
              </w:rPr>
            </w:pPr>
            <w:r>
              <w:rPr>
                <w:rFonts w:ascii="Arial" w:cs="Arial" w:eastAsia="Arial" w:hAnsi="Arial"/>
                <w:sz w:val="17"/>
                <w:szCs w:val="17"/>
                <w:color w:val="auto"/>
              </w:rPr>
              <w:t>Taxes paid related to net settlement of equity awards</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(399)</w:t>
            </w: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(373)</w:t>
            </w:r>
          </w:p>
        </w:tc>
      </w:tr>
      <w:tr>
        <w:trPr>
          <w:trHeight w:val="214"/>
        </w:trPr>
        <w:tc>
          <w:tcPr>
            <w:tcW w:w="6620" w:type="dxa"/>
            <w:vAlign w:val="bottom"/>
            <w:shd w:val="clear" w:color="auto" w:fill="CFF0FC"/>
          </w:tcPr>
          <w:p>
            <w:pPr>
              <w:spacing w:after="0"/>
              <w:rPr>
                <w:sz w:val="20"/>
                <w:szCs w:val="20"/>
                <w:color w:val="auto"/>
              </w:rPr>
            </w:pPr>
            <w:r>
              <w:rPr>
                <w:rFonts w:ascii="Arial" w:cs="Arial" w:eastAsia="Arial" w:hAnsi="Arial"/>
                <w:sz w:val="17"/>
                <w:szCs w:val="17"/>
                <w:color w:val="auto"/>
              </w:rPr>
              <w:t>Repurchases of common stock</w:t>
            </w:r>
          </w:p>
        </w:tc>
        <w:tc>
          <w:tcPr>
            <w:tcW w:w="1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(10,009)</w:t>
            </w:r>
          </w:p>
        </w:tc>
      </w:tr>
      <w:tr>
        <w:trPr>
          <w:trHeight w:val="214"/>
        </w:trPr>
        <w:tc>
          <w:tcPr>
            <w:tcW w:w="6620" w:type="dxa"/>
            <w:vAlign w:val="bottom"/>
          </w:tcPr>
          <w:p>
            <w:pPr>
              <w:spacing w:after="0"/>
              <w:rPr>
                <w:sz w:val="20"/>
                <w:szCs w:val="20"/>
                <w:color w:val="auto"/>
              </w:rPr>
            </w:pPr>
            <w:r>
              <w:rPr>
                <w:rFonts w:ascii="Arial" w:cs="Arial" w:eastAsia="Arial" w:hAnsi="Arial"/>
                <w:sz w:val="17"/>
                <w:szCs w:val="17"/>
                <w:color w:val="auto"/>
              </w:rPr>
              <w:t>Payment of cash dividends</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(12)</w:t>
            </w: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(31)</w:t>
            </w:r>
          </w:p>
        </w:tc>
      </w:tr>
      <w:tr>
        <w:trPr>
          <w:trHeight w:val="208"/>
        </w:trPr>
        <w:tc>
          <w:tcPr>
            <w:tcW w:w="662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7"/>
                <w:szCs w:val="17"/>
                <w:color w:val="auto"/>
              </w:rPr>
              <w:t>Net cash used in financing activities</w:t>
            </w:r>
          </w:p>
        </w:tc>
        <w:tc>
          <w:tcPr>
            <w:tcW w:w="1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(411)</w:t>
            </w:r>
          </w:p>
        </w:tc>
        <w:tc>
          <w:tcPr>
            <w:tcW w:w="2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(10,413)</w:t>
            </w:r>
          </w:p>
        </w:tc>
        <w:tc>
          <w:tcPr>
            <w:tcW w:w="100" w:type="dxa"/>
            <w:vAlign w:val="bottom"/>
            <w:tcBorders>
              <w:top w:val="single" w:sz="8" w:color="CFF0FC"/>
            </w:tcBorders>
            <w:shd w:val="clear" w:color="auto" w:fill="CFF0FC"/>
          </w:tcPr>
          <w:p>
            <w:pPr>
              <w:spacing w:after="0"/>
              <w:rPr>
                <w:sz w:val="18"/>
                <w:szCs w:val="18"/>
                <w:color w:val="auto"/>
              </w:rPr>
            </w:pPr>
          </w:p>
        </w:tc>
      </w:tr>
      <w:tr>
        <w:trPr>
          <w:trHeight w:val="208"/>
        </w:trPr>
        <w:tc>
          <w:tcPr>
            <w:tcW w:w="6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620" w:type="dxa"/>
            <w:vAlign w:val="bottom"/>
            <w:shd w:val="clear" w:color="auto" w:fill="CFF0FC"/>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1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(48)</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(28)</w:t>
            </w:r>
          </w:p>
        </w:tc>
      </w:tr>
      <w:tr>
        <w:trPr>
          <w:trHeight w:val="208"/>
        </w:trPr>
        <w:tc>
          <w:tcPr>
            <w:tcW w:w="6620" w:type="dxa"/>
            <w:vAlign w:val="bottom"/>
          </w:tcPr>
          <w:p>
            <w:pPr>
              <w:spacing w:after="0"/>
              <w:rPr>
                <w:sz w:val="20"/>
                <w:szCs w:val="20"/>
                <w:color w:val="auto"/>
              </w:rPr>
            </w:pPr>
            <w:r>
              <w:rPr>
                <w:rFonts w:ascii="Arial" w:cs="Arial" w:eastAsia="Arial" w:hAnsi="Arial"/>
                <w:sz w:val="17"/>
                <w:szCs w:val="17"/>
                <w:color w:val="auto"/>
              </w:rPr>
              <w:t>Net increase (decrease) in cash and cash equivalents</w:t>
            </w:r>
          </w:p>
        </w:tc>
        <w:tc>
          <w:tcPr>
            <w:tcW w:w="1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13,226</w:t>
            </w:r>
          </w:p>
        </w:tc>
        <w:tc>
          <w:tcPr>
            <w:tcW w:w="2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(19,004)</w:t>
            </w:r>
          </w:p>
        </w:tc>
        <w:tc>
          <w:tcPr>
            <w:tcW w:w="100" w:type="dxa"/>
            <w:vAlign w:val="bottom"/>
          </w:tcPr>
          <w:p>
            <w:pPr>
              <w:spacing w:after="0"/>
              <w:rPr>
                <w:sz w:val="18"/>
                <w:szCs w:val="18"/>
                <w:color w:val="auto"/>
              </w:rPr>
            </w:pPr>
          </w:p>
        </w:tc>
      </w:tr>
      <w:tr>
        <w:trPr>
          <w:trHeight w:val="214"/>
        </w:trPr>
        <w:tc>
          <w:tcPr>
            <w:tcW w:w="662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 at beginning of period</w:t>
            </w:r>
          </w:p>
        </w:tc>
        <w:tc>
          <w:tcPr>
            <w:tcW w:w="112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36,566</w:t>
            </w:r>
          </w:p>
        </w:tc>
        <w:tc>
          <w:tcPr>
            <w:tcW w:w="28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131,538</w:t>
            </w:r>
          </w:p>
        </w:tc>
        <w:tc>
          <w:tcPr>
            <w:tcW w:w="100" w:type="dxa"/>
            <w:vAlign w:val="bottom"/>
            <w:shd w:val="clear" w:color="auto" w:fill="CFF0FC"/>
          </w:tcPr>
          <w:p>
            <w:pPr>
              <w:spacing w:after="0"/>
              <w:rPr>
                <w:sz w:val="18"/>
                <w:szCs w:val="18"/>
                <w:color w:val="auto"/>
              </w:rPr>
            </w:pPr>
          </w:p>
        </w:tc>
      </w:tr>
      <w:tr>
        <w:trPr>
          <w:trHeight w:val="248"/>
        </w:trPr>
        <w:tc>
          <w:tcPr>
            <w:tcW w:w="66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at end of period</w:t>
            </w:r>
          </w:p>
        </w:tc>
        <w:tc>
          <w:tcPr>
            <w:tcW w:w="1120" w:type="dxa"/>
            <w:vAlign w:val="bottom"/>
            <w:tcBorders>
              <w:bottom w:val="single" w:sz="8" w:color="CFF0FC"/>
            </w:tcBorders>
          </w:tcPr>
          <w:p>
            <w:pPr>
              <w:spacing w:after="0"/>
              <w:rPr>
                <w:sz w:val="21"/>
                <w:szCs w:val="21"/>
                <w:color w:val="auto"/>
              </w:rPr>
            </w:pPr>
          </w:p>
        </w:tc>
        <w:tc>
          <w:tcPr>
            <w:tcW w:w="980" w:type="dxa"/>
            <w:vAlign w:val="bottom"/>
            <w:tcBorders>
              <w:bottom w:val="single" w:sz="8" w:color="auto"/>
            </w:tcBorders>
          </w:tcPr>
          <w:p>
            <w:pPr>
              <w:jc w:val="right"/>
              <w:ind w:right="819"/>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49,792</w:t>
            </w:r>
          </w:p>
        </w:tc>
        <w:tc>
          <w:tcPr>
            <w:tcW w:w="280" w:type="dxa"/>
            <w:vAlign w:val="bottom"/>
            <w:tcBorders>
              <w:bottom w:val="single" w:sz="8" w:color="CFF0FC"/>
            </w:tcBorders>
          </w:tcPr>
          <w:p>
            <w:pPr>
              <w:spacing w:after="0"/>
              <w:rPr>
                <w:sz w:val="21"/>
                <w:szCs w:val="21"/>
                <w:color w:val="auto"/>
              </w:rPr>
            </w:pPr>
          </w:p>
        </w:tc>
        <w:tc>
          <w:tcPr>
            <w:tcW w:w="980" w:type="dxa"/>
            <w:vAlign w:val="bottom"/>
            <w:tcBorders>
              <w:bottom w:val="single" w:sz="8" w:color="auto"/>
            </w:tcBorders>
          </w:tcPr>
          <w:p>
            <w:pPr>
              <w:jc w:val="right"/>
              <w:ind w:right="795"/>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112,534</w:t>
            </w:r>
          </w:p>
        </w:tc>
        <w:tc>
          <w:tcPr>
            <w:tcW w:w="100" w:type="dxa"/>
            <w:vAlign w:val="bottom"/>
            <w:tcBorders>
              <w:bottom w:val="single" w:sz="8" w:color="CFF0FC"/>
            </w:tcBorders>
          </w:tcPr>
          <w:p>
            <w:pPr>
              <w:spacing w:after="0"/>
              <w:rPr>
                <w:sz w:val="21"/>
                <w:szCs w:val="21"/>
                <w:color w:val="auto"/>
              </w:rPr>
            </w:pPr>
          </w:p>
        </w:tc>
      </w:tr>
      <w:tr>
        <w:trPr>
          <w:trHeight w:val="194"/>
        </w:trPr>
        <w:tc>
          <w:tcPr>
            <w:tcW w:w="66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4"/>
        </w:trPr>
        <w:tc>
          <w:tcPr>
            <w:tcW w:w="6620" w:type="dxa"/>
            <w:vAlign w:val="bottom"/>
          </w:tcPr>
          <w:p>
            <w:pPr>
              <w:spacing w:after="0"/>
              <w:rPr>
                <w:sz w:val="20"/>
                <w:szCs w:val="20"/>
                <w:color w:val="auto"/>
              </w:rPr>
            </w:pPr>
            <w:r>
              <w:rPr>
                <w:rFonts w:ascii="Arial" w:cs="Arial" w:eastAsia="Arial" w:hAnsi="Arial"/>
                <w:sz w:val="17"/>
                <w:szCs w:val="17"/>
                <w:color w:val="auto"/>
              </w:rPr>
              <w:t>SUPPLEMENTAL CASH FLOW INFORMATION:</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620" w:type="dxa"/>
            <w:vAlign w:val="bottom"/>
            <w:shd w:val="clear" w:color="auto" w:fill="CFF0FC"/>
          </w:tcPr>
          <w:p>
            <w:pPr>
              <w:spacing w:after="0"/>
              <w:rPr>
                <w:sz w:val="20"/>
                <w:szCs w:val="20"/>
                <w:color w:val="auto"/>
              </w:rPr>
            </w:pPr>
            <w:r>
              <w:rPr>
                <w:rFonts w:ascii="Arial" w:cs="Arial" w:eastAsia="Arial" w:hAnsi="Arial"/>
                <w:sz w:val="17"/>
                <w:szCs w:val="17"/>
                <w:color w:val="auto"/>
              </w:rPr>
              <w:t>Non-cash additions to non-marketable equity investments</w:t>
            </w:r>
          </w:p>
        </w:tc>
        <w:tc>
          <w:tcPr>
            <w:tcW w:w="2100" w:type="dxa"/>
            <w:vAlign w:val="bottom"/>
            <w:gridSpan w:val="2"/>
            <w:shd w:val="clear" w:color="auto" w:fill="CFF0FC"/>
          </w:tcPr>
          <w:p>
            <w:pPr>
              <w:jc w:val="right"/>
              <w:ind w:right="819"/>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ind w:right="795"/>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1,300</w:t>
            </w:r>
          </w:p>
        </w:tc>
        <w:tc>
          <w:tcPr>
            <w:tcW w:w="100" w:type="dxa"/>
            <w:vAlign w:val="bottom"/>
            <w:shd w:val="clear" w:color="auto" w:fill="CFF0FC"/>
          </w:tcPr>
          <w:p>
            <w:pPr>
              <w:spacing w:after="0"/>
              <w:rPr>
                <w:sz w:val="18"/>
                <w:szCs w:val="18"/>
                <w:color w:val="auto"/>
              </w:rPr>
            </w:pPr>
          </w:p>
        </w:tc>
      </w:tr>
      <w:tr>
        <w:trPr>
          <w:trHeight w:val="20"/>
        </w:trPr>
        <w:tc>
          <w:tcPr>
            <w:tcW w:w="66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18" w:lineRule="exact"/>
        <w:rPr>
          <w:sz w:val="20"/>
          <w:szCs w:val="20"/>
          <w:color w:val="auto"/>
        </w:rPr>
      </w:pPr>
    </w:p>
    <w:p>
      <w:pPr>
        <w:jc w:val="both"/>
        <w:spacing w:after="0" w:line="216" w:lineRule="exact"/>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w:t>
      </w:r>
      <w:r>
        <w:rPr>
          <w:rFonts w:ascii="MS PGothic" w:cs="MS PGothic" w:eastAsia="MS PGothic" w:hAnsi="MS PGothic"/>
          <w:sz w:val="17"/>
          <w:szCs w:val="17"/>
          <w:color w:val="auto"/>
        </w:rPr>
        <w:t>‑</w:t>
      </w:r>
      <w:r>
        <w:rPr>
          <w:rFonts w:ascii="Arial" w:cs="Arial" w:eastAsia="Arial" w:hAnsi="Arial"/>
          <w:sz w:val="17"/>
          <w:szCs w:val="17"/>
          <w:color w:val="auto"/>
        </w:rPr>
        <w:t>Q and Article 10 of Regulation S</w:t>
      </w:r>
      <w:r>
        <w:rPr>
          <w:rFonts w:ascii="MS PGothic" w:cs="MS PGothic" w:eastAsia="MS PGothic" w:hAnsi="MS PGothic"/>
          <w:sz w:val="17"/>
          <w:szCs w:val="17"/>
          <w:color w:val="auto"/>
        </w:rPr>
        <w:t>‑</w:t>
      </w:r>
      <w:r>
        <w:rPr>
          <w:rFonts w:ascii="Arial" w:cs="Arial" w:eastAsia="Arial" w:hAnsi="Arial"/>
          <w:sz w:val="17"/>
          <w:szCs w:val="17"/>
          <w:color w:val="auto"/>
        </w:rPr>
        <w:t>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three and six months ended June 30, 2021 are not necessarily indicative of the results that may be expected for the year ending December 31, 2021.</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Condensed Consolidated Balance Sheet at December 31, 2020 was derived from the audited Consolidated Financial Statements at that date but does not include all of the information and footnotes required by US GAAP for a complete set of financial statements. For further information, refer to the Consolidated Financial Statements and Notes thereto for the year ended December 31, 2020 (included in the Company's Annual Report on Form 10-K, filed with the Securities and Exchange Commission on February 25,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AND SALES COMMISSIONS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Revenues are recognized when control of the promised goods or services is transferred to the customer in an amount that reflects the consideration the Company expects to be entitled in exchange for transferring those goods or services.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based on the following five step model:</w:t>
      </w:r>
    </w:p>
    <w:p>
      <w:pPr>
        <w:spacing w:after="0" w:line="114" w:lineRule="exact"/>
        <w:rPr>
          <w:sz w:val="20"/>
          <w:szCs w:val="20"/>
          <w:color w:val="auto"/>
        </w:rPr>
      </w:pPr>
    </w:p>
    <w:p>
      <w:pPr>
        <w:ind w:left="780" w:hanging="38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contract with a customer</w:t>
      </w:r>
    </w:p>
    <w:p>
      <w:pPr>
        <w:spacing w:after="0" w:line="127" w:lineRule="exact"/>
        <w:rPr>
          <w:rFonts w:ascii="Arial" w:cs="Arial" w:eastAsia="Arial" w:hAnsi="Arial"/>
          <w:sz w:val="18"/>
          <w:szCs w:val="18"/>
          <w:color w:val="auto"/>
        </w:rPr>
      </w:pPr>
    </w:p>
    <w:p>
      <w:pPr>
        <w:ind w:left="780" w:hanging="38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27" w:lineRule="exact"/>
        <w:rPr>
          <w:rFonts w:ascii="Arial" w:cs="Arial" w:eastAsia="Arial" w:hAnsi="Arial"/>
          <w:sz w:val="18"/>
          <w:szCs w:val="18"/>
          <w:color w:val="auto"/>
        </w:rPr>
      </w:pPr>
    </w:p>
    <w:p>
      <w:pPr>
        <w:ind w:left="780" w:hanging="38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27" w:lineRule="exact"/>
        <w:rPr>
          <w:rFonts w:ascii="Arial" w:cs="Arial" w:eastAsia="Arial" w:hAnsi="Arial"/>
          <w:sz w:val="18"/>
          <w:szCs w:val="18"/>
          <w:color w:val="auto"/>
        </w:rPr>
      </w:pPr>
    </w:p>
    <w:p>
      <w:pPr>
        <w:ind w:left="780" w:hanging="38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27" w:lineRule="exact"/>
        <w:rPr>
          <w:rFonts w:ascii="Arial" w:cs="Arial" w:eastAsia="Arial" w:hAnsi="Arial"/>
          <w:sz w:val="18"/>
          <w:szCs w:val="18"/>
          <w:color w:val="auto"/>
        </w:rPr>
      </w:pPr>
    </w:p>
    <w:p>
      <w:pPr>
        <w:ind w:left="780" w:hanging="38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revenues disaggregated by revenue source (in thousands). Sales taxes are excluded from revenues.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7"/>
          </w:tcPr>
          <w:p>
            <w:pPr>
              <w:jc w:val="center"/>
              <w:ind w:right="95"/>
              <w:spacing w:after="0"/>
              <w:rPr>
                <w:sz w:val="20"/>
                <w:szCs w:val="20"/>
                <w:color w:val="auto"/>
              </w:rPr>
            </w:pPr>
            <w:r>
              <w:rPr>
                <w:rFonts w:ascii="Arial" w:cs="Arial" w:eastAsia="Arial" w:hAnsi="Arial"/>
                <w:sz w:val="14"/>
                <w:szCs w:val="14"/>
                <w:b w:val="1"/>
                <w:bCs w:val="1"/>
                <w:color w:val="auto"/>
                <w:w w:val="92"/>
              </w:rPr>
              <w:t>Three Months Ended June 30, 2021</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center"/>
              <w:ind w:left="780"/>
              <w:spacing w:after="0"/>
              <w:rPr>
                <w:sz w:val="20"/>
                <w:szCs w:val="20"/>
                <w:color w:val="auto"/>
              </w:rPr>
            </w:pPr>
            <w:r>
              <w:rPr>
                <w:rFonts w:ascii="Arial" w:cs="Arial" w:eastAsia="Arial" w:hAnsi="Arial"/>
                <w:sz w:val="14"/>
                <w:szCs w:val="14"/>
                <w:b w:val="1"/>
                <w:bCs w:val="1"/>
                <w:color w:val="auto"/>
                <w:w w:val="92"/>
              </w:rPr>
              <w:t>Six Months Ended June 30, 2021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rPr>
              <w:t>Business Segments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00"/>
              <w:spacing w:after="0" w:line="131" w:lineRule="exact"/>
              <w:rPr>
                <w:sz w:val="20"/>
                <w:szCs w:val="20"/>
                <w:color w:val="auto"/>
              </w:rPr>
            </w:pPr>
            <w:r>
              <w:rPr>
                <w:rFonts w:ascii="Arial" w:cs="Arial" w:eastAsia="Arial" w:hAnsi="Arial"/>
                <w:sz w:val="14"/>
                <w:szCs w:val="14"/>
                <w:b w:val="1"/>
                <w:bCs w:val="1"/>
                <w:color w:val="auto"/>
                <w:w w:val="95"/>
              </w:rPr>
              <w:t>Workforce</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480"/>
              <w:spacing w:after="0" w:line="131" w:lineRule="exact"/>
              <w:rPr>
                <w:sz w:val="20"/>
                <w:szCs w:val="20"/>
                <w:color w:val="auto"/>
              </w:rPr>
            </w:pPr>
            <w:r>
              <w:rPr>
                <w:rFonts w:ascii="Arial" w:cs="Arial" w:eastAsia="Arial" w:hAnsi="Arial"/>
                <w:sz w:val="14"/>
                <w:szCs w:val="14"/>
                <w:b w:val="1"/>
                <w:bCs w:val="1"/>
                <w:color w:val="auto"/>
                <w:w w:val="94"/>
              </w:rPr>
              <w:t>Provider</w:t>
            </w:r>
          </w:p>
        </w:tc>
        <w:tc>
          <w:tcPr>
            <w:tcW w:w="120" w:type="dxa"/>
            <w:vAlign w:val="bottom"/>
          </w:tcPr>
          <w:p>
            <w:pPr>
              <w:spacing w:after="0"/>
              <w:rPr>
                <w:sz w:val="11"/>
                <w:szCs w:val="11"/>
                <w:color w:val="auto"/>
              </w:rPr>
            </w:pPr>
          </w:p>
        </w:tc>
        <w:tc>
          <w:tcPr>
            <w:tcW w:w="10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4"/>
              </w:rPr>
              <w:t>Consolidated</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center"/>
              <w:ind w:right="120"/>
              <w:spacing w:after="0" w:line="131" w:lineRule="exact"/>
              <w:rPr>
                <w:sz w:val="20"/>
                <w:szCs w:val="20"/>
                <w:color w:val="auto"/>
              </w:rPr>
            </w:pPr>
            <w:r>
              <w:rPr>
                <w:rFonts w:ascii="Arial" w:cs="Arial" w:eastAsia="Arial" w:hAnsi="Arial"/>
                <w:sz w:val="14"/>
                <w:szCs w:val="14"/>
                <w:b w:val="1"/>
                <w:bCs w:val="1"/>
                <w:color w:val="auto"/>
                <w:w w:val="95"/>
              </w:rPr>
              <w:t>Workforce</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480"/>
              <w:spacing w:after="0" w:line="131" w:lineRule="exact"/>
              <w:rPr>
                <w:sz w:val="20"/>
                <w:szCs w:val="20"/>
                <w:color w:val="auto"/>
              </w:rPr>
            </w:pPr>
            <w:r>
              <w:rPr>
                <w:rFonts w:ascii="Arial" w:cs="Arial" w:eastAsia="Arial" w:hAnsi="Arial"/>
                <w:sz w:val="14"/>
                <w:szCs w:val="14"/>
                <w:b w:val="1"/>
                <w:bCs w:val="1"/>
                <w:color w:val="auto"/>
                <w:w w:val="94"/>
              </w:rPr>
              <w:t>Provider</w:t>
            </w: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0"/>
        </w:trPr>
        <w:tc>
          <w:tcPr>
            <w:tcW w:w="2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120"/>
              <w:spacing w:after="0"/>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00"/>
              <w:spacing w:after="0"/>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Solutions</w:t>
            </w: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Subscription services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50,740</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10,905</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61,645</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100,511</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21,502</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services</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5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 net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52,158</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12,658</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64,816</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103,405</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24,879</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128,284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7"/>
          </w:tcPr>
          <w:p>
            <w:pPr>
              <w:jc w:val="center"/>
              <w:ind w:right="95"/>
              <w:spacing w:after="0"/>
              <w:rPr>
                <w:sz w:val="20"/>
                <w:szCs w:val="20"/>
                <w:color w:val="auto"/>
              </w:rPr>
            </w:pPr>
            <w:r>
              <w:rPr>
                <w:rFonts w:ascii="Arial" w:cs="Arial" w:eastAsia="Arial" w:hAnsi="Arial"/>
                <w:sz w:val="14"/>
                <w:szCs w:val="14"/>
                <w:b w:val="1"/>
                <w:bCs w:val="1"/>
                <w:color w:val="auto"/>
                <w:w w:val="92"/>
              </w:rPr>
              <w:t>Three Months Ended June 30, 2020</w:t>
            </w: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center"/>
              <w:ind w:left="780"/>
              <w:spacing w:after="0"/>
              <w:rPr>
                <w:sz w:val="20"/>
                <w:szCs w:val="20"/>
                <w:color w:val="auto"/>
              </w:rPr>
            </w:pPr>
            <w:r>
              <w:rPr>
                <w:rFonts w:ascii="Arial" w:cs="Arial" w:eastAsia="Arial" w:hAnsi="Arial"/>
                <w:sz w:val="14"/>
                <w:szCs w:val="14"/>
                <w:b w:val="1"/>
                <w:bCs w:val="1"/>
                <w:color w:val="auto"/>
                <w:w w:val="92"/>
              </w:rPr>
              <w:t>Six Months Ended June 30, 2020</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rPr>
              <w:t>Business Segments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00"/>
              <w:spacing w:after="0" w:line="131" w:lineRule="exact"/>
              <w:rPr>
                <w:sz w:val="20"/>
                <w:szCs w:val="20"/>
                <w:color w:val="auto"/>
              </w:rPr>
            </w:pPr>
            <w:r>
              <w:rPr>
                <w:rFonts w:ascii="Arial" w:cs="Arial" w:eastAsia="Arial" w:hAnsi="Arial"/>
                <w:sz w:val="14"/>
                <w:szCs w:val="14"/>
                <w:b w:val="1"/>
                <w:bCs w:val="1"/>
                <w:color w:val="auto"/>
                <w:w w:val="95"/>
              </w:rPr>
              <w:t>Workforce</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480"/>
              <w:spacing w:after="0" w:line="131" w:lineRule="exact"/>
              <w:rPr>
                <w:sz w:val="20"/>
                <w:szCs w:val="20"/>
                <w:color w:val="auto"/>
              </w:rPr>
            </w:pPr>
            <w:r>
              <w:rPr>
                <w:rFonts w:ascii="Arial" w:cs="Arial" w:eastAsia="Arial" w:hAnsi="Arial"/>
                <w:sz w:val="14"/>
                <w:szCs w:val="14"/>
                <w:b w:val="1"/>
                <w:bCs w:val="1"/>
                <w:color w:val="auto"/>
                <w:w w:val="94"/>
              </w:rPr>
              <w:t>Provider</w:t>
            </w:r>
          </w:p>
        </w:tc>
        <w:tc>
          <w:tcPr>
            <w:tcW w:w="120" w:type="dxa"/>
            <w:vAlign w:val="bottom"/>
          </w:tcPr>
          <w:p>
            <w:pPr>
              <w:spacing w:after="0"/>
              <w:rPr>
                <w:sz w:val="11"/>
                <w:szCs w:val="11"/>
                <w:color w:val="auto"/>
              </w:rPr>
            </w:pPr>
          </w:p>
        </w:tc>
        <w:tc>
          <w:tcPr>
            <w:tcW w:w="10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4"/>
              </w:rPr>
              <w:t>Consolidated</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center"/>
              <w:ind w:right="120"/>
              <w:spacing w:after="0" w:line="131" w:lineRule="exact"/>
              <w:rPr>
                <w:sz w:val="20"/>
                <w:szCs w:val="20"/>
                <w:color w:val="auto"/>
              </w:rPr>
            </w:pPr>
            <w:r>
              <w:rPr>
                <w:rFonts w:ascii="Arial" w:cs="Arial" w:eastAsia="Arial" w:hAnsi="Arial"/>
                <w:sz w:val="14"/>
                <w:szCs w:val="14"/>
                <w:b w:val="1"/>
                <w:bCs w:val="1"/>
                <w:color w:val="auto"/>
                <w:w w:val="95"/>
              </w:rPr>
              <w:t>Workforce</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480"/>
              <w:spacing w:after="0" w:line="131" w:lineRule="exact"/>
              <w:rPr>
                <w:sz w:val="20"/>
                <w:szCs w:val="20"/>
                <w:color w:val="auto"/>
              </w:rPr>
            </w:pPr>
            <w:r>
              <w:rPr>
                <w:rFonts w:ascii="Arial" w:cs="Arial" w:eastAsia="Arial" w:hAnsi="Arial"/>
                <w:sz w:val="14"/>
                <w:szCs w:val="14"/>
                <w:b w:val="1"/>
                <w:bCs w:val="1"/>
                <w:color w:val="auto"/>
                <w:w w:val="94"/>
              </w:rPr>
              <w:t>Provider</w:t>
            </w: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0"/>
        </w:trPr>
        <w:tc>
          <w:tcPr>
            <w:tcW w:w="2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120"/>
              <w:spacing w:after="0"/>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00"/>
              <w:spacing w:after="0"/>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Solutions</w:t>
            </w: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Subscription services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47,981</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9,954</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57,935</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96,699</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19,938</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116,637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services</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5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 net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48,888</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11,665</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60,553</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98,712</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23,413</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122,125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six months ended June 30, 2021 and 2020, the Company recognized $3,000 and $0.4 million in impairment losses on receivables and contract assets arising from the Company’s contracts with customers, respectively.</w:t>
      </w:r>
    </w:p>
    <w:p>
      <w:pPr>
        <w:spacing w:after="0" w:line="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Deferred revenue represents contract liabilities that are recorded when cash payments are received or are due in advance of our satisfaction of performance obligations. During the three months ended June 30, 2021 and 2020, we recognized revenues of approximately $40.5 million and $35.2 million, respectively, from amounts included in deferred revenue at the beginning of the respective periods. During the six months ended June 30, 2021 and 2020, we recognized $52.2 million and $49.9 million of revenue from amounts included in deferred revenues at the beginning of the respective periods. As of June 30, 2021, approximately $448 million of revenue is expected to be recognized from remaining performance obligations under contracts with customers. We expect to recognize revenue related to approximately 46% of these remaining performance obligations over the next 12 months, with the remaining amounts recognized thereafter.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Commissions</w:t>
      </w:r>
    </w:p>
    <w:p>
      <w:pPr>
        <w:spacing w:after="0" w:line="11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Sales commissions earned by our sales force are considered incremental and recoverable costs of obtaining a contract with a customer. Under ASC 606, costs to acquire contracts with customers, such as the initial sales commission payment and associated payroll taxes, are capitalized in the period a customer contract is entered into and are amortized consistent with the transfer of the goods or services to the customer over the expected period of benefit, whereas subsequent sales commission payments which require a substantive performance condition of the employee are expensed ratably through the payment date. Capitalized contract costs are included in deferred commissions in the accompanying Condensed Consolidated Balance Sheets. The expected period of benefit is the contract term, except when the capitalized commission is expected to provide economic benefit to the Company for a period longer than the contract term, such as for new customer or incremental sales where renewals are expected and renewal commissions are not commensurate with initial commissions. Non-commensurate commissions are amortized over the greater of the contract term or technological obsolescence period of approximately three years. The Company recorded amortization of deferred commissions of approximately $2.4 million and $2.1 million for the three months ended June 30, 2021 and 2020, and $4.5 million and $4.3 million for the six months ended June 30, 2021 and 2020, respectively, which is included in sales and marketing expenses in the accompanying Condensed Consolidated Statements of Income.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Company computes its interim period provision for income taxes by applying the estimated annual effective tax rate to year-to-date pretax income or loss and adjusts the provision for discrete tax items recorded in the period. During the three months ended June 30, 2021 and 2020, the Company recorded a provision for income taxes of approximately $0.9 million and $1.1 million, respectively. During the six months ended June 30, 2021 and 2020, the Company recorded a provision for income taxes of $1.8 million and $2.9 million, respectively. The Company’s effective tax rate for the six months ended June 30, 2021 and 2020 was 28% and 22%, respectively. The Company’s effective tax rate primarily reflects the statutory corporate income tax rate, the net effect of state taxes, foreign income taxes, and the effect of various permanent tax differences. During the six months ended June 30, 2021, the Company recorded discrete tax expense of $0.2 million related to various items, including recording a permanent difference related to purchase accounting adjustments and the impact of a state tax rate change enacted during the period. During the six months ended June 30, 2020, the Company </w:t>
      </w:r>
      <w:r>
        <w:rPr>
          <w:rFonts w:ascii="Arial" w:cs="Arial" w:eastAsia="Arial" w:hAnsi="Arial"/>
          <w:sz w:val="16"/>
          <w:szCs w:val="16"/>
          <w:color w:val="212529"/>
        </w:rPr>
        <w:t>recorded a $1.2 million change in fair value of</w:t>
      </w:r>
      <w:r>
        <w:rPr>
          <w:rFonts w:ascii="Arial" w:cs="Arial" w:eastAsia="Arial" w:hAnsi="Arial"/>
          <w:sz w:val="16"/>
          <w:szCs w:val="16"/>
          <w:color w:val="auto"/>
        </w:rPr>
        <w:t xml:space="preserve"> </w:t>
      </w:r>
      <w:r>
        <w:rPr>
          <w:rFonts w:ascii="Arial" w:cs="Arial" w:eastAsia="Arial" w:hAnsi="Arial"/>
          <w:sz w:val="16"/>
          <w:szCs w:val="16"/>
          <w:color w:val="212529"/>
        </w:rPr>
        <w:t xml:space="preserve">non-marketable equity investments </w:t>
      </w:r>
      <w:r>
        <w:rPr>
          <w:rFonts w:ascii="Arial" w:cs="Arial" w:eastAsia="Arial" w:hAnsi="Arial"/>
          <w:sz w:val="16"/>
          <w:szCs w:val="16"/>
          <w:color w:val="000000"/>
        </w:rPr>
        <w:t>as a result of the NurseGrid acquisition, which is not a taxable transaction, resulting in a tax benefit of $0.3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SHAREHOLDERS’ EQUITY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has stock awards outstanding under its 2016 Omnibus Incentive Plan. The Company accounts for its stock based compensation plan using the fair-value based method for costs related to share based payments, including restricted share units (“RSUs”). During the six months ended June 30, 2021, the Company issued 122,686 RSUs, subject to service-based time vesting, with a weighted average grant date fair value of $23.16 per share, measured based on the closing fair market value of the Company’s stock on the date of grant. During the six months ended June 30, 2020, the Company issued 111,510 RSUs, subject to service-based time vesting, with a weighted average grant date fair value of $22.96 per share, measured based on the closing fair market value of the Company’s stock on the date of grant.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Total stock based compensation expense recognized in the Condensed Consolidated Statements of Income is as follows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60" w:type="dxa"/>
            <w:vAlign w:val="bottom"/>
            <w:gridSpan w:val="4"/>
          </w:tcPr>
          <w:p>
            <w:pPr>
              <w:jc w:val="right"/>
              <w:ind w:right="187"/>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5"/>
          </w:tcPr>
          <w:p>
            <w:pPr>
              <w:ind w:lef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4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587"/>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jc w:val="right"/>
              <w:ind w:right="8"/>
              <w:spacing w:after="0" w:line="154"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3"/>
                <w:szCs w:val="13"/>
                <w:color w:val="auto"/>
              </w:rPr>
            </w:pPr>
          </w:p>
        </w:tc>
        <w:tc>
          <w:tcPr>
            <w:tcW w:w="1040" w:type="dxa"/>
            <w:vAlign w:val="bottom"/>
            <w:gridSpan w:val="2"/>
          </w:tcPr>
          <w:p>
            <w:pPr>
              <w:jc w:val="right"/>
              <w:ind w:right="7"/>
              <w:spacing w:after="0" w:line="154"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7"/>
              <w:spacing w:after="0" w:line="154"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54"/>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9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20" w:type="dxa"/>
            <w:vAlign w:val="bottom"/>
          </w:tcPr>
          <w:p>
            <w:pPr>
              <w:spacing w:after="0"/>
              <w:rPr>
                <w:sz w:val="20"/>
                <w:szCs w:val="20"/>
                <w:color w:val="auto"/>
              </w:rPr>
            </w:pPr>
            <w:r>
              <w:rPr>
                <w:rFonts w:ascii="Arial" w:cs="Arial" w:eastAsia="Arial" w:hAnsi="Arial"/>
                <w:sz w:val="18"/>
                <w:szCs w:val="18"/>
                <w:color w:val="auto"/>
              </w:rPr>
              <w:t>Product development</w:t>
            </w: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9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general and administrative</w:t>
            </w:r>
          </w:p>
        </w:tc>
        <w:tc>
          <w:tcPr>
            <w:tcW w:w="9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2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 based compensation expense</w:t>
            </w:r>
          </w:p>
        </w:tc>
        <w:tc>
          <w:tcPr>
            <w:tcW w:w="9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8"/>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2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20" w:type="dxa"/>
            <w:vAlign w:val="bottom"/>
            <w:vMerge w:val="restart"/>
          </w:tcPr>
          <w:p>
            <w:pPr>
              <w:jc w:val="right"/>
              <w:ind w:right="91"/>
              <w:spacing w:after="0"/>
              <w:rPr>
                <w:sz w:val="20"/>
                <w:szCs w:val="20"/>
                <w:color w:val="auto"/>
              </w:rPr>
            </w:pPr>
            <w:r>
              <w:rPr>
                <w:rFonts w:ascii="Arial" w:cs="Arial" w:eastAsia="Arial" w:hAnsi="Arial"/>
                <w:sz w:val="18"/>
                <w:szCs w:val="18"/>
                <w:color w:val="auto"/>
              </w:rPr>
              <w:t>8</w:t>
            </w: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92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49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18"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111,000 and 108,000 for the three months ended June 30, 2021 and 2020, respectively, and 130,000 and 107,000 for the six months ended June 30, 2021 and 2020,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data):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00" w:type="dxa"/>
            <w:vAlign w:val="bottom"/>
            <w:gridSpan w:val="6"/>
          </w:tcPr>
          <w:p>
            <w:pPr>
              <w:ind w:lef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5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8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7"/>
              <w:spacing w:after="0" w:line="154"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4"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4"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84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2,441</w:t>
            </w:r>
          </w:p>
        </w:tc>
        <w:tc>
          <w:tcPr>
            <w:tcW w:w="5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3,442</w:t>
            </w:r>
          </w:p>
        </w:tc>
        <w:tc>
          <w:tcPr>
            <w:tcW w:w="240" w:type="dxa"/>
            <w:vAlign w:val="bottom"/>
          </w:tcPr>
          <w:p>
            <w:pPr>
              <w:spacing w:after="0"/>
              <w:rPr>
                <w:sz w:val="23"/>
                <w:szCs w:val="23"/>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4,732</w:t>
            </w:r>
          </w:p>
        </w:tc>
        <w:tc>
          <w:tcPr>
            <w:tcW w:w="240" w:type="dxa"/>
            <w:vAlign w:val="bottom"/>
          </w:tcPr>
          <w:p>
            <w:pPr>
              <w:spacing w:after="0"/>
              <w:rPr>
                <w:sz w:val="23"/>
                <w:szCs w:val="23"/>
                <w:color w:val="auto"/>
              </w:rPr>
            </w:pP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10,533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40" w:type="dxa"/>
            <w:vAlign w:val="bottom"/>
          </w:tcPr>
          <w:p>
            <w:pPr>
              <w:ind w:left="260"/>
              <w:spacing w:after="0"/>
              <w:rPr>
                <w:sz w:val="20"/>
                <w:szCs w:val="20"/>
                <w:color w:val="auto"/>
              </w:rPr>
            </w:pPr>
            <w:r>
              <w:rPr>
                <w:rFonts w:ascii="Arial" w:cs="Arial" w:eastAsia="Arial" w:hAnsi="Arial"/>
                <w:sz w:val="18"/>
                <w:szCs w:val="18"/>
                <w:color w:val="auto"/>
              </w:rPr>
              <w:t>Weighted-average shares outstanding</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31,553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31,997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31,528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dilutive shares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Weighted-average diluted shares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31,616</w:t>
            </w:r>
          </w:p>
        </w:tc>
        <w:tc>
          <w:tcPr>
            <w:tcW w:w="2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32,025</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31,571</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5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40" w:type="dxa"/>
            <w:vAlign w:val="bottom"/>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5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40" w:type="dxa"/>
            <w:vAlign w:val="bottom"/>
            <w:vMerge w:val="continue"/>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fair value of marketable securities, which were all classified as available for sale and which the Company does not intend to sell nor will the Company be required to sell prior to recovery of their amortized cost basis, included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jc w:val="right"/>
              <w:ind w:right="495"/>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6"/>
              </w:rPr>
              <w:t>Adjusted</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37"/>
              <w:spacing w:after="0" w:line="131" w:lineRule="exact"/>
              <w:rPr>
                <w:sz w:val="20"/>
                <w:szCs w:val="20"/>
                <w:color w:val="auto"/>
              </w:rPr>
            </w:pPr>
            <w:r>
              <w:rPr>
                <w:rFonts w:ascii="Arial" w:cs="Arial" w:eastAsia="Arial" w:hAnsi="Arial"/>
                <w:sz w:val="14"/>
                <w:szCs w:val="14"/>
                <w:b w:val="1"/>
                <w:bCs w:val="1"/>
                <w:color w:val="auto"/>
                <w:w w:val="91"/>
              </w:rPr>
              <w:t>Cash and</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8"/>
              <w:spacing w:after="0" w:line="131" w:lineRule="exact"/>
              <w:rPr>
                <w:sz w:val="20"/>
                <w:szCs w:val="20"/>
                <w:color w:val="auto"/>
              </w:rPr>
            </w:pPr>
            <w:r>
              <w:rPr>
                <w:rFonts w:ascii="Arial" w:cs="Arial" w:eastAsia="Arial" w:hAnsi="Arial"/>
                <w:sz w:val="14"/>
                <w:szCs w:val="14"/>
                <w:b w:val="1"/>
                <w:bCs w:val="1"/>
                <w:color w:val="auto"/>
                <w:w w:val="98"/>
              </w:rPr>
              <w:t>Current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7"/>
              <w:spacing w:after="0" w:line="147" w:lineRule="exact"/>
              <w:rPr>
                <w:sz w:val="20"/>
                <w:szCs w:val="20"/>
                <w:color w:val="auto"/>
              </w:rPr>
            </w:pPr>
            <w:r>
              <w:rPr>
                <w:rFonts w:ascii="Arial" w:cs="Arial" w:eastAsia="Arial" w:hAnsi="Arial"/>
                <w:sz w:val="14"/>
                <w:szCs w:val="14"/>
                <w:b w:val="1"/>
                <w:bCs w:val="1"/>
                <w:color w:val="auto"/>
                <w:w w:val="87"/>
              </w:rPr>
              <w:t>Cash</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Marketable</w:t>
            </w: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96"/>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ind w:left="16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Equivalents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221"/>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49,792</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49,792</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49,792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60" w:type="dxa"/>
            <w:vAlign w:val="bottom"/>
          </w:tcPr>
          <w:p>
            <w:pPr>
              <w:spacing w:after="0"/>
              <w:rPr>
                <w:sz w:val="20"/>
                <w:szCs w:val="20"/>
                <w:color w:val="auto"/>
              </w:rPr>
            </w:pPr>
            <w:r>
              <w:rPr>
                <w:rFonts w:ascii="Arial" w:cs="Arial" w:eastAsia="Arial" w:hAnsi="Arial"/>
                <w:sz w:val="18"/>
                <w:szCs w:val="18"/>
                <w:color w:val="auto"/>
              </w:rPr>
              <w:t>Level 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debt securities</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5,348</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3"/>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5,349</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660" w:type="dxa"/>
            <w:vAlign w:val="bottom"/>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55,140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ind w:left="6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55,141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49,792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46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7"/>
          </w:tcPr>
          <w:p>
            <w:pPr>
              <w:jc w:val="right"/>
              <w:ind w:right="355"/>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0"/>
              </w:rPr>
              <w:t>Adjusted</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vMerge w:val="restart"/>
          </w:tcPr>
          <w:p>
            <w:pPr>
              <w:jc w:val="right"/>
              <w:ind w:right="76"/>
              <w:spacing w:after="0"/>
              <w:rPr>
                <w:sz w:val="20"/>
                <w:szCs w:val="20"/>
                <w:color w:val="auto"/>
              </w:rPr>
            </w:pPr>
            <w:r>
              <w:rPr>
                <w:rFonts w:ascii="Arial" w:cs="Arial" w:eastAsia="Arial" w:hAnsi="Arial"/>
                <w:sz w:val="14"/>
                <w:szCs w:val="14"/>
                <w:b w:val="1"/>
                <w:bCs w:val="1"/>
                <w:color w:val="auto"/>
                <w:w w:val="98"/>
              </w:rPr>
              <w:t>Unrealized</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77"/>
              <w:spacing w:after="0" w:line="131" w:lineRule="exact"/>
              <w:rPr>
                <w:sz w:val="20"/>
                <w:szCs w:val="20"/>
                <w:color w:val="auto"/>
              </w:rPr>
            </w:pPr>
            <w:r>
              <w:rPr>
                <w:rFonts w:ascii="Arial" w:cs="Arial" w:eastAsia="Arial" w:hAnsi="Arial"/>
                <w:sz w:val="14"/>
                <w:szCs w:val="14"/>
                <w:b w:val="1"/>
                <w:bCs w:val="1"/>
                <w:color w:val="auto"/>
                <w:w w:val="91"/>
              </w:rPr>
              <w:t>Cash and</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78"/>
              <w:spacing w:after="0" w:line="131" w:lineRule="exact"/>
              <w:rPr>
                <w:sz w:val="20"/>
                <w:szCs w:val="20"/>
                <w:color w:val="auto"/>
              </w:rPr>
            </w:pPr>
            <w:r>
              <w:rPr>
                <w:rFonts w:ascii="Arial" w:cs="Arial" w:eastAsia="Arial" w:hAnsi="Arial"/>
                <w:sz w:val="14"/>
                <w:szCs w:val="14"/>
                <w:b w:val="1"/>
                <w:bCs w:val="1"/>
                <w:color w:val="auto"/>
                <w:w w:val="98"/>
              </w:rPr>
              <w:t>Current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2"/>
              </w:rPr>
              <w:t>Fair Value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77"/>
              <w:spacing w:after="0" w:line="147" w:lineRule="exact"/>
              <w:rPr>
                <w:sz w:val="20"/>
                <w:szCs w:val="20"/>
                <w:color w:val="auto"/>
              </w:rPr>
            </w:pPr>
            <w:r>
              <w:rPr>
                <w:rFonts w:ascii="Arial" w:cs="Arial" w:eastAsia="Arial" w:hAnsi="Arial"/>
                <w:sz w:val="14"/>
                <w:szCs w:val="14"/>
                <w:b w:val="1"/>
                <w:bCs w:val="1"/>
                <w:color w:val="auto"/>
                <w:w w:val="87"/>
              </w:rPr>
              <w:t>Cash</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160"/>
              <w:spacing w:after="0" w:line="147" w:lineRule="exact"/>
              <w:rPr>
                <w:sz w:val="20"/>
                <w:szCs w:val="20"/>
                <w:color w:val="auto"/>
              </w:rPr>
            </w:pPr>
            <w:r>
              <w:rPr>
                <w:rFonts w:ascii="Arial" w:cs="Arial" w:eastAsia="Arial" w:hAnsi="Arial"/>
                <w:sz w:val="14"/>
                <w:szCs w:val="14"/>
                <w:b w:val="1"/>
                <w:bCs w:val="1"/>
                <w:color w:val="auto"/>
                <w:w w:val="95"/>
              </w:rPr>
              <w:t>Marketable</w:t>
            </w: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77"/>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16"/>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ind w:left="12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Equivalents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221"/>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31,558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31,558</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31,558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60" w:type="dxa"/>
            <w:vAlign w:val="bottom"/>
          </w:tcPr>
          <w:p>
            <w:pPr>
              <w:spacing w:after="0"/>
              <w:rPr>
                <w:sz w:val="20"/>
                <w:szCs w:val="20"/>
                <w:color w:val="auto"/>
              </w:rPr>
            </w:pPr>
            <w:r>
              <w:rPr>
                <w:rFonts w:ascii="Arial" w:cs="Arial" w:eastAsia="Arial" w:hAnsi="Arial"/>
                <w:sz w:val="18"/>
                <w:szCs w:val="18"/>
                <w:color w:val="auto"/>
              </w:rPr>
              <w:t>Level 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Time deposits</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10,021</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3"/>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10,021</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5,008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60" w:type="dxa"/>
            <w:vAlign w:val="bottom"/>
          </w:tcPr>
          <w:p>
            <w:pPr>
              <w:ind w:left="620"/>
              <w:spacing w:after="0"/>
              <w:rPr>
                <w:sz w:val="20"/>
                <w:szCs w:val="20"/>
                <w:color w:val="auto"/>
              </w:rPr>
            </w:pPr>
            <w:r>
              <w:rPr>
                <w:rFonts w:ascii="Arial" w:cs="Arial" w:eastAsia="Arial" w:hAnsi="Arial"/>
                <w:sz w:val="18"/>
                <w:szCs w:val="18"/>
                <w:color w:val="auto"/>
              </w:rPr>
              <w:t>Corporate debt securities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4,923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ind w:left="6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4,915</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gridSpan w:val="2"/>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gridSpan w:val="2"/>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60" w:type="dxa"/>
            <w:vAlign w:val="bottom"/>
            <w:vMerge w:val="continue"/>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46,502</w:t>
            </w:r>
          </w:p>
        </w:tc>
        <w:tc>
          <w:tcPr>
            <w:tcW w:w="180" w:type="dxa"/>
            <w:vAlign w:val="bottom"/>
            <w:vMerge w:val="continue"/>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continue"/>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FF0FC"/>
          </w:tcPr>
          <w:p>
            <w:pPr>
              <w:ind w:left="620"/>
              <w:spacing w:after="0"/>
              <w:rPr>
                <w:sz w:val="20"/>
                <w:szCs w:val="20"/>
                <w:color w:val="auto"/>
              </w:rPr>
            </w:pPr>
            <w:r>
              <w:rPr>
                <w:rFonts w:ascii="Arial" w:cs="Arial" w:eastAsia="Arial" w:hAnsi="Arial"/>
                <w:sz w:val="18"/>
                <w:szCs w:val="18"/>
                <w:color w:val="auto"/>
              </w:rPr>
              <w:t>(8)</w:t>
            </w:r>
          </w:p>
        </w:tc>
        <w:tc>
          <w:tcPr>
            <w:tcW w:w="80" w:type="dxa"/>
            <w:vAlign w:val="bottom"/>
            <w:vMerge w:val="continue"/>
            <w:shd w:val="clear" w:color="auto" w:fill="CFF0FC"/>
          </w:tcPr>
          <w:p>
            <w:pPr>
              <w:spacing w:after="0"/>
              <w:rPr>
                <w:sz w:val="19"/>
                <w:szCs w:val="19"/>
                <w:color w:val="auto"/>
              </w:rPr>
            </w:pPr>
          </w:p>
        </w:tc>
        <w:tc>
          <w:tcPr>
            <w:tcW w:w="1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46,494</w:t>
            </w:r>
          </w:p>
        </w:tc>
        <w:tc>
          <w:tcPr>
            <w:tcW w:w="180" w:type="dxa"/>
            <w:vAlign w:val="bottom"/>
            <w:vMerge w:val="continue"/>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36,566</w:t>
            </w:r>
          </w:p>
        </w:tc>
        <w:tc>
          <w:tcPr>
            <w:tcW w:w="200" w:type="dxa"/>
            <w:vAlign w:val="bottom"/>
            <w:vMerge w:val="continue"/>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carrying amounts reported in the Condensed Consolidated Balance Sheets approximate the fair value based on quoted market prices or alternative pricing sources and models utilizing market observable inputs. As of June 30, 2021, the Company did not recognize any allowance for credit impairments on its available for sale debt securities. All investments in marketable securities are classified as current assets on the Condensed Consolidated Balance Sheets because the underlying securities mature within one year from the balance sheet date.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NurseGrid</w:t>
      </w:r>
    </w:p>
    <w:p>
      <w:pPr>
        <w:spacing w:after="0" w:line="111"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212529"/>
        </w:rPr>
        <w:t xml:space="preserve">On March 9, 2020, the Company acquired all of the outstanding stock of HcT2 Co. dba NurseGrid (“NurseGrid”), a Portland, Oregon-based healthcare technology company offering NurseGrid Mobile and its corollary application for nurse managers, NurseGrid Enterprise, for net cash consideration of approximately $21.5 million, after giving effect to the post-closing working capital adjustment. The Company accounted for this transaction as a business combination achieved in stages which required the Company to remeasure its previously existing minority ownership interest, which was accounted for as a non-marketable equity investment measured using the fair value alternative, to fair value at the acquisition date based on the total enterprise value, adjusting for a control premium. The fair value of the Company’s interest in NurseGrid was $3.6 million at closing, resulting in a gain of $1.2 million, recorded as a change in fair value of non-marketable equity investments in the Company’s Condensed Consolidated Statement of Income during the three months ended March 31, 2020. Additionally, the Company’s previously recorded non-marketable equity investment in NurseGrid was de-recognized from the Company’s Condensed Consolidated Balance Sheet during the same period. </w:t>
      </w:r>
      <w:r>
        <w:rPr>
          <w:rFonts w:ascii="Arial" w:cs="Arial" w:eastAsia="Arial" w:hAnsi="Arial"/>
          <w:sz w:val="15"/>
          <w:szCs w:val="15"/>
          <w:color w:val="000000"/>
        </w:rPr>
        <w:t>Acquisition-related transaction costs</w:t>
      </w:r>
      <w:r>
        <w:rPr>
          <w:rFonts w:ascii="Arial" w:cs="Arial" w:eastAsia="Arial" w:hAnsi="Arial"/>
          <w:sz w:val="15"/>
          <w:szCs w:val="15"/>
          <w:color w:val="212529"/>
        </w:rPr>
        <w:t xml:space="preserve"> </w:t>
      </w:r>
      <w:r>
        <w:rPr>
          <w:rFonts w:ascii="Arial" w:cs="Arial" w:eastAsia="Arial" w:hAnsi="Arial"/>
          <w:sz w:val="15"/>
          <w:szCs w:val="15"/>
          <w:color w:val="000000"/>
        </w:rPr>
        <w:t xml:space="preserve">were $0.2 million. </w:t>
      </w:r>
      <w:r>
        <w:rPr>
          <w:rFonts w:ascii="Arial" w:cs="Arial" w:eastAsia="Arial" w:hAnsi="Arial"/>
          <w:sz w:val="15"/>
          <w:szCs w:val="15"/>
          <w:color w:val="212529"/>
        </w:rPr>
        <w:t>The financial results of NurseGrid have been included in the Workforce Solutions segment from March 9, 2020.</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212529"/>
        </w:rPr>
        <w:t>A summary of the purchase price is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Cash paid at closing</w:t>
            </w: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580" w:type="dxa"/>
            <w:vAlign w:val="bottom"/>
          </w:tcPr>
          <w:p>
            <w:pPr>
              <w:spacing w:after="0"/>
              <w:rPr>
                <w:sz w:val="20"/>
                <w:szCs w:val="20"/>
                <w:color w:val="auto"/>
              </w:rPr>
            </w:pPr>
            <w:r>
              <w:rPr>
                <w:rFonts w:ascii="Arial" w:cs="Arial" w:eastAsia="Arial" w:hAnsi="Arial"/>
                <w:sz w:val="16"/>
                <w:szCs w:val="16"/>
                <w:color w:val="auto"/>
              </w:rPr>
              <w:t>Post-closing adjustment, net of cash received</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Cash acquired</w:t>
            </w:r>
          </w:p>
        </w:tc>
        <w:tc>
          <w:tcPr>
            <w:tcW w:w="5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(4,064)</w:t>
            </w:r>
          </w:p>
        </w:tc>
        <w:tc>
          <w:tcPr>
            <w:tcW w:w="0" w:type="dxa"/>
            <w:vAlign w:val="bottom"/>
          </w:tcPr>
          <w:p>
            <w:pPr>
              <w:spacing w:after="0"/>
              <w:rPr>
                <w:sz w:val="1"/>
                <w:szCs w:val="1"/>
                <w:color w:val="auto"/>
              </w:rPr>
            </w:pPr>
          </w:p>
        </w:tc>
      </w:tr>
      <w:tr>
        <w:trPr>
          <w:trHeight w:val="205"/>
        </w:trPr>
        <w:tc>
          <w:tcPr>
            <w:tcW w:w="9580" w:type="dxa"/>
            <w:vAlign w:val="bottom"/>
          </w:tcPr>
          <w:p>
            <w:pPr>
              <w:ind w:left="120"/>
              <w:spacing w:after="0"/>
              <w:rPr>
                <w:sz w:val="20"/>
                <w:szCs w:val="20"/>
                <w:color w:val="auto"/>
              </w:rPr>
            </w:pPr>
            <w:r>
              <w:rPr>
                <w:rFonts w:ascii="Arial" w:cs="Arial" w:eastAsia="Arial" w:hAnsi="Arial"/>
                <w:sz w:val="16"/>
                <w:szCs w:val="16"/>
                <w:color w:val="auto"/>
              </w:rPr>
              <w:t>Net consideration paid</w:t>
            </w:r>
          </w:p>
        </w:tc>
        <w:tc>
          <w:tcPr>
            <w:tcW w:w="5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Fair value of existing equity interest in NurseGrid</w:t>
            </w:r>
          </w:p>
        </w:tc>
        <w:tc>
          <w:tcPr>
            <w:tcW w:w="5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580" w:type="dxa"/>
            <w:vAlign w:val="bottom"/>
          </w:tcPr>
          <w:p>
            <w:pPr>
              <w:ind w:left="260"/>
              <w:spacing w:after="0"/>
              <w:rPr>
                <w:sz w:val="20"/>
                <w:szCs w:val="20"/>
                <w:color w:val="auto"/>
              </w:rPr>
            </w:pPr>
            <w:r>
              <w:rPr>
                <w:rFonts w:ascii="Arial" w:cs="Arial" w:eastAsia="Arial" w:hAnsi="Arial"/>
                <w:sz w:val="16"/>
                <w:szCs w:val="16"/>
                <w:color w:val="auto"/>
              </w:rPr>
              <w:t>Net consideration paid</w:t>
            </w: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80" w:type="dxa"/>
            <w:vAlign w:val="bottom"/>
            <w:vMerge w:val="restart"/>
          </w:tcPr>
          <w:p>
            <w:pPr>
              <w:spacing w:after="0"/>
              <w:rPr>
                <w:sz w:val="20"/>
                <w:szCs w:val="20"/>
                <w:color w:val="auto"/>
              </w:rPr>
            </w:pPr>
            <w:r>
              <w:rPr>
                <w:rFonts w:ascii="Arial" w:cs="Arial" w:eastAsia="Arial" w:hAnsi="Arial"/>
                <w:sz w:val="17"/>
                <w:szCs w:val="17"/>
                <w:color w:val="212529"/>
                <w:w w:val="94"/>
              </w:rPr>
              <w:t>The following table summarizes the fair value of the assets acquired and liabilities assumed as of the date of acquisition (in thousands):</w:t>
            </w: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5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Accounts and unbilled receivable, net</w:t>
            </w: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580" w:type="dxa"/>
            <w:vAlign w:val="bottom"/>
          </w:tcPr>
          <w:p>
            <w:pPr>
              <w:spacing w:after="0"/>
              <w:rPr>
                <w:sz w:val="20"/>
                <w:szCs w:val="20"/>
                <w:color w:val="auto"/>
              </w:rPr>
            </w:pPr>
            <w:r>
              <w:rPr>
                <w:rFonts w:ascii="Arial" w:cs="Arial" w:eastAsia="Arial" w:hAnsi="Arial"/>
                <w:sz w:val="16"/>
                <w:szCs w:val="16"/>
                <w:color w:val="auto"/>
              </w:rPr>
              <w:t>Prepaid and other current assets</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580" w:type="dxa"/>
            <w:vAlign w:val="bottom"/>
          </w:tcPr>
          <w:p>
            <w:pPr>
              <w:spacing w:after="0"/>
              <w:rPr>
                <w:sz w:val="20"/>
                <w:szCs w:val="20"/>
                <w:color w:val="auto"/>
              </w:rPr>
            </w:pPr>
            <w:r>
              <w:rPr>
                <w:rFonts w:ascii="Arial" w:cs="Arial" w:eastAsia="Arial" w:hAnsi="Arial"/>
                <w:sz w:val="16"/>
                <w:szCs w:val="16"/>
                <w:color w:val="auto"/>
              </w:rPr>
              <w:t>Deferred tax assets</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580" w:type="dxa"/>
            <w:vAlign w:val="bottom"/>
          </w:tcPr>
          <w:p>
            <w:pPr>
              <w:spacing w:after="0"/>
              <w:rPr>
                <w:sz w:val="20"/>
                <w:szCs w:val="20"/>
                <w:color w:val="auto"/>
              </w:rPr>
            </w:pPr>
            <w:r>
              <w:rPr>
                <w:rFonts w:ascii="Arial" w:cs="Arial" w:eastAsia="Arial" w:hAnsi="Arial"/>
                <w:sz w:val="16"/>
                <w:szCs w:val="16"/>
                <w:color w:val="auto"/>
              </w:rPr>
              <w:t>Intangible assets</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 and accrued liabilities</w:t>
            </w:r>
          </w:p>
        </w:tc>
        <w:tc>
          <w:tcPr>
            <w:tcW w:w="5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1"/>
        </w:trPr>
        <w:tc>
          <w:tcPr>
            <w:tcW w:w="9580" w:type="dxa"/>
            <w:vAlign w:val="bottom"/>
          </w:tcPr>
          <w:p>
            <w:pPr>
              <w:spacing w:after="0"/>
              <w:rPr>
                <w:sz w:val="20"/>
                <w:szCs w:val="20"/>
                <w:color w:val="auto"/>
              </w:rPr>
            </w:pPr>
            <w:r>
              <w:rPr>
                <w:rFonts w:ascii="Arial" w:cs="Arial" w:eastAsia="Arial" w:hAnsi="Arial"/>
                <w:sz w:val="16"/>
                <w:szCs w:val="16"/>
                <w:color w:val="auto"/>
              </w:rPr>
              <w:t>Deferred revenue</w:t>
            </w:r>
          </w:p>
        </w:tc>
        <w:tc>
          <w:tcPr>
            <w:tcW w:w="5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7"/>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5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5"/>
        </w:trPr>
        <w:tc>
          <w:tcPr>
            <w:tcW w:w="9580" w:type="dxa"/>
            <w:vAlign w:val="bottom"/>
          </w:tcPr>
          <w:p>
            <w:pPr>
              <w:ind w:left="260"/>
              <w:spacing w:after="0"/>
              <w:rPr>
                <w:sz w:val="20"/>
                <w:szCs w:val="20"/>
                <w:color w:val="auto"/>
              </w:rPr>
            </w:pPr>
            <w:r>
              <w:rPr>
                <w:rFonts w:ascii="Arial" w:cs="Arial" w:eastAsia="Arial" w:hAnsi="Arial"/>
                <w:sz w:val="16"/>
                <w:szCs w:val="16"/>
                <w:color w:val="auto"/>
              </w:rPr>
              <w:t>Net assets acquired</w:t>
            </w: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excess of purchase price over the fair values of net tangible and intangible assets is recorded as goodwill. The fair values of tangible and identifiable intangible assets and liabilities are based on management’s estimates and assumptions. The primary intangible assets acquired were developed technology and trade name. The fair value estimate for developed technology intangible asset included significant assumptions, including the estimate of employee hours that would be needed to recreate the technology. The fair value estimate for trade name intangible asset included significant assumptions in the prospective financial information, such as projected revenues, royalty rate, and the discount rate. Additionally, these assumptions are forward looking and could be affected by future economic and market conditions. The goodwill balance is primarily attributed to the assembled workforce, future market opportunities to engage and support the NurseGrid Mobile user community, and expected synergies from integrating NurseGrid with other combined functional areas within the Company. The goodwill balance is not deductible for U.S. income tax purposes. The net tangible assets include deferred revenue, which was adjusted down from a book value at the acquisition date of $157,000 to an estimated fair value of $78,000. The $79,000 write-down of deferred revenue will result in lower revenues than would have otherwise been recognized for such services.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212529"/>
        </w:rPr>
        <w:t>The following table sets forth the components of identifiable intangible assets and their estimated useful lives as of the acquisition date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Fair value</w:t>
            </w:r>
          </w:p>
        </w:tc>
        <w:tc>
          <w:tcPr>
            <w:tcW w:w="28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Useful life</w:t>
            </w:r>
          </w:p>
        </w:tc>
      </w:tr>
      <w:tr>
        <w:trPr>
          <w:trHeight w:val="210"/>
        </w:trPr>
        <w:tc>
          <w:tcPr>
            <w:tcW w:w="8220" w:type="dxa"/>
            <w:vAlign w:val="bottom"/>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 years</w:t>
            </w:r>
          </w:p>
        </w:tc>
      </w:tr>
      <w:tr>
        <w:trPr>
          <w:trHeight w:val="211"/>
        </w:trPr>
        <w:tc>
          <w:tcPr>
            <w:tcW w:w="8220" w:type="dxa"/>
            <w:vAlign w:val="bottom"/>
          </w:tcPr>
          <w:p>
            <w:pPr>
              <w:spacing w:after="0"/>
              <w:rPr>
                <w:sz w:val="20"/>
                <w:szCs w:val="20"/>
                <w:color w:val="auto"/>
              </w:rPr>
            </w:pPr>
            <w:r>
              <w:rPr>
                <w:rFonts w:ascii="Arial" w:cs="Arial" w:eastAsia="Arial" w:hAnsi="Arial"/>
                <w:sz w:val="16"/>
                <w:szCs w:val="16"/>
                <w:color w:val="auto"/>
              </w:rPr>
              <w:t>Developed technology</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1,110</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 years</w:t>
            </w:r>
          </w:p>
        </w:tc>
      </w:tr>
      <w:tr>
        <w:trPr>
          <w:trHeight w:val="217"/>
        </w:trPr>
        <w:tc>
          <w:tcPr>
            <w:tcW w:w="8220" w:type="dxa"/>
            <w:vAlign w:val="bottom"/>
            <w:shd w:val="clear" w:color="auto" w:fill="CFF0FC"/>
          </w:tcPr>
          <w:p>
            <w:pPr>
              <w:spacing w:after="0"/>
              <w:rPr>
                <w:sz w:val="20"/>
                <w:szCs w:val="20"/>
                <w:color w:val="auto"/>
              </w:rPr>
            </w:pPr>
            <w:r>
              <w:rPr>
                <w:rFonts w:ascii="Arial" w:cs="Arial" w:eastAsia="Arial" w:hAnsi="Arial"/>
                <w:sz w:val="16"/>
                <w:szCs w:val="16"/>
                <w:color w:val="auto"/>
              </w:rPr>
              <w:t>Trade name</w:t>
            </w: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700</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Indefinite</w:t>
            </w:r>
          </w:p>
        </w:tc>
      </w:tr>
      <w:tr>
        <w:trPr>
          <w:trHeight w:val="205"/>
        </w:trPr>
        <w:tc>
          <w:tcPr>
            <w:tcW w:w="8220" w:type="dxa"/>
            <w:vAlign w:val="bottom"/>
          </w:tcPr>
          <w:p>
            <w:pPr>
              <w:ind w:left="120"/>
              <w:spacing w:after="0"/>
              <w:rPr>
                <w:sz w:val="20"/>
                <w:szCs w:val="20"/>
                <w:color w:val="auto"/>
              </w:rPr>
            </w:pPr>
            <w:r>
              <w:rPr>
                <w:rFonts w:ascii="Arial" w:cs="Arial" w:eastAsia="Arial" w:hAnsi="Arial"/>
                <w:sz w:val="16"/>
                <w:szCs w:val="16"/>
                <w:color w:val="auto"/>
              </w:rPr>
              <w:t>Total intangible assets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12529"/>
        </w:rPr>
        <w:t>The following unaudited pro forma financial information summarizes the results of operations of the Company and NurseGrid as though the companies were combined as of January 1, 2019 (in thousands, except per share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7"/>
                <w:szCs w:val="17"/>
                <w:color w:val="auto"/>
              </w:rPr>
            </w:pPr>
          </w:p>
        </w:tc>
        <w:tc>
          <w:tcPr>
            <w:tcW w:w="2160" w:type="dxa"/>
            <w:vAlign w:val="bottom"/>
            <w:gridSpan w:val="5"/>
          </w:tcPr>
          <w:p>
            <w:pPr>
              <w:ind w:left="28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2"/>
        </w:trPr>
        <w:tc>
          <w:tcPr>
            <w:tcW w:w="4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80" w:type="dxa"/>
            <w:vAlign w:val="bottom"/>
            <w:tcBorders>
              <w:bottom w:val="single" w:sz="8" w:color="CFF0FC"/>
            </w:tcBorders>
          </w:tcPr>
          <w:p>
            <w:pPr>
              <w:spacing w:after="0"/>
              <w:rPr>
                <w:sz w:val="18"/>
                <w:szCs w:val="18"/>
                <w:color w:val="auto"/>
              </w:rPr>
            </w:pPr>
          </w:p>
        </w:tc>
        <w:tc>
          <w:tcPr>
            <w:tcW w:w="2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Total revenues</w:t>
            </w:r>
          </w:p>
        </w:tc>
        <w:tc>
          <w:tcPr>
            <w:tcW w:w="2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64,816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60,588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128,289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income</w:t>
            </w:r>
          </w:p>
        </w:tc>
        <w:tc>
          <w:tcPr>
            <w:tcW w:w="2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180" w:type="dxa"/>
            <w:vAlign w:val="bottom"/>
            <w:vMerge w:val="continue"/>
          </w:tcPr>
          <w:p>
            <w:pPr>
              <w:spacing w:after="0"/>
              <w:rPr>
                <w:sz w:val="18"/>
                <w:szCs w:val="18"/>
                <w:color w:val="auto"/>
              </w:rPr>
            </w:pPr>
          </w:p>
        </w:tc>
        <w:tc>
          <w:tcPr>
            <w:tcW w:w="2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2,441</w:t>
            </w:r>
          </w:p>
        </w:tc>
        <w:tc>
          <w:tcPr>
            <w:tcW w:w="2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3,469</w:t>
            </w:r>
          </w:p>
        </w:tc>
        <w:tc>
          <w:tcPr>
            <w:tcW w:w="2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4,736</w:t>
            </w:r>
          </w:p>
        </w:tc>
        <w:tc>
          <w:tcPr>
            <w:tcW w:w="2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9,994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Net income per share - basic</w:t>
            </w: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180" w:type="dxa"/>
            <w:vAlign w:val="bottom"/>
            <w:vMerge w:val="continue"/>
            <w:shd w:val="clear" w:color="auto" w:fill="CFF0FC"/>
          </w:tcPr>
          <w:p>
            <w:pPr>
              <w:spacing w:after="0"/>
              <w:rPr>
                <w:sz w:val="16"/>
                <w:szCs w:val="16"/>
                <w:color w:val="auto"/>
              </w:rPr>
            </w:pPr>
          </w:p>
        </w:tc>
        <w:tc>
          <w:tcPr>
            <w:tcW w:w="2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0.08</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0.11</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0.15</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income per share - diluted</w:t>
            </w:r>
          </w:p>
        </w:tc>
        <w:tc>
          <w:tcPr>
            <w:tcW w:w="2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180" w:type="dxa"/>
            <w:vAlign w:val="bottom"/>
            <w:vMerge w:val="continue"/>
          </w:tcPr>
          <w:p>
            <w:pPr>
              <w:spacing w:after="0"/>
              <w:rPr>
                <w:sz w:val="16"/>
                <w:szCs w:val="16"/>
                <w:color w:val="auto"/>
              </w:rPr>
            </w:pPr>
          </w:p>
        </w:tc>
        <w:tc>
          <w:tcPr>
            <w:tcW w:w="2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0.08</w:t>
            </w:r>
          </w:p>
        </w:tc>
        <w:tc>
          <w:tcPr>
            <w:tcW w:w="240" w:type="dxa"/>
            <w:vAlign w:val="bottom"/>
          </w:tcPr>
          <w:p>
            <w:pPr>
              <w:spacing w:after="0"/>
              <w:rPr>
                <w:sz w:val="16"/>
                <w:szCs w:val="16"/>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0.11</w:t>
            </w:r>
          </w:p>
        </w:tc>
        <w:tc>
          <w:tcPr>
            <w:tcW w:w="26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0.15</w:t>
            </w:r>
          </w:p>
        </w:tc>
        <w:tc>
          <w:tcPr>
            <w:tcW w:w="24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212529"/>
        </w:rPr>
        <w:t xml:space="preserve">These unaudited pro forma combined results of operations include certain adjustments arising from the acquisition, such as amortization of intangible assets, depreciation of property and equipment, </w:t>
      </w:r>
      <w:r>
        <w:rPr>
          <w:rFonts w:ascii="Arial" w:cs="Arial" w:eastAsia="Arial" w:hAnsi="Arial"/>
          <w:sz w:val="15"/>
          <w:szCs w:val="15"/>
          <w:color w:val="000000"/>
        </w:rPr>
        <w:t>interest expense related to NurseGrid’s previously outstanding debt, and fair value adjustments of acquired deferred revenue balances</w:t>
      </w:r>
      <w:r>
        <w:rPr>
          <w:rFonts w:ascii="Arial" w:cs="Arial" w:eastAsia="Arial" w:hAnsi="Arial"/>
          <w:sz w:val="15"/>
          <w:szCs w:val="15"/>
          <w:color w:val="212529"/>
        </w:rPr>
        <w:t>. The unaudited pro forma combined results of operations is for informational purposes only and is not indicative of what the Company’s results of operations would have been had the transaction occurred at the beginning of the earliest period presented or to project the Company’s results of operations in any future period.</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ShiftWizard</w:t>
      </w:r>
    </w:p>
    <w:p>
      <w:pPr>
        <w:spacing w:after="0" w:line="11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On October 12, 2020, the Company acquired all of the outstanding stock of ShiftWizard, Inc., a Raleigh, North Carolina-based healthcare technology company offering a SaaS-based solution that integrates key workforce management capabilities, including scheduling, productivity, and forecasting. The consideration paid for ShiftWizard consisted of $30.5 million in cash </w:t>
      </w:r>
      <w:r>
        <w:rPr>
          <w:rFonts w:ascii="Arial" w:cs="Arial" w:eastAsia="Arial" w:hAnsi="Arial"/>
          <w:sz w:val="16"/>
          <w:szCs w:val="16"/>
          <w:color w:val="212529"/>
        </w:rPr>
        <w:t>after giving effect to the</w:t>
      </w:r>
      <w:r>
        <w:rPr>
          <w:rFonts w:ascii="Arial" w:cs="Arial" w:eastAsia="Arial" w:hAnsi="Arial"/>
          <w:sz w:val="16"/>
          <w:szCs w:val="16"/>
          <w:color w:val="auto"/>
        </w:rPr>
        <w:t xml:space="preserve"> post-closing working capital adjustment. Acquisition-related transaction costs were $0.3 million. The financial results of ShiftWizard have been included in the Workforce Solutions segment from October 12, 2020.</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assets acquired and liabilities assumed as of the date of acquisition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20" w:type="dxa"/>
            <w:vAlign w:val="bottom"/>
          </w:tcPr>
          <w:p>
            <w:pPr>
              <w:spacing w:after="0"/>
              <w:rPr>
                <w:sz w:val="20"/>
                <w:szCs w:val="20"/>
                <w:color w:val="auto"/>
              </w:rPr>
            </w:pPr>
            <w:r>
              <w:rPr>
                <w:rFonts w:ascii="Arial" w:cs="Arial" w:eastAsia="Arial" w:hAnsi="Arial"/>
                <w:sz w:val="16"/>
                <w:szCs w:val="16"/>
                <w:color w:val="auto"/>
              </w:rPr>
              <w:t>Cash</w:t>
            </w:r>
          </w:p>
        </w:tc>
        <w:tc>
          <w:tcPr>
            <w:tcW w:w="4060" w:type="dxa"/>
            <w:vAlign w:val="bottom"/>
            <w:gridSpan w:val="2"/>
          </w:tcPr>
          <w:p>
            <w:pPr>
              <w:jc w:val="right"/>
              <w:ind w:right="7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Accounts and unbilled receivable, net</w:t>
            </w:r>
          </w:p>
        </w:tc>
        <w:tc>
          <w:tcPr>
            <w:tcW w:w="3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20" w:type="dxa"/>
            <w:vAlign w:val="bottom"/>
          </w:tcPr>
          <w:p>
            <w:pPr>
              <w:spacing w:after="0"/>
              <w:rPr>
                <w:sz w:val="20"/>
                <w:szCs w:val="20"/>
                <w:color w:val="auto"/>
              </w:rPr>
            </w:pPr>
            <w:r>
              <w:rPr>
                <w:rFonts w:ascii="Arial" w:cs="Arial" w:eastAsia="Arial" w:hAnsi="Arial"/>
                <w:sz w:val="16"/>
                <w:szCs w:val="16"/>
                <w:color w:val="auto"/>
              </w:rPr>
              <w:t>Prepaid assets</w:t>
            </w:r>
          </w:p>
        </w:tc>
        <w:tc>
          <w:tcPr>
            <w:tcW w:w="3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3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3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Indemnification assets</w:t>
            </w:r>
          </w:p>
        </w:tc>
        <w:tc>
          <w:tcPr>
            <w:tcW w:w="3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20" w:type="dxa"/>
            <w:vAlign w:val="bottom"/>
          </w:tcPr>
          <w:p>
            <w:pPr>
              <w:spacing w:after="0"/>
              <w:rPr>
                <w:sz w:val="20"/>
                <w:szCs w:val="20"/>
                <w:color w:val="auto"/>
              </w:rPr>
            </w:pPr>
            <w:r>
              <w:rPr>
                <w:rFonts w:ascii="Arial" w:cs="Arial" w:eastAsia="Arial" w:hAnsi="Arial"/>
                <w:sz w:val="16"/>
                <w:szCs w:val="16"/>
                <w:color w:val="auto"/>
              </w:rPr>
              <w:t>Goodwill</w:t>
            </w:r>
          </w:p>
        </w:tc>
        <w:tc>
          <w:tcPr>
            <w:tcW w:w="3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19,307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w:t>
            </w:r>
          </w:p>
        </w:tc>
        <w:tc>
          <w:tcPr>
            <w:tcW w:w="3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20" w:type="dxa"/>
            <w:vAlign w:val="bottom"/>
          </w:tcPr>
          <w:p>
            <w:pPr>
              <w:spacing w:after="0"/>
              <w:rPr>
                <w:sz w:val="20"/>
                <w:szCs w:val="20"/>
                <w:color w:val="auto"/>
              </w:rPr>
            </w:pPr>
            <w:r>
              <w:rPr>
                <w:rFonts w:ascii="Arial" w:cs="Arial" w:eastAsia="Arial" w:hAnsi="Arial"/>
                <w:sz w:val="16"/>
                <w:szCs w:val="16"/>
                <w:color w:val="auto"/>
              </w:rPr>
              <w:t>Accounts payable and accrued liabilities</w:t>
            </w:r>
          </w:p>
        </w:tc>
        <w:tc>
          <w:tcPr>
            <w:tcW w:w="3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7"/>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Deferred revenue</w:t>
            </w:r>
          </w:p>
        </w:tc>
        <w:tc>
          <w:tcPr>
            <w:tcW w:w="3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(1,601)</w:t>
            </w:r>
          </w:p>
        </w:tc>
        <w:tc>
          <w:tcPr>
            <w:tcW w:w="0" w:type="dxa"/>
            <w:vAlign w:val="bottom"/>
          </w:tcPr>
          <w:p>
            <w:pPr>
              <w:spacing w:after="0"/>
              <w:rPr>
                <w:sz w:val="1"/>
                <w:szCs w:val="1"/>
                <w:color w:val="auto"/>
              </w:rPr>
            </w:pPr>
          </w:p>
        </w:tc>
      </w:tr>
      <w:tr>
        <w:trPr>
          <w:trHeight w:val="211"/>
        </w:trPr>
        <w:tc>
          <w:tcPr>
            <w:tcW w:w="5820" w:type="dxa"/>
            <w:vAlign w:val="bottom"/>
          </w:tcPr>
          <w:p>
            <w:pPr>
              <w:spacing w:after="0"/>
              <w:rPr>
                <w:sz w:val="20"/>
                <w:szCs w:val="20"/>
                <w:color w:val="auto"/>
              </w:rPr>
            </w:pPr>
            <w:r>
              <w:rPr>
                <w:rFonts w:ascii="Arial" w:cs="Arial" w:eastAsia="Arial" w:hAnsi="Arial"/>
                <w:sz w:val="16"/>
                <w:szCs w:val="16"/>
                <w:color w:val="auto"/>
              </w:rPr>
              <w:t>Deferred tax liability</w:t>
            </w:r>
          </w:p>
        </w:tc>
        <w:tc>
          <w:tcPr>
            <w:tcW w:w="3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(1,559)</w:t>
            </w:r>
          </w:p>
        </w:tc>
        <w:tc>
          <w:tcPr>
            <w:tcW w:w="0" w:type="dxa"/>
            <w:vAlign w:val="bottom"/>
          </w:tcPr>
          <w:p>
            <w:pPr>
              <w:spacing w:after="0"/>
              <w:rPr>
                <w:sz w:val="1"/>
                <w:szCs w:val="1"/>
                <w:color w:val="auto"/>
              </w:rPr>
            </w:pPr>
          </w:p>
        </w:tc>
      </w:tr>
      <w:tr>
        <w:trPr>
          <w:trHeight w:val="217"/>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3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1"/>
        </w:trPr>
        <w:tc>
          <w:tcPr>
            <w:tcW w:w="5820" w:type="dxa"/>
            <w:vAlign w:val="bottom"/>
          </w:tcPr>
          <w:p>
            <w:pPr>
              <w:spacing w:after="0"/>
              <w:rPr>
                <w:sz w:val="20"/>
                <w:szCs w:val="20"/>
                <w:color w:val="auto"/>
              </w:rPr>
            </w:pPr>
            <w:r>
              <w:rPr>
                <w:rFonts w:ascii="Arial" w:cs="Arial" w:eastAsia="Arial" w:hAnsi="Arial"/>
                <w:sz w:val="16"/>
                <w:szCs w:val="16"/>
                <w:color w:val="auto"/>
              </w:rPr>
              <w:t>Indemnification liability</w:t>
            </w:r>
          </w:p>
        </w:tc>
        <w:tc>
          <w:tcPr>
            <w:tcW w:w="3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assets acquired</w:t>
            </w:r>
          </w:p>
        </w:tc>
        <w:tc>
          <w:tcPr>
            <w:tcW w:w="3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20" w:type="dxa"/>
            <w:vAlign w:val="bottom"/>
            <w:vMerge w:val="continue"/>
            <w:shd w:val="clear" w:color="auto" w:fill="CFF0FC"/>
          </w:tcPr>
          <w:p>
            <w:pPr>
              <w:spacing w:after="0"/>
              <w:rPr>
                <w:sz w:val="18"/>
                <w:szCs w:val="18"/>
                <w:color w:val="auto"/>
              </w:rPr>
            </w:pPr>
          </w:p>
        </w:tc>
        <w:tc>
          <w:tcPr>
            <w:tcW w:w="4060" w:type="dxa"/>
            <w:vAlign w:val="bottom"/>
            <w:gridSpan w:val="2"/>
            <w:shd w:val="clear" w:color="auto" w:fill="CFF0FC"/>
          </w:tcPr>
          <w:p>
            <w:pPr>
              <w:jc w:val="right"/>
              <w:ind w:right="7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3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excess of purchase price over the fair values of net tangible and intangible assets is recorded as goodwill. The fair values of tangible and identifiable intangible assets and liabilities are based on management’s estimates and assumptions. Included in the assets and liabilities is an indemnification asset and liability of $0.5 million associated with a Paycheck Protection Program loan pending forgiveness as of the acquisition date that was subsequently forgiven. The primary intangible assets acquired were customer relationships and developed technology. The fair value estimate for customer relationships intangible asset included significant assumptions in the prospective financial information, such as revenue growth, customer attrition, EBITDA margin, and the discount rate. The fair value estimate for developed technology intangible asset included significant assumptions, including the estimate of employee hours that would be needed to recreate the technology. Additionally, these assumptions are forward looking and could be affected by future economic and market conditions. The goodwill balance is primarily attributed to the assembled workforce, additional market opportunities from offering ShiftWizard products, and expected synergies from integrating ShiftWizard with other products or other combined functional areas within the Company. The goodwill balance is not deductible for U.S. income tax purposes. The net tangible assets include deferred revenue, which was adjusted down from a book value at the acquisition date of $2.7 million to an estimated fair value of $1.6 million. The $1.1 million write-down of deferred revenue will result in lower revenues than would have otherwise been recognized for such services.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identifiable intangible assets and their estimated useful lives as of the acquisition date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80" w:type="dxa"/>
            <w:vAlign w:val="bottom"/>
            <w:tcBorders>
              <w:bottom w:val="single" w:sz="8" w:color="CFF0FC"/>
            </w:tcBorders>
          </w:tcPr>
          <w:p>
            <w:pPr>
              <w:spacing w:after="0"/>
              <w:rPr>
                <w:sz w:val="15"/>
                <w:szCs w:val="15"/>
                <w:color w:val="auto"/>
              </w:rPr>
            </w:pPr>
          </w:p>
        </w:tc>
        <w:tc>
          <w:tcPr>
            <w:tcW w:w="276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Fair Value</w:t>
            </w: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1840" w:type="dxa"/>
            <w:vAlign w:val="bottom"/>
            <w:tcBorders>
              <w:bottom w:val="single" w:sz="8" w:color="auto"/>
            </w:tcBorders>
          </w:tcPr>
          <w:p>
            <w:pPr>
              <w:jc w:val="right"/>
              <w:ind w:right="521"/>
              <w:spacing w:after="0"/>
              <w:rPr>
                <w:sz w:val="20"/>
                <w:szCs w:val="20"/>
                <w:color w:val="auto"/>
              </w:rPr>
            </w:pPr>
            <w:r>
              <w:rPr>
                <w:rFonts w:ascii="Arial" w:cs="Arial" w:eastAsia="Arial" w:hAnsi="Arial"/>
                <w:sz w:val="15"/>
                <w:szCs w:val="15"/>
                <w:b w:val="1"/>
                <w:bCs w:val="1"/>
                <w:color w:val="auto"/>
              </w:rPr>
              <w:t>Useful life</w:t>
            </w:r>
          </w:p>
        </w:tc>
      </w:tr>
      <w:tr>
        <w:trPr>
          <w:trHeight w:val="208"/>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3960" w:type="dxa"/>
            <w:vAlign w:val="bottom"/>
            <w:gridSpan w:val="2"/>
            <w:shd w:val="clear" w:color="auto" w:fill="CFF0FC"/>
          </w:tcPr>
          <w:p>
            <w:pPr>
              <w:jc w:val="right"/>
              <w:ind w:right="1044"/>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7,800</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 years</w:t>
            </w:r>
          </w:p>
        </w:tc>
      </w:tr>
      <w:tr>
        <w:trPr>
          <w:trHeight w:val="211"/>
        </w:trPr>
        <w:tc>
          <w:tcPr>
            <w:tcW w:w="4680" w:type="dxa"/>
            <w:vAlign w:val="bottom"/>
          </w:tcPr>
          <w:p>
            <w:pPr>
              <w:spacing w:after="0"/>
              <w:rPr>
                <w:sz w:val="20"/>
                <w:szCs w:val="20"/>
                <w:color w:val="auto"/>
              </w:rPr>
            </w:pPr>
            <w:r>
              <w:rPr>
                <w:rFonts w:ascii="Arial" w:cs="Arial" w:eastAsia="Arial" w:hAnsi="Arial"/>
                <w:sz w:val="16"/>
                <w:szCs w:val="16"/>
                <w:color w:val="auto"/>
              </w:rPr>
              <w:t>Developed technology</w:t>
            </w:r>
          </w:p>
        </w:tc>
        <w:tc>
          <w:tcPr>
            <w:tcW w:w="2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4,050</w:t>
            </w: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 years</w:t>
            </w:r>
          </w:p>
        </w:tc>
      </w:tr>
      <w:tr>
        <w:trPr>
          <w:trHeight w:val="217"/>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Non-compete</w:t>
            </w:r>
          </w:p>
        </w:tc>
        <w:tc>
          <w:tcPr>
            <w:tcW w:w="27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580</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1 - 5 years</w:t>
            </w:r>
          </w:p>
        </w:tc>
      </w:tr>
      <w:tr>
        <w:trPr>
          <w:trHeight w:val="211"/>
        </w:trPr>
        <w:tc>
          <w:tcPr>
            <w:tcW w:w="4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Trade name</w:t>
            </w:r>
          </w:p>
        </w:tc>
        <w:tc>
          <w:tcPr>
            <w:tcW w:w="2760" w:type="dxa"/>
            <w:vAlign w:val="bottom"/>
            <w:tcBorders>
              <w:bottom w:val="single" w:sz="8" w:color="CFF0FC"/>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280" w:type="dxa"/>
            <w:vAlign w:val="bottom"/>
            <w:tcBorders>
              <w:bottom w:val="single" w:sz="8" w:color="CFF0FC"/>
            </w:tcBorders>
          </w:tcPr>
          <w:p>
            <w:pPr>
              <w:spacing w:after="0"/>
              <w:rPr>
                <w:sz w:val="18"/>
                <w:szCs w:val="18"/>
                <w:color w:val="auto"/>
              </w:rPr>
            </w:pPr>
          </w:p>
        </w:tc>
        <w:tc>
          <w:tcPr>
            <w:tcW w:w="1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 years</w:t>
            </w:r>
          </w:p>
        </w:tc>
      </w:tr>
      <w:tr>
        <w:trPr>
          <w:trHeight w:val="208"/>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intangible assets</w:t>
            </w:r>
          </w:p>
        </w:tc>
        <w:tc>
          <w:tcPr>
            <w:tcW w:w="3960" w:type="dxa"/>
            <w:vAlign w:val="bottom"/>
            <w:gridSpan w:val="2"/>
            <w:shd w:val="clear" w:color="auto" w:fill="CFF0FC"/>
          </w:tcPr>
          <w:p>
            <w:pPr>
              <w:jc w:val="right"/>
              <w:ind w:right="1044"/>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12,660</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276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CFF0FC"/>
            </w:tcBorders>
          </w:tcPr>
          <w:p>
            <w:pPr>
              <w:spacing w:after="0" w:line="20" w:lineRule="exact"/>
              <w:rPr>
                <w:sz w:val="1"/>
                <w:szCs w:val="1"/>
                <w:color w:val="auto"/>
              </w:rPr>
            </w:pPr>
          </w:p>
        </w:tc>
      </w:tr>
    </w:tbl>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unaudited pro forma financial information summarizes the results of operations of the Company and ShiftWizard as though the companies were combined as of January 1, 2019 (in thousands, except per share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520" w:type="dxa"/>
            <w:vAlign w:val="bottom"/>
          </w:tcPr>
          <w:p>
            <w:pPr>
              <w:spacing w:after="0"/>
              <w:rPr>
                <w:sz w:val="17"/>
                <w:szCs w:val="17"/>
                <w:color w:val="auto"/>
              </w:rPr>
            </w:pPr>
          </w:p>
        </w:tc>
        <w:tc>
          <w:tcPr>
            <w:tcW w:w="220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5"/>
          </w:tcPr>
          <w:p>
            <w:pPr>
              <w:ind w:left="44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6"/>
                <w:szCs w:val="16"/>
                <w:b w:val="1"/>
                <w:bCs w:val="1"/>
                <w:color w:val="auto"/>
              </w:rPr>
              <w:t>June 30,</w:t>
            </w:r>
          </w:p>
        </w:tc>
        <w:tc>
          <w:tcPr>
            <w:tcW w:w="4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Total revenues</w:t>
            </w:r>
          </w:p>
        </w:tc>
        <w:tc>
          <w:tcPr>
            <w:tcW w:w="760" w:type="dxa"/>
            <w:vAlign w:val="bottom"/>
            <w:shd w:val="clear" w:color="auto" w:fill="CFF0FC"/>
          </w:tcPr>
          <w:p>
            <w:pPr>
              <w:jc w:val="right"/>
              <w:ind w:right="603"/>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5"/>
              </w:rPr>
              <w:t>64,981</w:t>
            </w:r>
          </w:p>
        </w:tc>
        <w:tc>
          <w:tcPr>
            <w:tcW w:w="1000" w:type="dxa"/>
            <w:vAlign w:val="bottom"/>
            <w:gridSpan w:val="2"/>
            <w:shd w:val="clear" w:color="auto" w:fill="CFF0FC"/>
          </w:tcPr>
          <w:p>
            <w:pPr>
              <w:jc w:val="right"/>
              <w:ind w:right="6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61,543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128,700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124,119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income</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520" w:type="dxa"/>
            <w:vAlign w:val="bottom"/>
            <w:vMerge w:val="continue"/>
          </w:tcPr>
          <w:p>
            <w:pPr>
              <w:spacing w:after="0"/>
              <w:rPr>
                <w:sz w:val="18"/>
                <w:szCs w:val="18"/>
                <w:color w:val="auto"/>
              </w:rPr>
            </w:pP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2,580</w:t>
            </w:r>
          </w:p>
        </w:tc>
        <w:tc>
          <w:tcPr>
            <w:tcW w:w="100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3,076</w:t>
            </w:r>
          </w:p>
        </w:tc>
        <w:tc>
          <w:tcPr>
            <w:tcW w:w="2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5,073</w:t>
            </w:r>
          </w:p>
        </w:tc>
        <w:tc>
          <w:tcPr>
            <w:tcW w:w="2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9,816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Net income per share - basic</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520" w:type="dxa"/>
            <w:vAlign w:val="bottom"/>
            <w:vMerge w:val="continue"/>
            <w:shd w:val="clear" w:color="auto" w:fill="CFF0FC"/>
          </w:tcPr>
          <w:p>
            <w:pPr>
              <w:spacing w:after="0"/>
              <w:rPr>
                <w:sz w:val="16"/>
                <w:szCs w:val="16"/>
                <w:color w:val="auto"/>
              </w:rPr>
            </w:pPr>
          </w:p>
        </w:tc>
        <w:tc>
          <w:tcPr>
            <w:tcW w:w="760" w:type="dxa"/>
            <w:vAlign w:val="bottom"/>
            <w:shd w:val="clear" w:color="auto" w:fill="CFF0FC"/>
          </w:tcPr>
          <w:p>
            <w:pPr>
              <w:jc w:val="right"/>
              <w:ind w:right="603"/>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0.08</w:t>
            </w:r>
          </w:p>
        </w:tc>
        <w:tc>
          <w:tcPr>
            <w:tcW w:w="1000" w:type="dxa"/>
            <w:vAlign w:val="bottom"/>
            <w:gridSpan w:val="2"/>
            <w:shd w:val="clear" w:color="auto" w:fill="CFF0FC"/>
          </w:tcPr>
          <w:p>
            <w:pPr>
              <w:jc w:val="right"/>
              <w:ind w:right="6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0.10</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0.16</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income per share - diluted</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520" w:type="dxa"/>
            <w:vAlign w:val="bottom"/>
            <w:vMerge w:val="continue"/>
          </w:tcPr>
          <w:p>
            <w:pPr>
              <w:spacing w:after="0"/>
              <w:rPr>
                <w:sz w:val="16"/>
                <w:szCs w:val="16"/>
                <w:color w:val="auto"/>
              </w:rPr>
            </w:pP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0.08</w:t>
            </w:r>
          </w:p>
        </w:tc>
        <w:tc>
          <w:tcPr>
            <w:tcW w:w="100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0.10</w:t>
            </w:r>
          </w:p>
        </w:tc>
        <w:tc>
          <w:tcPr>
            <w:tcW w:w="240" w:type="dxa"/>
            <w:vAlign w:val="bottom"/>
          </w:tcPr>
          <w:p>
            <w:pPr>
              <w:spacing w:after="0"/>
              <w:rPr>
                <w:sz w:val="16"/>
                <w:szCs w:val="16"/>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0.16</w:t>
            </w:r>
          </w:p>
        </w:tc>
        <w:tc>
          <w:tcPr>
            <w:tcW w:w="240" w:type="dxa"/>
            <w:vAlign w:val="bottom"/>
          </w:tcPr>
          <w:p>
            <w:pPr>
              <w:spacing w:after="0"/>
              <w:rPr>
                <w:sz w:val="16"/>
                <w:szCs w:val="16"/>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These unaudited pro forma combined results of operations include certain adjustments arising from the acquisition, such as amortization of intangible assets, depreciation of property and equipment, and fair value adjustments of acquired deferred revenue balances. The unaudited pro forma combined results of operations is for informational purposes only and is not indicative of what the Company’s results of operations would have been had the transaction occurred at the beginning of the earliest period presented or to project the Company’s results of operations in any future period.</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ANSOS</w:t>
      </w:r>
      <w:r>
        <w:rPr>
          <w:rFonts w:ascii="Arial" w:cs="Arial" w:eastAsia="Arial" w:hAnsi="Arial"/>
          <w:sz w:val="24"/>
          <w:szCs w:val="24"/>
          <w:b w:val="1"/>
          <w:bCs w:val="1"/>
          <w:i w:val="1"/>
          <w:iCs w:val="1"/>
          <w:color w:val="auto"/>
          <w:vertAlign w:val="superscript"/>
        </w:rPr>
        <w:t>TM</w:t>
      </w:r>
      <w:r>
        <w:rPr>
          <w:rFonts w:ascii="Arial" w:cs="Arial" w:eastAsia="Arial" w:hAnsi="Arial"/>
          <w:sz w:val="17"/>
          <w:szCs w:val="17"/>
          <w:b w:val="1"/>
          <w:bCs w:val="1"/>
          <w:i w:val="1"/>
          <w:iCs w:val="1"/>
          <w:color w:val="auto"/>
        </w:rPr>
        <w:t xml:space="preserve"> Staff Scheduling application</w:t>
      </w:r>
    </w:p>
    <w:p>
      <w:pPr>
        <w:spacing w:after="0" w:line="46"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On December 2, 2020, the Company acquired all of the equity interests of Change Healthcare’s staff scheduling business, consisting of the ANSOS</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Staff Scheduling application and related products (ANSOS). The consideration paid for ANSOS was $66.4 million in cash, after giving effect to the post-closing working capital adjustment. Acquisition-related transaction costs were $1.2 million. The financial results of ANSOS have been included in the Workforce Solutions segment from December 2, 2020.</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preliminary fair value of the assets acquired and liabilities assumed as of the date of acquisition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040" w:type="dxa"/>
            <w:vAlign w:val="bottom"/>
          </w:tcPr>
          <w:p>
            <w:pPr>
              <w:spacing w:after="0"/>
              <w:rPr>
                <w:sz w:val="20"/>
                <w:szCs w:val="20"/>
                <w:color w:val="auto"/>
              </w:rPr>
            </w:pPr>
            <w:r>
              <w:rPr>
                <w:rFonts w:ascii="Arial" w:cs="Arial" w:eastAsia="Arial" w:hAnsi="Arial"/>
                <w:sz w:val="16"/>
                <w:szCs w:val="16"/>
                <w:color w:val="auto"/>
              </w:rPr>
              <w:t>Cash</w:t>
            </w: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1,599</w:t>
            </w:r>
          </w:p>
        </w:tc>
        <w:tc>
          <w:tcPr>
            <w:tcW w:w="120" w:type="dxa"/>
            <w:vAlign w:val="bottom"/>
          </w:tcPr>
          <w:p>
            <w:pPr>
              <w:spacing w:after="0"/>
              <w:rPr>
                <w:sz w:val="18"/>
                <w:szCs w:val="18"/>
                <w:color w:val="auto"/>
              </w:rPr>
            </w:pPr>
          </w:p>
        </w:tc>
      </w:tr>
      <w:tr>
        <w:trPr>
          <w:trHeight w:val="217"/>
        </w:trPr>
        <w:tc>
          <w:tcPr>
            <w:tcW w:w="9040" w:type="dxa"/>
            <w:vAlign w:val="bottom"/>
            <w:shd w:val="clear" w:color="auto" w:fill="CFF0FC"/>
          </w:tcPr>
          <w:p>
            <w:pPr>
              <w:spacing w:after="0"/>
              <w:rPr>
                <w:sz w:val="20"/>
                <w:szCs w:val="20"/>
                <w:color w:val="auto"/>
              </w:rPr>
            </w:pPr>
            <w:r>
              <w:rPr>
                <w:rFonts w:ascii="Arial" w:cs="Arial" w:eastAsia="Arial" w:hAnsi="Arial"/>
                <w:sz w:val="16"/>
                <w:szCs w:val="16"/>
                <w:color w:val="auto"/>
              </w:rPr>
              <w:t>Accounts and unbilled receivable, net</w:t>
            </w:r>
          </w:p>
        </w:tc>
        <w:tc>
          <w:tcPr>
            <w:tcW w:w="8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10,053</w:t>
            </w:r>
          </w:p>
        </w:tc>
        <w:tc>
          <w:tcPr>
            <w:tcW w:w="120" w:type="dxa"/>
            <w:vAlign w:val="bottom"/>
            <w:shd w:val="clear" w:color="auto" w:fill="CFF0FC"/>
          </w:tcPr>
          <w:p>
            <w:pPr>
              <w:spacing w:after="0"/>
              <w:rPr>
                <w:sz w:val="18"/>
                <w:szCs w:val="18"/>
                <w:color w:val="auto"/>
              </w:rPr>
            </w:pPr>
          </w:p>
        </w:tc>
      </w:tr>
      <w:tr>
        <w:trPr>
          <w:trHeight w:val="211"/>
        </w:trPr>
        <w:tc>
          <w:tcPr>
            <w:tcW w:w="9040" w:type="dxa"/>
            <w:vAlign w:val="bottom"/>
          </w:tcPr>
          <w:p>
            <w:pPr>
              <w:spacing w:after="0"/>
              <w:rPr>
                <w:sz w:val="20"/>
                <w:szCs w:val="20"/>
                <w:color w:val="auto"/>
              </w:rPr>
            </w:pPr>
            <w:r>
              <w:rPr>
                <w:rFonts w:ascii="Arial" w:cs="Arial" w:eastAsia="Arial" w:hAnsi="Arial"/>
                <w:sz w:val="16"/>
                <w:szCs w:val="16"/>
                <w:color w:val="auto"/>
              </w:rPr>
              <w:t>Prepaid assets</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r>
      <w:tr>
        <w:trPr>
          <w:trHeight w:val="217"/>
        </w:trPr>
        <w:tc>
          <w:tcPr>
            <w:tcW w:w="904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8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888</w:t>
            </w:r>
          </w:p>
        </w:tc>
        <w:tc>
          <w:tcPr>
            <w:tcW w:w="120" w:type="dxa"/>
            <w:vAlign w:val="bottom"/>
            <w:shd w:val="clear" w:color="auto" w:fill="CFF0FC"/>
          </w:tcPr>
          <w:p>
            <w:pPr>
              <w:spacing w:after="0"/>
              <w:rPr>
                <w:sz w:val="18"/>
                <w:szCs w:val="18"/>
                <w:color w:val="auto"/>
              </w:rPr>
            </w:pPr>
          </w:p>
        </w:tc>
      </w:tr>
      <w:tr>
        <w:trPr>
          <w:trHeight w:val="211"/>
        </w:trPr>
        <w:tc>
          <w:tcPr>
            <w:tcW w:w="9040" w:type="dxa"/>
            <w:vAlign w:val="bottom"/>
          </w:tcPr>
          <w:p>
            <w:pPr>
              <w:spacing w:after="0"/>
              <w:rPr>
                <w:sz w:val="20"/>
                <w:szCs w:val="20"/>
                <w:color w:val="auto"/>
              </w:rPr>
            </w:pPr>
            <w:r>
              <w:rPr>
                <w:rFonts w:ascii="Arial" w:cs="Arial" w:eastAsia="Arial" w:hAnsi="Arial"/>
                <w:sz w:val="16"/>
                <w:szCs w:val="16"/>
                <w:color w:val="auto"/>
              </w:rPr>
              <w:t>Property and equipment</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r>
      <w:tr>
        <w:trPr>
          <w:trHeight w:val="217"/>
        </w:trPr>
        <w:tc>
          <w:tcPr>
            <w:tcW w:w="904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8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2,883</w:t>
            </w:r>
          </w:p>
        </w:tc>
        <w:tc>
          <w:tcPr>
            <w:tcW w:w="120" w:type="dxa"/>
            <w:vAlign w:val="bottom"/>
            <w:shd w:val="clear" w:color="auto" w:fill="CFF0FC"/>
          </w:tcPr>
          <w:p>
            <w:pPr>
              <w:spacing w:after="0"/>
              <w:rPr>
                <w:sz w:val="18"/>
                <w:szCs w:val="18"/>
                <w:color w:val="auto"/>
              </w:rPr>
            </w:pPr>
          </w:p>
        </w:tc>
      </w:tr>
      <w:tr>
        <w:trPr>
          <w:trHeight w:val="211"/>
        </w:trPr>
        <w:tc>
          <w:tcPr>
            <w:tcW w:w="9040" w:type="dxa"/>
            <w:vAlign w:val="bottom"/>
          </w:tcPr>
          <w:p>
            <w:pPr>
              <w:spacing w:after="0"/>
              <w:rPr>
                <w:sz w:val="20"/>
                <w:szCs w:val="20"/>
                <w:color w:val="auto"/>
              </w:rPr>
            </w:pPr>
            <w:r>
              <w:rPr>
                <w:rFonts w:ascii="Arial" w:cs="Arial" w:eastAsia="Arial" w:hAnsi="Arial"/>
                <w:sz w:val="16"/>
                <w:szCs w:val="16"/>
                <w:color w:val="auto"/>
              </w:rPr>
              <w:t>Indemnification asset</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2,029</w:t>
            </w:r>
          </w:p>
        </w:tc>
        <w:tc>
          <w:tcPr>
            <w:tcW w:w="120" w:type="dxa"/>
            <w:vAlign w:val="bottom"/>
          </w:tcPr>
          <w:p>
            <w:pPr>
              <w:spacing w:after="0"/>
              <w:rPr>
                <w:sz w:val="18"/>
                <w:szCs w:val="18"/>
                <w:color w:val="auto"/>
              </w:rPr>
            </w:pPr>
          </w:p>
        </w:tc>
      </w:tr>
      <w:tr>
        <w:trPr>
          <w:trHeight w:val="217"/>
        </w:trPr>
        <w:tc>
          <w:tcPr>
            <w:tcW w:w="904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8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36,800</w:t>
            </w:r>
          </w:p>
        </w:tc>
        <w:tc>
          <w:tcPr>
            <w:tcW w:w="120" w:type="dxa"/>
            <w:vAlign w:val="bottom"/>
            <w:shd w:val="clear" w:color="auto" w:fill="CFF0FC"/>
          </w:tcPr>
          <w:p>
            <w:pPr>
              <w:spacing w:after="0"/>
              <w:rPr>
                <w:sz w:val="18"/>
                <w:szCs w:val="18"/>
                <w:color w:val="auto"/>
              </w:rPr>
            </w:pPr>
          </w:p>
        </w:tc>
      </w:tr>
      <w:tr>
        <w:trPr>
          <w:trHeight w:val="211"/>
        </w:trPr>
        <w:tc>
          <w:tcPr>
            <w:tcW w:w="9040" w:type="dxa"/>
            <w:vAlign w:val="bottom"/>
          </w:tcPr>
          <w:p>
            <w:pPr>
              <w:spacing w:after="0"/>
              <w:rPr>
                <w:sz w:val="20"/>
                <w:szCs w:val="20"/>
                <w:color w:val="auto"/>
              </w:rPr>
            </w:pPr>
            <w:r>
              <w:rPr>
                <w:rFonts w:ascii="Arial" w:cs="Arial" w:eastAsia="Arial" w:hAnsi="Arial"/>
                <w:sz w:val="16"/>
                <w:szCs w:val="16"/>
                <w:color w:val="auto"/>
              </w:rPr>
              <w:t>Intangible assets</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32,440</w:t>
            </w:r>
          </w:p>
        </w:tc>
        <w:tc>
          <w:tcPr>
            <w:tcW w:w="120" w:type="dxa"/>
            <w:vAlign w:val="bottom"/>
          </w:tcPr>
          <w:p>
            <w:pPr>
              <w:spacing w:after="0"/>
              <w:rPr>
                <w:sz w:val="18"/>
                <w:szCs w:val="18"/>
                <w:color w:val="auto"/>
              </w:rPr>
            </w:pPr>
          </w:p>
        </w:tc>
      </w:tr>
      <w:tr>
        <w:trPr>
          <w:trHeight w:val="217"/>
        </w:trPr>
        <w:tc>
          <w:tcPr>
            <w:tcW w:w="904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 and accrued liabilities</w:t>
            </w:r>
          </w:p>
        </w:tc>
        <w:tc>
          <w:tcPr>
            <w:tcW w:w="8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(1,693)</w:t>
            </w:r>
          </w:p>
        </w:tc>
      </w:tr>
      <w:tr>
        <w:trPr>
          <w:trHeight w:val="211"/>
        </w:trPr>
        <w:tc>
          <w:tcPr>
            <w:tcW w:w="9040" w:type="dxa"/>
            <w:vAlign w:val="bottom"/>
          </w:tcPr>
          <w:p>
            <w:pPr>
              <w:spacing w:after="0"/>
              <w:rPr>
                <w:sz w:val="20"/>
                <w:szCs w:val="20"/>
                <w:color w:val="auto"/>
              </w:rPr>
            </w:pPr>
            <w:r>
              <w:rPr>
                <w:rFonts w:ascii="Arial" w:cs="Arial" w:eastAsia="Arial" w:hAnsi="Arial"/>
                <w:sz w:val="16"/>
                <w:szCs w:val="16"/>
                <w:color w:val="auto"/>
              </w:rPr>
              <w:t>Deferred revenue</w:t>
            </w:r>
          </w:p>
        </w:tc>
        <w:tc>
          <w:tcPr>
            <w:tcW w:w="8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(14,321)</w:t>
            </w:r>
          </w:p>
        </w:tc>
      </w:tr>
      <w:tr>
        <w:trPr>
          <w:trHeight w:val="217"/>
        </w:trPr>
        <w:tc>
          <w:tcPr>
            <w:tcW w:w="904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8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(888)</w:t>
            </w:r>
          </w:p>
        </w:tc>
      </w:tr>
      <w:tr>
        <w:trPr>
          <w:trHeight w:val="211"/>
        </w:trPr>
        <w:tc>
          <w:tcPr>
            <w:tcW w:w="9040" w:type="dxa"/>
            <w:vAlign w:val="bottom"/>
          </w:tcPr>
          <w:p>
            <w:pPr>
              <w:spacing w:after="0"/>
              <w:rPr>
                <w:sz w:val="20"/>
                <w:szCs w:val="20"/>
                <w:color w:val="auto"/>
              </w:rPr>
            </w:pPr>
            <w:r>
              <w:rPr>
                <w:rFonts w:ascii="Arial" w:cs="Arial" w:eastAsia="Arial" w:hAnsi="Arial"/>
                <w:sz w:val="16"/>
                <w:szCs w:val="16"/>
                <w:color w:val="auto"/>
              </w:rPr>
              <w:t>Deferred tax liability</w:t>
            </w:r>
          </w:p>
        </w:tc>
        <w:tc>
          <w:tcPr>
            <w:tcW w:w="8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(1,612)</w:t>
            </w:r>
          </w:p>
        </w:tc>
      </w:tr>
      <w:tr>
        <w:trPr>
          <w:trHeight w:val="217"/>
        </w:trPr>
        <w:tc>
          <w:tcPr>
            <w:tcW w:w="9040" w:type="dxa"/>
            <w:vAlign w:val="bottom"/>
            <w:shd w:val="clear" w:color="auto" w:fill="CFF0FC"/>
          </w:tcPr>
          <w:p>
            <w:pPr>
              <w:spacing w:after="0"/>
              <w:rPr>
                <w:sz w:val="20"/>
                <w:szCs w:val="20"/>
                <w:color w:val="auto"/>
              </w:rPr>
            </w:pPr>
            <w:r>
              <w:rPr>
                <w:rFonts w:ascii="Arial" w:cs="Arial" w:eastAsia="Arial" w:hAnsi="Arial"/>
                <w:sz w:val="16"/>
                <w:szCs w:val="16"/>
                <w:color w:val="auto"/>
              </w:rPr>
              <w:t>Uncertain tax position liability</w:t>
            </w:r>
          </w:p>
        </w:tc>
        <w:tc>
          <w:tcPr>
            <w:tcW w:w="8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(2,029)</w:t>
            </w:r>
          </w:p>
        </w:tc>
      </w:tr>
      <w:tr>
        <w:trPr>
          <w:trHeight w:val="205"/>
        </w:trPr>
        <w:tc>
          <w:tcPr>
            <w:tcW w:w="9040" w:type="dxa"/>
            <w:vAlign w:val="bottom"/>
          </w:tcPr>
          <w:p>
            <w:pPr>
              <w:ind w:left="500"/>
              <w:spacing w:after="0"/>
              <w:rPr>
                <w:sz w:val="20"/>
                <w:szCs w:val="20"/>
                <w:color w:val="auto"/>
              </w:rPr>
            </w:pPr>
            <w:r>
              <w:rPr>
                <w:rFonts w:ascii="Arial" w:cs="Arial" w:eastAsia="Arial" w:hAnsi="Arial"/>
                <w:sz w:val="16"/>
                <w:szCs w:val="16"/>
                <w:color w:val="auto"/>
              </w:rPr>
              <w:t>Net assets acquired</w:t>
            </w:r>
          </w:p>
        </w:tc>
        <w:tc>
          <w:tcPr>
            <w:tcW w:w="8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66,448</w:t>
            </w:r>
          </w:p>
        </w:tc>
        <w:tc>
          <w:tcPr>
            <w:tcW w:w="120" w:type="dxa"/>
            <w:vAlign w:val="bottom"/>
          </w:tcPr>
          <w:p>
            <w:pPr>
              <w:spacing w:after="0"/>
              <w:rPr>
                <w:sz w:val="17"/>
                <w:szCs w:val="17"/>
                <w:color w:val="auto"/>
              </w:rPr>
            </w:pPr>
          </w:p>
        </w:tc>
      </w:tr>
      <w:tr>
        <w:trPr>
          <w:trHeight w:val="20"/>
        </w:trPr>
        <w:tc>
          <w:tcPr>
            <w:tcW w:w="9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00"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The excess of purchase price over the preliminary fair values of net tangible and intangible assets is recorded as goodwill. The fair values of tangible and identifiable intangible assets and liabilities are based on management’s estimates and assumptions. The preliminary fair values of assets acquired and liabilities assumed continue to be subject to change during the measurement period (up to one year from the acquisition date) as the Company finalizes the valuation of these items. The primary areas of the preliminary purchase price allocation that are not finalized include the composition and valuation of income tax attributes and working capital accounts. Included in the preliminary assets and liabilities acquired is an indemnification asset and an uncertain tax position liability determined based on management’s estimate of the most likely value related to income tax attributes. During the six months ended June 30, 2021, the Company made adjustments to accounts receivable, deferred revenue, indemnification asset, uncertain tax position liability, and deferred tax assets based on updated information obtained since our preliminary estimates were made. As a result of these items, coupled with the impact of the post-closing working capital adjustment, the Company recorded a measurement period adjustment which increased goodwill by $1.5 million. The measurement period adjustment had no effect on current or prior period earnings. The primary intangible assets acquired were customer relationships and developed technology. The fair value estimate for customer relationships intangible asset included significant assumptions regarding prospective financial information with respect to the acquisition, including with respect to revenue growth, customer attrition, EBITDA margin, and the discount rate. The fair value estimate for developed technology intangible asset included significant assumptions, including the estimate of employee hours that would be needed to recreate the technology. Additionally, these assumptions are forward looking and could be affected by future economic and market conditions. The goodwill balance is primarily attributed to the assembled workforce, additional market opportunities from offering ANSOS products, and expected synergies from integrating ANSOS with other products or other combined functional areas within the Company.</w:t>
      </w:r>
    </w:p>
    <w:p>
      <w:pPr>
        <w:spacing w:after="0" w:line="14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portion of goodwill allocated to the U.S. entity is deductible for U.S. income tax purposes (representing 95%). The net tangible assets include deferred revenue, which was adjusted down from a book value at the acquisition date of $17.6 million to an estimated fair value of $14.3 million. The $3.3 million write-down of deferred revenue will result in lower revenues than would have otherwise been recognized for such services.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identifiable intangible assets and their estimated useful lives as of the acquisition date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Fair Value</w:t>
            </w: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1840" w:type="dxa"/>
            <w:vAlign w:val="bottom"/>
            <w:tcBorders>
              <w:bottom w:val="single" w:sz="8" w:color="auto"/>
            </w:tcBorders>
          </w:tcPr>
          <w:p>
            <w:pPr>
              <w:jc w:val="right"/>
              <w:ind w:right="521"/>
              <w:spacing w:after="0"/>
              <w:rPr>
                <w:sz w:val="20"/>
                <w:szCs w:val="20"/>
                <w:color w:val="auto"/>
              </w:rPr>
            </w:pPr>
            <w:r>
              <w:rPr>
                <w:rFonts w:ascii="Arial" w:cs="Arial" w:eastAsia="Arial" w:hAnsi="Arial"/>
                <w:sz w:val="15"/>
                <w:szCs w:val="15"/>
                <w:b w:val="1"/>
                <w:bCs w:val="1"/>
                <w:color w:val="auto"/>
              </w:rPr>
              <w:t>Useful life</w:t>
            </w:r>
          </w:p>
        </w:tc>
      </w:tr>
      <w:tr>
        <w:trPr>
          <w:trHeight w:val="208"/>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1200" w:type="dxa"/>
            <w:vAlign w:val="bottom"/>
            <w:shd w:val="clear" w:color="auto" w:fill="CFF0FC"/>
          </w:tcPr>
          <w:p>
            <w:pPr>
              <w:jc w:val="right"/>
              <w:ind w:right="104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21,100</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11 - 14 years</w:t>
            </w:r>
          </w:p>
        </w:tc>
      </w:tr>
      <w:tr>
        <w:trPr>
          <w:trHeight w:val="211"/>
        </w:trPr>
        <w:tc>
          <w:tcPr>
            <w:tcW w:w="7440" w:type="dxa"/>
            <w:vAlign w:val="bottom"/>
          </w:tcPr>
          <w:p>
            <w:pPr>
              <w:spacing w:after="0"/>
              <w:rPr>
                <w:sz w:val="20"/>
                <w:szCs w:val="20"/>
                <w:color w:val="auto"/>
              </w:rPr>
            </w:pPr>
            <w:r>
              <w:rPr>
                <w:rFonts w:ascii="Arial" w:cs="Arial" w:eastAsia="Arial" w:hAnsi="Arial"/>
                <w:sz w:val="16"/>
                <w:szCs w:val="16"/>
                <w:color w:val="auto"/>
              </w:rPr>
              <w:t>Developed technology</w:t>
            </w:r>
          </w:p>
        </w:tc>
        <w:tc>
          <w:tcPr>
            <w:tcW w:w="1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9,800</w:t>
            </w: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 years</w:t>
            </w:r>
          </w:p>
        </w:tc>
      </w:tr>
      <w:tr>
        <w:trPr>
          <w:trHeight w:val="217"/>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Trade name</w:t>
            </w:r>
          </w:p>
        </w:tc>
        <w:tc>
          <w:tcPr>
            <w:tcW w:w="12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1,540</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 years</w:t>
            </w:r>
          </w:p>
        </w:tc>
      </w:tr>
      <w:tr>
        <w:trPr>
          <w:trHeight w:val="205"/>
        </w:trPr>
        <w:tc>
          <w:tcPr>
            <w:tcW w:w="7440" w:type="dxa"/>
            <w:vAlign w:val="bottom"/>
          </w:tcPr>
          <w:p>
            <w:pPr>
              <w:ind w:left="500"/>
              <w:spacing w:after="0"/>
              <w:rPr>
                <w:sz w:val="20"/>
                <w:szCs w:val="20"/>
                <w:color w:val="auto"/>
              </w:rPr>
            </w:pPr>
            <w:r>
              <w:rPr>
                <w:rFonts w:ascii="Arial" w:cs="Arial" w:eastAsia="Arial" w:hAnsi="Arial"/>
                <w:sz w:val="16"/>
                <w:szCs w:val="16"/>
                <w:color w:val="auto"/>
              </w:rPr>
              <w:t>Total intangible assets</w:t>
            </w:r>
          </w:p>
        </w:tc>
        <w:tc>
          <w:tcPr>
            <w:tcW w:w="1200" w:type="dxa"/>
            <w:vAlign w:val="bottom"/>
            <w:tcBorders>
              <w:bottom w:val="single" w:sz="8" w:color="auto"/>
            </w:tcBorders>
          </w:tcPr>
          <w:p>
            <w:pPr>
              <w:jc w:val="right"/>
              <w:ind w:right="104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32,440</w:t>
            </w: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unaudited pro forma financial information summarizes the results of operations of the Company and ANSOS as though the companies were combined as of January 1, 2019 (in thousands, except per share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520" w:type="dxa"/>
            <w:vAlign w:val="bottom"/>
          </w:tcPr>
          <w:p>
            <w:pPr>
              <w:spacing w:after="0"/>
              <w:rPr>
                <w:sz w:val="17"/>
                <w:szCs w:val="17"/>
                <w:color w:val="auto"/>
              </w:rPr>
            </w:pPr>
          </w:p>
        </w:tc>
        <w:tc>
          <w:tcPr>
            <w:tcW w:w="220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5"/>
          </w:tcPr>
          <w:p>
            <w:pPr>
              <w:ind w:left="44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6"/>
                <w:szCs w:val="16"/>
                <w:b w:val="1"/>
                <w:bCs w:val="1"/>
                <w:color w:val="auto"/>
              </w:rPr>
              <w:t>June 30,</w:t>
            </w:r>
          </w:p>
        </w:tc>
        <w:tc>
          <w:tcPr>
            <w:tcW w:w="4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Total revenues</w:t>
            </w:r>
          </w:p>
        </w:tc>
        <w:tc>
          <w:tcPr>
            <w:tcW w:w="760" w:type="dxa"/>
            <w:vAlign w:val="bottom"/>
            <w:shd w:val="clear" w:color="auto" w:fill="CFF0FC"/>
          </w:tcPr>
          <w:p>
            <w:pPr>
              <w:jc w:val="right"/>
              <w:ind w:right="603"/>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5"/>
              </w:rPr>
              <w:t>65,653</w:t>
            </w:r>
          </w:p>
        </w:tc>
        <w:tc>
          <w:tcPr>
            <w:tcW w:w="1000" w:type="dxa"/>
            <w:vAlign w:val="bottom"/>
            <w:gridSpan w:val="2"/>
            <w:shd w:val="clear" w:color="auto" w:fill="CFF0FC"/>
          </w:tcPr>
          <w:p>
            <w:pPr>
              <w:jc w:val="right"/>
              <w:ind w:right="6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67,768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130,220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136,205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income</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520" w:type="dxa"/>
            <w:vAlign w:val="bottom"/>
            <w:vMerge w:val="continue"/>
          </w:tcPr>
          <w:p>
            <w:pPr>
              <w:spacing w:after="0"/>
              <w:rPr>
                <w:sz w:val="18"/>
                <w:szCs w:val="18"/>
                <w:color w:val="auto"/>
              </w:rPr>
            </w:pP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3,089</w:t>
            </w:r>
          </w:p>
        </w:tc>
        <w:tc>
          <w:tcPr>
            <w:tcW w:w="100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4,844</w:t>
            </w:r>
          </w:p>
        </w:tc>
        <w:tc>
          <w:tcPr>
            <w:tcW w:w="2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6,214</w:t>
            </w:r>
          </w:p>
        </w:tc>
        <w:tc>
          <w:tcPr>
            <w:tcW w:w="2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13,106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Net income per share - basic</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520" w:type="dxa"/>
            <w:vAlign w:val="bottom"/>
            <w:vMerge w:val="continue"/>
            <w:shd w:val="clear" w:color="auto" w:fill="CFF0FC"/>
          </w:tcPr>
          <w:p>
            <w:pPr>
              <w:spacing w:after="0"/>
              <w:rPr>
                <w:sz w:val="16"/>
                <w:szCs w:val="16"/>
                <w:color w:val="auto"/>
              </w:rPr>
            </w:pPr>
          </w:p>
        </w:tc>
        <w:tc>
          <w:tcPr>
            <w:tcW w:w="760" w:type="dxa"/>
            <w:vAlign w:val="bottom"/>
            <w:shd w:val="clear" w:color="auto" w:fill="CFF0FC"/>
          </w:tcPr>
          <w:p>
            <w:pPr>
              <w:jc w:val="right"/>
              <w:ind w:right="603"/>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0.10</w:t>
            </w:r>
          </w:p>
        </w:tc>
        <w:tc>
          <w:tcPr>
            <w:tcW w:w="1000" w:type="dxa"/>
            <w:vAlign w:val="bottom"/>
            <w:gridSpan w:val="2"/>
            <w:shd w:val="clear" w:color="auto" w:fill="CFF0FC"/>
          </w:tcPr>
          <w:p>
            <w:pPr>
              <w:jc w:val="right"/>
              <w:ind w:right="6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0.15</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0.20</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income per share - diluted</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520" w:type="dxa"/>
            <w:vAlign w:val="bottom"/>
            <w:vMerge w:val="continue"/>
          </w:tcPr>
          <w:p>
            <w:pPr>
              <w:spacing w:after="0"/>
              <w:rPr>
                <w:sz w:val="16"/>
                <w:szCs w:val="16"/>
                <w:color w:val="auto"/>
              </w:rPr>
            </w:pP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0.10</w:t>
            </w:r>
          </w:p>
        </w:tc>
        <w:tc>
          <w:tcPr>
            <w:tcW w:w="100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0.15</w:t>
            </w:r>
          </w:p>
        </w:tc>
        <w:tc>
          <w:tcPr>
            <w:tcW w:w="240" w:type="dxa"/>
            <w:vAlign w:val="bottom"/>
          </w:tcPr>
          <w:p>
            <w:pPr>
              <w:spacing w:after="0"/>
              <w:rPr>
                <w:sz w:val="16"/>
                <w:szCs w:val="16"/>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0.20</w:t>
            </w:r>
          </w:p>
        </w:tc>
        <w:tc>
          <w:tcPr>
            <w:tcW w:w="240" w:type="dxa"/>
            <w:vAlign w:val="bottom"/>
          </w:tcPr>
          <w:p>
            <w:pPr>
              <w:spacing w:after="0"/>
              <w:rPr>
                <w:sz w:val="16"/>
                <w:szCs w:val="16"/>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These unaudited pro forma combined results of operations include certain adjustments arising from the acquisition, such as amortization of intangible assets, depreciation of property and equipment, and fair value adjustments of acquired deferred revenue balances. The unaudited pro forma combined results of operations is for informational purposes only and is not indicative of what the Company’s results of operations would have been had the transaction occurred at the beginning of the earliest period presented or to project the Company’s results of operations in any future period.</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Business Combinations</w:t>
      </w:r>
    </w:p>
    <w:p>
      <w:pPr>
        <w:spacing w:after="0" w:line="1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December 10, 2020, the Company acquired substantially all of the assets of myClinicalExchange, LLC, a Denver, Colorado-based information technologies company offering a SaaS-based solution that allows healthcare organizations to track, manage, and report the intern and clinical rotation educational requirements of medical, nursing, and allied healthcare students as well as host required documentation for medical residents. The consideration paid for myClinicalExchange consisted of $4.4 million in cash. Acquisition-related transaction costs were $0.1 million. The acquisition is not considered material to the Company’s Financial Statements. The Company accounted for the acquisition as a business combination and has allocated the purchase consideration based on management’s estimates of fair value. The results of operations for myClinicalExchange are included in the Company’s Condensed Consolidated Financial Statements from the date of acquisition and are included in the Workforce Solutions segment.</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19, 2021, the Company acquired the issued and outstanding equity of ProcessDATA, Ltd. (d/b/a ComplyALIGN and HospitalPORTAL) (“ComplyALIGN”), a Chicago, Illinois-based healthcare technology company offering a SaaS-based policy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management system for healthcare organizations, for $2.0 million in cash. The acquisition is not considered material to the Company’s financial statements. The Company accounted for the acquisition as a business combination and has allocated the purchase consideration based on management’s estimates of fair value. Acquisition-related transaction costs were $0.1 million. The results of operations for ComplyALIGN are included in the Company’s Condensed Consolidated Financial Statements from the date of acquisition and are included in the Workforce Solutions segment.</w:t>
      </w:r>
    </w:p>
    <w:p>
      <w:pPr>
        <w:spacing w:after="0" w:line="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six months ended June 30, 2021, the carrying amount of goodwill increased by $3.1 million, consisting of a $1.5 million of measurement period adjustment related to ANSOS, $1.0 million of acquired goodwill related to ComplyALIGN, and $0.6 million for the effect of currency translation adjustments.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provides services to healthcare organizations and other members within the healthcare industry. The Company’s services are focused on the delivery of workforce training, certification, assessment, development, and scheduling products and services (Workforce Solutions) and provider credentialing, privileging, call center, and enrollment products and services (Provider Solutions).</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gains and losses from equity investments, and depreciation. The Unallocated component below includes corporate functions, such as accounting, human resources, legal, investor relations, information systems, administrative and executive personnel, depreciation, a portion of amortization, and certain other expenses, which are not currently allocated in measuring segment performance. The following is the Company’s business segment information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0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5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840" w:type="dxa"/>
            <w:vAlign w:val="bottom"/>
          </w:tcPr>
          <w:p>
            <w:pPr>
              <w:spacing w:after="0"/>
              <w:rPr>
                <w:sz w:val="20"/>
                <w:szCs w:val="20"/>
                <w:color w:val="auto"/>
              </w:rPr>
            </w:pPr>
            <w:r>
              <w:rPr>
                <w:rFonts w:ascii="Arial" w:cs="Arial" w:eastAsia="Arial" w:hAnsi="Arial"/>
                <w:sz w:val="14"/>
                <w:szCs w:val="14"/>
                <w:b w:val="1"/>
                <w:bCs w:val="1"/>
                <w:color w:val="auto"/>
              </w:rPr>
              <w:t>Revenues, net:</w:t>
            </w:r>
          </w:p>
        </w:tc>
        <w:tc>
          <w:tcPr>
            <w:tcW w:w="240" w:type="dxa"/>
            <w:vAlign w:val="bottom"/>
          </w:tcPr>
          <w:p>
            <w:pPr>
              <w:spacing w:after="0"/>
              <w:rPr>
                <w:sz w:val="19"/>
                <w:szCs w:val="19"/>
                <w:color w:val="auto"/>
              </w:rPr>
            </w:pPr>
          </w:p>
        </w:tc>
        <w:tc>
          <w:tcPr>
            <w:tcW w:w="880" w:type="dxa"/>
            <w:vAlign w:val="bottom"/>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94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52,158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48,888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103,405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98,712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Provider Solutions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11,665</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24,879</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 net</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64,816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60,553</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128,284</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122,125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9,222</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10,447</w:t>
            </w: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18,249</w:t>
            </w:r>
          </w:p>
        </w:tc>
        <w:tc>
          <w:tcPr>
            <w:tcW w:w="2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40" w:type="dxa"/>
            <w:vAlign w:val="bottom"/>
          </w:tcPr>
          <w:p>
            <w:pPr>
              <w:ind w:left="260"/>
              <w:spacing w:after="0"/>
              <w:rPr>
                <w:sz w:val="20"/>
                <w:szCs w:val="20"/>
                <w:color w:val="auto"/>
              </w:rPr>
            </w:pPr>
            <w:r>
              <w:rPr>
                <w:rFonts w:ascii="Arial" w:cs="Arial" w:eastAsia="Arial" w:hAnsi="Arial"/>
                <w:sz w:val="18"/>
                <w:szCs w:val="18"/>
                <w:color w:val="auto"/>
              </w:rPr>
              <w:t>Provider Solutions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4,221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(7,957)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(7,415)</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w w:val="92"/>
              </w:rPr>
              <w:t>(15,739)</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(14,739)</w:t>
            </w:r>
          </w:p>
        </w:tc>
        <w:tc>
          <w:tcPr>
            <w:tcW w:w="0" w:type="dxa"/>
            <w:vAlign w:val="bottom"/>
          </w:tcPr>
          <w:p>
            <w:pPr>
              <w:spacing w:after="0"/>
              <w:rPr>
                <w:sz w:val="1"/>
                <w:szCs w:val="1"/>
                <w:color w:val="auto"/>
              </w:rPr>
            </w:pPr>
          </w:p>
        </w:tc>
      </w:tr>
      <w:tr>
        <w:trPr>
          <w:trHeight w:val="221"/>
        </w:trPr>
        <w:tc>
          <w:tcPr>
            <w:tcW w:w="5840" w:type="dxa"/>
            <w:vAlign w:val="bottom"/>
          </w:tcPr>
          <w:p>
            <w:pPr>
              <w:ind w:left="500"/>
              <w:spacing w:after="0"/>
              <w:rPr>
                <w:sz w:val="20"/>
                <w:szCs w:val="20"/>
                <w:color w:val="auto"/>
              </w:rPr>
            </w:pPr>
            <w:r>
              <w:rPr>
                <w:rFonts w:ascii="Arial" w:cs="Arial" w:eastAsia="Arial" w:hAnsi="Arial"/>
                <w:sz w:val="18"/>
                <w:szCs w:val="18"/>
                <w:color w:val="auto"/>
              </w:rPr>
              <w:t>Total operating income</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6,731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5840" w:type="dxa"/>
            <w:vAlign w:val="bottom"/>
          </w:tcPr>
          <w:p>
            <w:pPr>
              <w:spacing w:after="0"/>
              <w:rPr>
                <w:sz w:val="20"/>
                <w:szCs w:val="20"/>
                <w:color w:val="auto"/>
              </w:rPr>
            </w:pPr>
            <w:r>
              <w:rPr>
                <w:rFonts w:ascii="Arial" w:cs="Arial" w:eastAsia="Arial" w:hAnsi="Arial"/>
                <w:sz w:val="14"/>
                <w:szCs w:val="14"/>
                <w:b w:val="1"/>
                <w:bCs w:val="1"/>
                <w:color w:val="auto"/>
              </w:rPr>
              <w:t>Segment assets *</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gridSpan w:val="4"/>
          </w:tcPr>
          <w:p>
            <w:pPr>
              <w:jc w:val="right"/>
              <w:ind w:right="367"/>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Pr>
          <w:p>
            <w:pPr>
              <w:spacing w:after="0"/>
              <w:rPr>
                <w:sz w:val="24"/>
                <w:szCs w:val="24"/>
                <w:color w:val="auto"/>
              </w:rPr>
            </w:pPr>
          </w:p>
        </w:tc>
        <w:tc>
          <w:tcPr>
            <w:tcW w:w="18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1"/>
        </w:trPr>
        <w:tc>
          <w:tcPr>
            <w:tcW w:w="58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8"/>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5"/>
              </w:rPr>
              <w:t>263,839</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270,924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40" w:type="dxa"/>
            <w:vAlign w:val="bottom"/>
          </w:tcPr>
          <w:p>
            <w:pPr>
              <w:ind w:left="260"/>
              <w:spacing w:after="0"/>
              <w:rPr>
                <w:sz w:val="20"/>
                <w:szCs w:val="20"/>
                <w:color w:val="auto"/>
              </w:rPr>
            </w:pPr>
            <w:r>
              <w:rPr>
                <w:rFonts w:ascii="Arial" w:cs="Arial" w:eastAsia="Arial" w:hAnsi="Arial"/>
                <w:sz w:val="18"/>
                <w:szCs w:val="18"/>
                <w:color w:val="auto"/>
              </w:rPr>
              <w:t>Provider Solutions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135,474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96,989</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4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ind w:right="748"/>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496,302</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jc w:val="both"/>
        <w:ind w:left="400" w:hanging="393"/>
        <w:spacing w:after="0" w:line="261"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Segment assets include accounts and unbilled receivables, prepaid royalties, prepaid and other current assets, other assets, capitalized software development, deferred commissions, certain property and equipment, goodwill, and intangible assets. Cash and cash equivalents, marketable securities, non-marketable equity investments, and certain ROU assets are not allocated to individual segments and are included within Unallocated. A significant portion of property and equipment assets are included within Unallocated.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28, 2020, the Company entered into a Third Amendment to Revolving Credit Agreement (Revolving Credit Facility), amending the Revolving Credit Facility dated as of November 24, 2014 with Truist Bank, successor by merger to SunTrust Bank (Truist), extending the maturity date to October 28, 2023. Under the Revolving Credit Facility, the Company may borrow up to $65.0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w:t>
      </w:r>
    </w:p>
    <w:p>
      <w:pPr>
        <w:spacing w:after="0" w:line="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At the Company’s election, the borrowings under the Revolving Credit Facility bear interest at either (1) a rate per annum equal to the highest of Truist’s prime rate or 0.5% in excess of the Federal Funds Rate or 1.0% in excess of one-month LIBOR (the Base Rate), plus an applicable margin, or (2) the one, two, three, or six-month per annum LIBOR for deposits in the applicable currency (the Eurocurrency Rate), as selected by the Company, plus an applicable margin. The applicable margin for Eurocurrency Rate loans depends on the Company’s funded debt leverage ratio and varies from 1.50% to 1.75%. The applicable margin for Base Rate loans depends on the Company’s funded debt leverage ratio and varies from 0.50% to 0.75%. Commitment fees and letter of credit fees are also payable under the Revolving Credit Facility. Principal is payable in full at maturity on October 28, 2023,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 The obligations under the Revolving Credit Facility are guaranteed by each of the Company’s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Revolving Credit Facility), and for stock repurchase and/or redemption transactions that the Company may authorize.</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114" w:lineRule="exact"/>
        <w:rPr>
          <w:sz w:val="20"/>
          <w:szCs w:val="20"/>
          <w:color w:val="auto"/>
        </w:rPr>
      </w:pPr>
    </w:p>
    <w:p>
      <w:pPr>
        <w:ind w:left="400" w:hanging="393"/>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funded debt leverage ratio (consolidated debt/consolidated EBITDA) of not greater than 3.0 to 1.0; and</w:t>
      </w:r>
    </w:p>
    <w:p>
      <w:pPr>
        <w:spacing w:after="0" w:line="114" w:lineRule="exact"/>
        <w:rPr>
          <w:rFonts w:ascii="Arial" w:cs="Arial" w:eastAsia="Arial" w:hAnsi="Arial"/>
          <w:sz w:val="18"/>
          <w:szCs w:val="18"/>
          <w:b w:val="1"/>
          <w:bCs w:val="1"/>
          <w:color w:val="auto"/>
        </w:rPr>
      </w:pPr>
    </w:p>
    <w:p>
      <w:pPr>
        <w:ind w:left="400" w:hanging="393"/>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an interest coverage ratio (consolidated EBITDA/consolidated interest expense) of not less than 3.0 to 1.0.</w:t>
      </w:r>
    </w:p>
    <w:p>
      <w:pPr>
        <w:spacing w:after="0" w:line="11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June 30, 2021, the Company was in compliance with all covenants. There were no balances outstanding on the Revolving Credit Facility as of or during the three and six months ended June 30, 2021.</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right="4200"/>
        <w:spacing w:after="0" w:line="277" w:lineRule="exact"/>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r>
        <w:rPr>
          <w:rFonts w:ascii="Arial" w:cs="Arial" w:eastAsia="Arial" w:hAnsi="Arial"/>
          <w:sz w:val="17"/>
          <w:szCs w:val="17"/>
          <w:b w:val="1"/>
          <w:bCs w:val="1"/>
          <w:color w:val="auto"/>
        </w:rPr>
        <w:t xml:space="preserve"> Special Cautionary Notice Regarding Forward</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Looking Statements</w:t>
      </w:r>
    </w:p>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2020, appearing in our Annual Report on Form 10-K that was filed with the Securities and Exchange Commission (“SEC”) on February 25, 2021 (the “2020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“projects,” “should,” “will,” “would,” and similar expressions are forward-looking statements.</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set forth above and the risks set forth under the caption Part I, Item 1A. Risk Factors in our 2020 Form 10-K and other disclosures in our 2020 Form 10-K, earnings releases and other filings with the SEC from time to time, as well as other cautionary statements contained elsewhere in this report, including our critical accounting policies and estimates as discussed in this report and our 2020 Form 10-K. We undertake no obligation to update or revise any forward-looking statements. You should read this report and the documents that we reference in this report and have filed as exhibits to this report completely and with the understanding that our actual future results may be materially different from what we currently expect.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HealthStream provides workforce and provider solutions for healthcare organizations—all designed to support the people that deliver patient care, which, in turn, supports the improvement of business and clinical outcomes. Delivered primarily as Software-as-a-Service (SaaS), our solutions focus on some of the most significant challenges facing the healthcare workforce and healthcare organizations today, including the need to effectively manage, retain, engage, schedule, and develop healthcare workforce talent; meet rigorous compliance requirements; and efficiently manage ongoing medical staff credentialing and privileging processes. HealthStream’s customers include healthcare organizations, pharmaceutical and medical device companies, and other participants in the healthcare industry. At June 30, 2021, we had approximately 4.52 million contracted subscriptions to hStream</w:t>
      </w:r>
      <w:r>
        <w:rPr>
          <w:rFonts w:ascii="Arial" w:cs="Arial" w:eastAsia="Arial" w:hAnsi="Arial"/>
          <w:sz w:val="14"/>
          <w:szCs w:val="14"/>
          <w:color w:val="auto"/>
        </w:rPr>
        <w:t>TM</w:t>
      </w:r>
      <w:r>
        <w:rPr>
          <w:rFonts w:ascii="Arial" w:cs="Arial" w:eastAsia="Arial" w:hAnsi="Arial"/>
          <w:sz w:val="17"/>
          <w:szCs w:val="17"/>
          <w:color w:val="auto"/>
        </w:rPr>
        <w:t>, our Platform-as-a-Service technology. hStream technology enables healthcare organizations and their respective workforces to easily connect to and gain value from the growing HealthStream ecosystem of applications, tools, and content.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Significant financial metrics for the second quarter of 2021 are set forth in the bullets below.</w:t>
      </w:r>
    </w:p>
    <w:p>
      <w:pPr>
        <w:spacing w:after="0" w:line="114" w:lineRule="exact"/>
        <w:rPr>
          <w:sz w:val="20"/>
          <w:szCs w:val="20"/>
          <w:color w:val="auto"/>
        </w:rPr>
      </w:pPr>
    </w:p>
    <w:p>
      <w:pPr>
        <w:ind w:left="400" w:right="20" w:hanging="393"/>
        <w:spacing w:after="0" w:line="271"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Revenues of $64.8 million in the second quarter of 2021, an increase of 7% from $60.6 million in the second quarter of 2020, offsetting a $9.7 million decline in legacy resuscitation revenues.</w:t>
      </w:r>
    </w:p>
    <w:p>
      <w:pPr>
        <w:spacing w:after="0" w:line="68" w:lineRule="exact"/>
        <w:rPr>
          <w:rFonts w:ascii="Arial" w:cs="Arial" w:eastAsia="Arial" w:hAnsi="Arial"/>
          <w:sz w:val="18"/>
          <w:szCs w:val="18"/>
          <w:color w:val="auto"/>
        </w:rPr>
      </w:pPr>
    </w:p>
    <w:p>
      <w:pPr>
        <w:ind w:left="400" w:hanging="393"/>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of $3.4 million in the second quarter of 2021, down 20% from $4.3 million in the second quarter of 2020.</w:t>
      </w:r>
    </w:p>
    <w:p>
      <w:pPr>
        <w:spacing w:after="0" w:line="114" w:lineRule="exact"/>
        <w:rPr>
          <w:rFonts w:ascii="Arial" w:cs="Arial" w:eastAsia="Arial" w:hAnsi="Arial"/>
          <w:sz w:val="18"/>
          <w:szCs w:val="18"/>
          <w:color w:val="auto"/>
        </w:rPr>
      </w:pPr>
    </w:p>
    <w:p>
      <w:pPr>
        <w:ind w:left="400" w:hanging="393"/>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of $2.4 million in the second quarter of 2021, down 29% from $3.4 million in the second quarter of 2020.</w:t>
      </w:r>
    </w:p>
    <w:p>
      <w:pPr>
        <w:spacing w:after="0" w:line="114" w:lineRule="exact"/>
        <w:rPr>
          <w:rFonts w:ascii="Arial" w:cs="Arial" w:eastAsia="Arial" w:hAnsi="Arial"/>
          <w:sz w:val="18"/>
          <w:szCs w:val="18"/>
          <w:color w:val="auto"/>
        </w:rPr>
      </w:pPr>
    </w:p>
    <w:p>
      <w:pPr>
        <w:ind w:left="400" w:hanging="393"/>
        <w:spacing w:after="0" w:line="271"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Earnings per share (“EPS”) of $0.08 per share (diluted) in the second quarter of 2021 compared to $0.11 per share (diluted) in the second quarter of 2020.</w:t>
      </w:r>
    </w:p>
    <w:p>
      <w:pPr>
        <w:spacing w:after="0" w:line="68" w:lineRule="exact"/>
        <w:rPr>
          <w:rFonts w:ascii="Arial" w:cs="Arial" w:eastAsia="Arial" w:hAnsi="Arial"/>
          <w:sz w:val="18"/>
          <w:szCs w:val="18"/>
          <w:color w:val="auto"/>
        </w:rPr>
      </w:pPr>
    </w:p>
    <w:p>
      <w:pPr>
        <w:ind w:left="400" w:hanging="393"/>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7"/>
          <w:szCs w:val="27"/>
          <w:color w:val="auto"/>
          <w:vertAlign w:val="superscript"/>
        </w:rPr>
        <w:t>1</w:t>
      </w:r>
      <w:r>
        <w:rPr>
          <w:rFonts w:ascii="Arial" w:cs="Arial" w:eastAsia="Arial" w:hAnsi="Arial"/>
          <w:sz w:val="18"/>
          <w:szCs w:val="18"/>
          <w:color w:val="auto"/>
        </w:rPr>
        <w:t xml:space="preserve"> of $14.5 million in the second quarter of 2021, up 20% from $12.1 million in the second quarter of 2020.</w:t>
      </w:r>
    </w:p>
    <w:p>
      <w:pPr>
        <w:spacing w:after="0" w:line="19" w:lineRule="exact"/>
        <w:rPr>
          <w:sz w:val="20"/>
          <w:szCs w:val="20"/>
          <w:color w:val="auto"/>
        </w:rPr>
      </w:pPr>
    </w:p>
    <w:p>
      <w:pPr>
        <w:ind w:left="400" w:hanging="393"/>
        <w:spacing w:after="0" w:line="235" w:lineRule="auto"/>
        <w:tabs>
          <w:tab w:leader="none" w:pos="4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EBITDA is a non-GAAP financial measure. A reconciliation of adjusted EBITDA to net income and disclosure regarding why we believe adjusted EBITDA provides useful information to investors is included later in this report.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Impact of and Response to COVID-19 Pandemic</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COVID-19 pandemic, which spread throughout the world and the United States during 2020, resulted in a significant economic downturn. As vaccines have become more available, the number of COVID-19 cases has declined in the United States and various other countries in comparison to their highest levels earlier in pandemic, and economic conditions have generally improved. However, uncertainty remains regarding the extent, timing, and duration of the pandemic, including the extent to which the availability of these vaccines will positively impact public health conditions and whether new, potentially more contagious and/or virulent strains of the COVID-19 virus, including possible strains that may be resistant to currently available vaccines, may pose additional public health risks. The pandemic continues to cause uncertainty and potential economic volatility, including with regard to the pandemic’s various and unpredictable impacts on our healthcare customers and our business. Recent surges in COVID-19 cases, particularly in connection with the Delta variant, could leave to a corollary increase in risk and volatility.</w:t>
      </w:r>
    </w:p>
    <w:p>
      <w:pPr>
        <w:spacing w:after="0" w:line="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is focused on providing workforce and provider solutions to healthcare organizations, and as such, the pandemic’s adverse impact on healthcare organizations has resulted in an adverse impact on our Company. Although we believe that COVID-19 did not have a significant negative impact on our revenues or net income during 2020, we believe that it began to have a negative impact on our revenues during the six months ended June 30, 2021. Additionally, certain developments related to COVID-19 have negatively impacted and are expected to continue to negatively impact our business during the remainder of 2021 and potentially thereafter, as described below. In particular, sales cycles have been delayed or postponed such that declines in sales bookings by customers during 2020 and the six months ended June 30, 2021 will result in a negative impact to revenue and potentially to earnings during the remainder of 2021 and potentially thereafter.</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operating results have benefited from a temporary reduction of operating expenses related to COVID-19 conditions, but the operating expense reduction itself—despite its positive impact on operating income and adjusted EBITDA—is indicative of the negative impact the pandemic has had, and may continue to have on new bookings and renewals. We have experienced, and expect to continue to experience, delayed and reduced bookings and renewals due to the pandemic. Given that we sell multiple year subscriptions to our solutions, the revenue impact of lost or delayed sales in a given period generally does not manifest until future periods, just as the revenue we recognize in a given period is generally the result of sales from a prior period. Since mid-March 2020, our sales organization has had limited opportunities to travel and conduct onsite sales meetings with existing or prospective customers, and we have also cancelled in-person tradeshows, which typically generate future sales opportunities. As a result, operating income and adjusted EBITDA benefitted from a $1.2 million reduction in operating expense related to travel restrictions during the first six months of 2021 compared to the first six months of 2020.</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travel restrictions lessen and travel begins to accelerate, we expect operating expenses associated with them to have a negative impact on operating income and EBITDA for the second half of 2021 and do not expect revenue generated from such activities to begin offsetting such increases to operating expenses until next year. However, the uncertain trajectory of COVID-19 may impact when and to what extent normal operating expenses, including expenses related sales travel and in-person tradeshows, accelerate or remain abated.</w:t>
      </w:r>
    </w:p>
    <w:p>
      <w:pPr>
        <w:spacing w:after="0" w:line="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closely monitor developments related to COVID-19 that may have an adverse impact on our operational and financial performance. We also continue to take actions focused on the safety and well-being of our employees, assisting our customers in this time of need, and mitigating operational and financial impacts to our business. We intend to continue serving our customers both in their battle to defeat the coronavirus and across the continuum of their other workforce and provider solution needs.</w:t>
      </w:r>
    </w:p>
    <w:p>
      <w:pPr>
        <w:spacing w:after="0" w:line="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to promote the safety and well-being of our employees, we required our entire workforce to begin working remotely from home beginning March 16, 2020, and the entire workforce continues to work remotely to date. We have established safety protocols and dates in the third quarter of 2021 for each of our offices to re-open; however, we will be offering our employees the option to work under a hybrid model of working either in our offices or remotely, or a combination of both.</w:t>
      </w:r>
    </w:p>
    <w:p>
      <w:pPr>
        <w:spacing w:after="0" w:line="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Many healthcare organizations have been, and may continue to be, substantially adversely impacted by the COVID-19 pandemic. The period of time over which this adverse impact continues, the extent to which certain healthcare organizations continue to receive and/or are eligible to utilize governmental funds as the result of federal stimulus and relief measures, and ongoing public health conditions related to the pandemic are important factors that may impact our business.</w:t>
      </w:r>
    </w:p>
    <w:p>
      <w:pPr>
        <w:spacing w:after="0" w:line="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light of adverse developments with respect to healthcare organizations as noted above, we are continuing to monitor the ability or willingness of our customers to:</w:t>
      </w:r>
    </w:p>
    <w:p>
      <w:pPr>
        <w:spacing w:after="0" w:line="68" w:lineRule="exact"/>
        <w:rPr>
          <w:sz w:val="20"/>
          <w:szCs w:val="20"/>
          <w:color w:val="auto"/>
        </w:rPr>
      </w:pPr>
    </w:p>
    <w:p>
      <w:pPr>
        <w:ind w:left="780" w:hanging="385"/>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for our solutions in a timely manner, in full, or at all;</w:t>
      </w:r>
    </w:p>
    <w:p>
      <w:pPr>
        <w:spacing w:after="0" w:line="20" w:lineRule="exact"/>
        <w:rPr>
          <w:rFonts w:ascii="Arial" w:cs="Arial" w:eastAsia="Arial" w:hAnsi="Arial"/>
          <w:sz w:val="18"/>
          <w:szCs w:val="18"/>
          <w:color w:val="auto"/>
        </w:rPr>
      </w:pPr>
    </w:p>
    <w:p>
      <w:pPr>
        <w:ind w:left="780" w:hanging="385"/>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 solutions they have purchased from us; and</w:t>
      </w:r>
    </w:p>
    <w:p>
      <w:pPr>
        <w:spacing w:after="0" w:line="20" w:lineRule="exact"/>
        <w:rPr>
          <w:rFonts w:ascii="Arial" w:cs="Arial" w:eastAsia="Arial" w:hAnsi="Arial"/>
          <w:sz w:val="18"/>
          <w:szCs w:val="18"/>
          <w:color w:val="auto"/>
        </w:rPr>
      </w:pPr>
    </w:p>
    <w:p>
      <w:pPr>
        <w:ind w:left="780" w:hanging="385"/>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renew existing or purchase new products or services from us.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sectPr>
      </w:pPr>
    </w:p>
    <w:bookmarkStart w:id="19" w:name="page20"/>
    <w:bookmarkEnd w:id="19"/>
    <w:p>
      <w:pPr>
        <w:jc w:val="both"/>
        <w:spacing w:after="0" w:line="272" w:lineRule="auto"/>
        <w:rPr>
          <w:sz w:val="20"/>
          <w:szCs w:val="20"/>
          <w:color w:val="auto"/>
        </w:rPr>
      </w:pPr>
      <w:r>
        <w:rPr>
          <w:rFonts w:ascii="Arial" w:cs="Arial" w:eastAsia="Arial" w:hAnsi="Arial"/>
          <w:sz w:val="17"/>
          <w:szCs w:val="17"/>
          <w:color w:val="auto"/>
        </w:rPr>
        <w:t>We monitor our cash position and credit exposure by evaluating, among other things, weekly cash receipts, days sales outstanding (DSO), customer requests to modify payment or contract terms, and bankruptcy notices. We experienced modest improvements in DSO during the second quarter of 2021 compared to the second quarter of 2020. Additionally, while we have not experienced any adverse impacts to customer defaults resulting from COVID-19, we are unable to know whether or to what extent future negative trends related to the pandemic may arise in the future. Any deterioration in the collectability (or the timing of payments) of our accounts receivable could adversely impact our financial results.</w:t>
      </w:r>
    </w:p>
    <w:p>
      <w:pPr>
        <w:spacing w:after="0" w:line="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timing of implementation of our services is also relevant to our business because our software solutions do not result in revenue recognition until they are made available for use. To the extent our customers delay or fail to implement products they have purchased, our financial results will be adversely impacted. While we have experienced a negative impact from certain implementation delays related to COVID-19, these delays have not been consistent across products or across customers. In fact, we have become more efficient in implementing certain products during the pandemic. Our Provider Solutions business segment has, in some instances, been more sensitive to implementation delays than our Workforce Solutions segment as the result of complexities associated with implementing certain of the solutions offered through that business segment.</w:t>
      </w:r>
    </w:p>
    <w:p>
      <w:pPr>
        <w:spacing w:after="0" w:line="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Conditions related to the pandemic have also adversely impacted the ability or willingness of some customers to renew their contracts with us or to renew contracts at the same levels. Pandemic-related conditions have also delayed or otherwise adversely impacted our ability to enter into contracts with new potential customers, as some potential customers have been focused on dealing with the impact and demands that COVID-19 is having on their businesses. In addition, the limitations noted above on onsite sales meetings and in-person trade shows, as well as our customers’ ongoing uncertainties due to COVID-19 have reduced, and may continue to reduce, the ability of our sales team to make sales they otherwise would likely make but for the impact of COVID-19. As the pandemic has persisted, we have, however, continued to evolve our sales approach such that our sales representatives have been in frequent contact with customers via video conference and other remote means that do not require physical travel or onsite visits to our customers’ facilities. Moreover, there has begun to be a resumption of certain in-person activities as COVID-19 conditions have improved. Whether this resumption of in-person activities will continue and increase or falter and decrease may be dependent on the prevalence of future COVID-19 outbreaks, including with regard to new variants that continue to emerge.</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Given the uncertainty surrounding the adverse impacts that COVID-19 could have on our business, we took certain expense management measures in 2020 as previously disclosed. We have generally discontinued these expense management measures taking into account the improved economic environment and current conditions related to the pandemic, provided that certain expenses such as those associated with travel and tradeshows remain significantly lower than pre-pandemic levels due to limitations on our ability to engage in such activities at the same levels as prior to the pandemic. However, we are continuing to monitor developments related to the COVID-19 pandemic and will continue to make such expense management adjustments as we deem necessary.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Our management utilizes the following financial and non-financial metrics in connection with managing our business.</w:t>
      </w:r>
    </w:p>
    <w:p>
      <w:pPr>
        <w:spacing w:after="0" w:line="114" w:lineRule="exact"/>
        <w:rPr>
          <w:sz w:val="20"/>
          <w:szCs w:val="20"/>
          <w:color w:val="auto"/>
        </w:rPr>
      </w:pPr>
    </w:p>
    <w:p>
      <w:pPr>
        <w:jc w:val="both"/>
        <w:ind w:left="780" w:hanging="385"/>
        <w:spacing w:after="0" w:line="254"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Revenues, net</w:t>
      </w:r>
      <w:r>
        <w:rPr>
          <w:rFonts w:ascii="Arial" w:cs="Arial" w:eastAsia="Arial" w:hAnsi="Arial"/>
          <w:sz w:val="18"/>
          <w:szCs w:val="18"/>
          <w:color w:val="auto"/>
        </w:rPr>
        <w:t>. Revenues, net reflect income generated by the sales of goods and services related to our operations and reflects deferred revenue write-downs associated with fair value accounting for acquired businesses. Revenues, net were $64.8 million and $128.3 million for the three and six months ended June 30, 2021 compared to $60.6 million and $122.1 million for the three and six months ended June 30, 2020. Management utilizes revenue in connection with managing our business and believes that this metric provides useful information to investors as a key indicator of growth and success of our products.</w:t>
      </w:r>
    </w:p>
    <w:p>
      <w:pPr>
        <w:spacing w:after="0" w:line="82" w:lineRule="exact"/>
        <w:rPr>
          <w:rFonts w:ascii="Arial" w:cs="Arial" w:eastAsia="Arial" w:hAnsi="Arial"/>
          <w:sz w:val="18"/>
          <w:szCs w:val="18"/>
          <w:color w:val="auto"/>
        </w:rPr>
      </w:pPr>
    </w:p>
    <w:p>
      <w:pPr>
        <w:jc w:val="both"/>
        <w:ind w:left="780" w:hanging="385"/>
        <w:spacing w:after="0" w:line="254"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Operating Income</w:t>
      </w:r>
      <w:r>
        <w:rPr>
          <w:rFonts w:ascii="Arial" w:cs="Arial" w:eastAsia="Arial" w:hAnsi="Arial"/>
          <w:sz w:val="18"/>
          <w:szCs w:val="18"/>
          <w:color w:val="auto"/>
        </w:rPr>
        <w:t>. Operating income represents the amount of profit realized from our operations and is calculated as the difference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net and operating costs and expenses. Operating income was $3.4 million and $6.7 million for the three and six months ended June 30, 2021 compared to $4.3 million and $11.5 million for the three and six months ended June 30, 2020. Management utilizes operating income in connection with managing our business and believes that our operating income provides useful information to investors as a key indicator of profitability.</w:t>
      </w:r>
    </w:p>
    <w:p>
      <w:pPr>
        <w:spacing w:after="0" w:line="82" w:lineRule="exact"/>
        <w:rPr>
          <w:rFonts w:ascii="Arial" w:cs="Arial" w:eastAsia="Arial" w:hAnsi="Arial"/>
          <w:sz w:val="18"/>
          <w:szCs w:val="18"/>
          <w:color w:val="auto"/>
        </w:rPr>
      </w:pPr>
    </w:p>
    <w:p>
      <w:pPr>
        <w:jc w:val="both"/>
        <w:ind w:left="780" w:hanging="385"/>
        <w:spacing w:after="0" w:line="253"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Adjusted EBITDA, calculated as set forth below under “Reconciliation of Non-GAAP Financial Measures,” is utilized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 connection with managing our business and provides useful information to investors because adjusted EBITDA reflects net income adjusted for certain non-cash and non-operating items. We also believe that adjusted EBITDA is useful to investors to assess the Company’s ongoing operations. Additionally, beginning in 2021, executive bonuses are based on the achievement of adjusted EBITDA targets. Adjusted EBITDA was $14.5 million and $28.1 million for the three and six months ended June 30, 2021, compared to $12.1 million and $24.0 million for the three and six months ended June 30, 2020.</w:t>
      </w:r>
    </w:p>
    <w:p>
      <w:pPr>
        <w:spacing w:after="0" w:line="83" w:lineRule="exact"/>
        <w:rPr>
          <w:rFonts w:ascii="Arial" w:cs="Arial" w:eastAsia="Arial" w:hAnsi="Arial"/>
          <w:sz w:val="18"/>
          <w:szCs w:val="18"/>
          <w:color w:val="auto"/>
        </w:rPr>
      </w:pPr>
    </w:p>
    <w:p>
      <w:pPr>
        <w:jc w:val="both"/>
        <w:ind w:left="780" w:hanging="385"/>
        <w:spacing w:after="0" w:line="260"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hStream Subscriptions</w:t>
      </w:r>
      <w:r>
        <w:rPr>
          <w:rFonts w:ascii="Arial" w:cs="Arial" w:eastAsia="Arial" w:hAnsi="Arial"/>
          <w:sz w:val="18"/>
          <w:szCs w:val="18"/>
          <w:color w:val="auto"/>
        </w:rPr>
        <w:t>. hStream subscriptions are determined as the number of subscriptions under contract for hStream, our Platform-as-a-Service</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that enables healthcare organizations and their respective workforces to easily connect to and gain value from the growing HealthStream ecosystem of applications, tools, and content. Management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left="780"/>
        <w:spacing w:after="0" w:line="260" w:lineRule="auto"/>
        <w:rPr>
          <w:sz w:val="20"/>
          <w:szCs w:val="20"/>
          <w:color w:val="auto"/>
        </w:rPr>
      </w:pPr>
      <w:r>
        <w:rPr>
          <w:rFonts w:ascii="Arial" w:cs="Arial" w:eastAsia="Arial" w:hAnsi="Arial"/>
          <w:sz w:val="18"/>
          <w:szCs w:val="18"/>
          <w:color w:val="auto"/>
        </w:rPr>
        <w:t>utilizes hStream subscriptions in connection with managing our business and believes that this metric provides useful information to investors as a measure of our progress in growing the value of our customer base. At June 30, 2021, we had approximately 4.52 million contracted subscriptions to hStream, compared to 3.48 million as of June 30, 2020.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Condensed Consolidated Financial Statements are prepared in accordance with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68" w:lineRule="exact"/>
        <w:rPr>
          <w:sz w:val="20"/>
          <w:szCs w:val="20"/>
          <w:color w:val="auto"/>
        </w:rPr>
      </w:pPr>
    </w:p>
    <w:p>
      <w:pPr>
        <w:ind w:left="780" w:hanging="385"/>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4" w:lineRule="exact"/>
        <w:rPr>
          <w:rFonts w:ascii="Arial" w:cs="Arial" w:eastAsia="Arial" w:hAnsi="Arial"/>
          <w:sz w:val="18"/>
          <w:szCs w:val="18"/>
          <w:color w:val="auto"/>
        </w:rPr>
      </w:pPr>
    </w:p>
    <w:p>
      <w:pPr>
        <w:ind w:left="780" w:hanging="385"/>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14" w:lineRule="exact"/>
        <w:rPr>
          <w:rFonts w:ascii="Arial" w:cs="Arial" w:eastAsia="Arial" w:hAnsi="Arial"/>
          <w:sz w:val="18"/>
          <w:szCs w:val="18"/>
          <w:color w:val="auto"/>
        </w:rPr>
      </w:pPr>
    </w:p>
    <w:p>
      <w:pPr>
        <w:ind w:left="780" w:hanging="385"/>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114" w:lineRule="exact"/>
        <w:rPr>
          <w:rFonts w:ascii="Arial" w:cs="Arial" w:eastAsia="Arial" w:hAnsi="Arial"/>
          <w:sz w:val="18"/>
          <w:szCs w:val="18"/>
          <w:color w:val="auto"/>
        </w:rPr>
      </w:pPr>
    </w:p>
    <w:p>
      <w:pPr>
        <w:ind w:left="780" w:hanging="385"/>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114" w:lineRule="exact"/>
        <w:rPr>
          <w:rFonts w:ascii="Arial" w:cs="Arial" w:eastAsia="Arial" w:hAnsi="Arial"/>
          <w:sz w:val="18"/>
          <w:szCs w:val="18"/>
          <w:color w:val="auto"/>
        </w:rPr>
      </w:pPr>
    </w:p>
    <w:p>
      <w:pPr>
        <w:ind w:left="780" w:hanging="385"/>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the Consolidated Financial Statements in our 2020 Form 10-K and the Notes to the Condensed Consolidated Financial Statements herein which contain additional information regarding our accounting policies and other disclosures required by US GAAP. There have been no changes in our critical accounting policies and estimates from those reported in our 2020 Form 10-K.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Comparability of Operating Results</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comparability of our operating results for the six months ended June 30, 2021 to the same period for 2020 are impacted by several factors, including acquisitions, the reduction of revenues associated with legacy resuscitation products, and other non-cash items.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Between March 9, 2020 and January 19, 2021, we completed five acquisitions, which resulted in additional revenues and higher operating expenses during the three and six months ended June 30, 2021 compared to the three and six months ended June 30, 2020.</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legacy agreements with Laerdal (Legacy Agreements) for the HeartCode and Resuscitation Quality Improvement (RQI) products expired pursuant to their terms on December 31, 2018. Revenues associated with sales of HeartCode and RQI products pursuant to the Legacy Agreements were significant in past years, although margins on such products were lower than HealthStream’s average margin. Revenue generated by HeartCode and RQI products pursuant to the Legacy Agreements was $10.7 million in the second quarter of 2020 compared to $1.0 million in the second quarter of 2021. For additional information, see below under “Other Developments.”</w:t>
      </w:r>
    </w:p>
    <w:p>
      <w:pPr>
        <w:spacing w:after="0" w:line="83"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During the six months ended June 30, 2021, the Company recorded a $1.0 million non-recurring, non-cash reduction to paid time off (PTO) expense as a result of modifications to the Company’s PTO policy. During the six months ended June 30, 2020, the Company recorded a $3.4 million non-cash contractual adjustment that resulted in a decrease to royalty expense upon the resolution of a mutual disagreement relating to various elements of a past partnership.</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2021 Compared to Three Months Ended June 30, 2020</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$4.3 million, or 7%, to $64.8 million for the three months ended June 30, 2021 from $60.6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2020.</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 comparison of revenues by business segment is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Three Months Ended June 30,</w:t>
            </w:r>
          </w:p>
        </w:tc>
        <w:tc>
          <w:tcPr>
            <w:tcW w:w="1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Revenues by Business Segment:</w:t>
            </w:r>
          </w:p>
        </w:tc>
        <w:tc>
          <w:tcPr>
            <w:tcW w:w="2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1"/>
                <w:szCs w:val="11"/>
                <w:color w:val="auto"/>
              </w:rPr>
            </w:pPr>
          </w:p>
        </w:tc>
        <w:tc>
          <w:tcPr>
            <w:tcW w:w="13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200" w:type="dxa"/>
            <w:vAlign w:val="bottom"/>
            <w:tcBorders>
              <w:bottom w:val="single" w:sz="8" w:color="CFF0FC"/>
            </w:tcBorders>
            <w:vMerge w:val="continue"/>
          </w:tcPr>
          <w:p>
            <w:pPr>
              <w:spacing w:after="0"/>
              <w:rPr>
                <w:sz w:val="14"/>
                <w:szCs w:val="14"/>
                <w:color w:val="auto"/>
              </w:rPr>
            </w:pPr>
          </w:p>
        </w:tc>
        <w:tc>
          <w:tcPr>
            <w:tcW w:w="2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2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52,158</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48,888</w:t>
            </w: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7"/>
        </w:trPr>
        <w:tc>
          <w:tcPr>
            <w:tcW w:w="4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Provider Solutions</w:t>
            </w:r>
          </w:p>
        </w:tc>
        <w:tc>
          <w:tcPr>
            <w:tcW w:w="2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12,658</w:t>
            </w: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11,665</w:t>
            </w:r>
          </w:p>
        </w:tc>
        <w:tc>
          <w:tcPr>
            <w:tcW w:w="340" w:type="dxa"/>
            <w:vAlign w:val="bottom"/>
            <w:tcBorders>
              <w:bottom w:val="single" w:sz="8" w:color="CFF0FC"/>
            </w:tcBorders>
          </w:tcPr>
          <w:p>
            <w:pPr>
              <w:spacing w:after="0"/>
              <w:rPr>
                <w:sz w:val="19"/>
                <w:szCs w:val="19"/>
                <w:color w:val="auto"/>
              </w:rPr>
            </w:pPr>
          </w:p>
        </w:tc>
        <w:tc>
          <w:tcPr>
            <w:tcW w:w="14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 net</w:t>
            </w:r>
          </w:p>
        </w:tc>
        <w:tc>
          <w:tcPr>
            <w:tcW w:w="2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64,816</w:t>
            </w:r>
          </w:p>
        </w:tc>
        <w:tc>
          <w:tcPr>
            <w:tcW w:w="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60,553</w:t>
            </w:r>
          </w:p>
        </w:tc>
        <w:tc>
          <w:tcPr>
            <w:tcW w:w="3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 of Revenues</w:t>
            </w:r>
          </w:p>
        </w:tc>
        <w:tc>
          <w:tcPr>
            <w:tcW w:w="3920" w:type="dxa"/>
            <w:vAlign w:val="bottom"/>
            <w:tcBorders>
              <w:bottom w:val="single" w:sz="8" w:color="CFF0FC"/>
            </w:tcBorders>
            <w:shd w:val="clear" w:color="auto" w:fill="CFF0FC"/>
          </w:tcPr>
          <w:p>
            <w:pPr>
              <w:spacing w:after="0"/>
              <w:rPr>
                <w:sz w:val="18"/>
                <w:szCs w:val="18"/>
                <w:color w:val="auto"/>
              </w:rPr>
            </w:pPr>
          </w:p>
        </w:tc>
        <w:tc>
          <w:tcPr>
            <w:tcW w:w="2660" w:type="dxa"/>
            <w:vAlign w:val="bottom"/>
            <w:tcBorders>
              <w:bottom w:val="single" w:sz="8" w:color="CFF0FC"/>
            </w:tcBorders>
            <w:shd w:val="clear" w:color="auto" w:fill="CFF0FC"/>
          </w:tcPr>
          <w:p>
            <w:pPr>
              <w:spacing w:after="0"/>
              <w:rPr>
                <w:sz w:val="18"/>
                <w:szCs w:val="18"/>
                <w:color w:val="auto"/>
              </w:rPr>
            </w:pPr>
          </w:p>
        </w:tc>
      </w:tr>
      <w:tr>
        <w:trPr>
          <w:trHeight w:val="227"/>
        </w:trPr>
        <w:tc>
          <w:tcPr>
            <w:tcW w:w="4660" w:type="dxa"/>
            <w:vAlign w:val="bottom"/>
          </w:tcPr>
          <w:p>
            <w:pPr>
              <w:ind w:left="260"/>
              <w:spacing w:after="0"/>
              <w:rPr>
                <w:sz w:val="20"/>
                <w:szCs w:val="20"/>
                <w:color w:val="auto"/>
              </w:rPr>
            </w:pPr>
            <w:r>
              <w:rPr>
                <w:rFonts w:ascii="Arial" w:cs="Arial" w:eastAsia="Arial" w:hAnsi="Arial"/>
                <w:sz w:val="18"/>
                <w:szCs w:val="18"/>
                <w:color w:val="auto"/>
              </w:rPr>
              <w:t>Workforce Solutions</w:t>
            </w:r>
          </w:p>
        </w:tc>
        <w:tc>
          <w:tcPr>
            <w:tcW w:w="3920" w:type="dxa"/>
            <w:vAlign w:val="bottom"/>
          </w:tcPr>
          <w:p>
            <w:pPr>
              <w:jc w:val="right"/>
              <w:ind w:right="571"/>
              <w:spacing w:after="0"/>
              <w:rPr>
                <w:sz w:val="20"/>
                <w:szCs w:val="20"/>
                <w:color w:val="auto"/>
              </w:rPr>
            </w:pPr>
            <w:r>
              <w:rPr>
                <w:rFonts w:ascii="Arial" w:cs="Arial" w:eastAsia="Arial" w:hAnsi="Arial"/>
                <w:sz w:val="18"/>
                <w:szCs w:val="18"/>
                <w:color w:val="auto"/>
              </w:rPr>
              <w:t>80%</w:t>
            </w:r>
          </w:p>
        </w:tc>
        <w:tc>
          <w:tcPr>
            <w:tcW w:w="2660" w:type="dxa"/>
            <w:vAlign w:val="bottom"/>
          </w:tcPr>
          <w:p>
            <w:pPr>
              <w:jc w:val="right"/>
              <w:ind w:right="1591"/>
              <w:spacing w:after="0"/>
              <w:rPr>
                <w:sz w:val="20"/>
                <w:szCs w:val="20"/>
                <w:color w:val="auto"/>
              </w:rPr>
            </w:pPr>
            <w:r>
              <w:rPr>
                <w:rFonts w:ascii="Arial" w:cs="Arial" w:eastAsia="Arial" w:hAnsi="Arial"/>
                <w:sz w:val="18"/>
                <w:szCs w:val="18"/>
                <w:color w:val="auto"/>
              </w:rPr>
              <w:t>81%</w:t>
            </w:r>
          </w:p>
        </w:tc>
      </w:tr>
      <w:tr>
        <w:trPr>
          <w:trHeight w:val="228"/>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Provider Solutions</w:t>
            </w:r>
          </w:p>
        </w:tc>
        <w:tc>
          <w:tcPr>
            <w:tcW w:w="3920" w:type="dxa"/>
            <w:vAlign w:val="bottom"/>
            <w:shd w:val="clear" w:color="auto" w:fill="CFF0FC"/>
          </w:tcPr>
          <w:p>
            <w:pPr>
              <w:jc w:val="right"/>
              <w:ind w:right="571"/>
              <w:spacing w:after="0"/>
              <w:rPr>
                <w:sz w:val="20"/>
                <w:szCs w:val="20"/>
                <w:color w:val="auto"/>
              </w:rPr>
            </w:pPr>
            <w:r>
              <w:rPr>
                <w:rFonts w:ascii="Arial" w:cs="Arial" w:eastAsia="Arial" w:hAnsi="Arial"/>
                <w:sz w:val="18"/>
                <w:szCs w:val="18"/>
                <w:color w:val="auto"/>
              </w:rPr>
              <w:t>20%</w:t>
            </w:r>
          </w:p>
        </w:tc>
        <w:tc>
          <w:tcPr>
            <w:tcW w:w="2660" w:type="dxa"/>
            <w:vAlign w:val="bottom"/>
            <w:shd w:val="clear" w:color="auto" w:fill="CFF0FC"/>
          </w:tcPr>
          <w:p>
            <w:pPr>
              <w:jc w:val="right"/>
              <w:ind w:right="1591"/>
              <w:spacing w:after="0"/>
              <w:rPr>
                <w:sz w:val="20"/>
                <w:szCs w:val="20"/>
                <w:color w:val="auto"/>
              </w:rPr>
            </w:pPr>
            <w:r>
              <w:rPr>
                <w:rFonts w:ascii="Arial" w:cs="Arial" w:eastAsia="Arial" w:hAnsi="Arial"/>
                <w:sz w:val="18"/>
                <w:szCs w:val="18"/>
                <w:color w:val="auto"/>
              </w:rPr>
              <w:t>19%</w:t>
            </w:r>
          </w:p>
        </w:tc>
      </w:tr>
    </w:tbl>
    <w:p>
      <w:pPr>
        <w:spacing w:after="0" w:line="3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Revenues for Workforce Solutions increased $3.3 million, or 7%, to $52.2 million for the three months ended June 30, 2021 from $48.9 million for the three months ended June 30, 2020. The Workforce Solutions segment achieved this 7% growth while overcoming a $9.7 million decline from the legacy resuscitation business. In this regard, while revenues from legacy resuscitation products effectively ceased at the end of 2020, revenues for the three months ended June 30, 2021 included $1.0 million as we extended, with support from Laerdal, utilization of these products in 2021 for a small group of customers. Revenues from recent acquisitions and growth in other solutions more than offset the lost legacy resuscitation revenues. Workforce revenues also benefited from a $0.5 million increase in professional services revenues, primarily associated with recently acquired businesses.</w:t>
      </w:r>
    </w:p>
    <w:p>
      <w:pPr>
        <w:spacing w:after="0" w:line="5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Revenues for Provider Solutions increased $1.0 million, or 9%, to $12.7 million for the three months ended June 30, 2021 from $11.7 million for the three months ended June 30, 2020. Revenue growth was attributable to new subscription revenues.</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decreased $0.2 million, or 1%, to $22.7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from $22.9 million for the three months ended June 30, 2020. Cost of revenues as a percentage of revenues was 35% and 38% for the three months ended June 30, 2021 and 2020, respectively.</w:t>
      </w:r>
    </w:p>
    <w:p>
      <w:pPr>
        <w:spacing w:after="0" w:line="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Cost of revenues for Workforce Solutions decreased $0.3 million to $18.7 million for the three months ended June 30, 2021 compared to the prior year period and approximated 36% and 39% of revenues for Workforce Solutions for the three months ended June 30, 2021 and 2020, respectively. The decrease is primarily attributable to a decrease in royalties payable by us related to legacy resuscitation products, partially offset by increased expenses related to recent acquisitions coupled with an increase in software expense classified as cost of revenues during the three months ended June 30, 2021. Cost of revenues for Provider Solutions increased $0.1 million to $4.0 million for the three months ended June 30, 2021 compared to the prior year period and approximated 31% and 33% of Provider Solutions revenues for the three months ended June 30, 2021 and 2020, respectively. The increase in amount is primarily associated with an increase in software expense classified as cost of revenues during the three months ended June 30, 2021.</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$2.5 million, or 32%, to $10.3 million for the three months ended June 30, 2021 from $7.8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2020. Product development expenses as a percentage of revenues were 16% and 13% for the three months ended June 30, 2021 and 2020, respectively.</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Product development expenses for Workforce Solutions increased $2.7 million to $8.9 million for the three months ended June 30, 2021 compared to the prior year period and approximated 17% and 13% of revenues for Workforce Solutions for the three months ended June 30, 2021 and 2020, respectively. The increase is primarily associated with recent acquisitions and increased product development efforts across other workforce solutions. Product development expenses for Provider Solutions decreased $0.2 million to $1.4 million for the three months ended June 30, 2021 compared to the prior year period and approximated 12% and 14% of revenues for Provider Solutions for the three months ended June 30, 2021 and 2020, respectively. The decrease in product development expenses is primarily due to an increase in labor capitalized for internally developed software related to additional product investments across the VerityStream product suite.</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$1.3 million, or 15%, to $9.5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from $8.2 million for the three months ended June 30, 2020. Sales and marketing expenses were 15% and 14% of revenues for the three months ended June 30, 2021 and 2020, respectively.</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Sales and marketing expenses for Workforce Solutions increased $1.1 million to $7.5 million for the three months ended June 30, 2021 compared to the prior year period and approximated 14% and 13% of revenues for Workforce Solutions for the three months ended June 30, 2021 and 2020, respectively. The increase is primarily due to additional personnel expenses due to recent acquisitions partially offset by lower sales commissions associated with the decline in legacy resuscitation revenues. Sales and marketing expenses for Provider Solutions increased $80,000 to $1.6 million for the three months ended June 30, 2021 compared to the prior year period and approximated 13% of revenues for Provider Solutions for both the three months ended June 30, 2021 and 2020. The unallocated corporate portion of sales and marketing expenses increased $50,000 to $0.4 million for the three months ended June 30, 2021 compared to the prior year period.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2" w:name="page23"/>
    <w:bookmarkEnd w:id="22"/>
    <w:p>
      <w:pPr>
        <w:jc w:val="both"/>
        <w:spacing w:after="0" w:line="260"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decreased $0.3 million, or 3%, to $9.8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2021, from $10.1 million for the three months ended June 30, 2020. Other general and administrative expenses as a percentage of revenues were 15% and 17% of revenues for the three months ended June 30, 2021 and 2020, respectively.</w:t>
      </w:r>
    </w:p>
    <w:p>
      <w:pPr>
        <w:spacing w:after="0" w:line="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Other general and administrative expenses for Workforce Solutions decreased $1.0 million to $3.0 million for the three months ended June 30, 2021 compared to the prior year period and approximated 6% and 8% of Workforce Solutions revenues for the three months ended June 30, 2021 and 2020, respectively. The decrease is primarily due to a decrease in software expense classified as general and administrative expenses partially offset by expenses related to recent acquisitions. Other general and administrative expenses for Provider Solutions increased $60,000 to $0.9 million for the three months ended June 30, 2021 compared to the prior year period and approximated 7% of Provider Solutions revenues for both the three months ended June 30, 2021 and 2020. The unallocated corporate portion of other general and administrative expenses increased $0.6 million to $6.0 million for the three months ended June 30, 2021 compared to the prior year period primarily due to increased personnel costs.</w:t>
      </w:r>
    </w:p>
    <w:p>
      <w:pPr>
        <w:spacing w:after="0" w:line="73" w:lineRule="exact"/>
        <w:rPr>
          <w:sz w:val="20"/>
          <w:szCs w:val="20"/>
          <w:color w:val="auto"/>
        </w:rPr>
      </w:pPr>
    </w:p>
    <w:p>
      <w:pPr>
        <w:jc w:val="both"/>
        <w:spacing w:after="0" w:line="301"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was $9.1 million and $7.2 million for the three months ended June 30, 2021 and 2020,</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This increase is primarily a result of increases to amortization associated with capitalized software and recent acquisitions.</w:t>
      </w:r>
    </w:p>
    <w:p>
      <w:pPr>
        <w:spacing w:after="0" w:line="4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Other (Loss) Income, Net</w:t>
      </w:r>
      <w:r>
        <w:rPr>
          <w:rFonts w:ascii="Arial" w:cs="Arial" w:eastAsia="Arial" w:hAnsi="Arial"/>
          <w:sz w:val="18"/>
          <w:szCs w:val="18"/>
          <w:color w:val="auto"/>
        </w:rPr>
        <w:t>. Other (loss) income, net was a loss of $65,000 for the three months ended June 30, 2021 compared to income of $0.2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2020. The decrease is a result of lower interest income due to reductions in cash and investment balances and lower interest rate yields during the three months ended June 30, 2021 compared to the prior year period.</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$0.9 million for the three months ended June 30, 2021 compared to $1.1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2020. The Company’s effective tax rate was 27% for the three months ended June 30, 2021 compared to 24% for the three months ended June 30, 2020. The Company’s effective tax rate primarily reflects the statutory corporate income tax rate, the net effect of state taxes, foreign income taxes, and the effect of various permanent tax differences.</w:t>
      </w:r>
    </w:p>
    <w:p>
      <w:pPr>
        <w:spacing w:after="0" w:line="81" w:lineRule="exact"/>
        <w:rPr>
          <w:sz w:val="20"/>
          <w:szCs w:val="20"/>
          <w:color w:val="auto"/>
        </w:rPr>
      </w:pPr>
    </w:p>
    <w:p>
      <w:pPr>
        <w:jc w:val="both"/>
        <w:spacing w:after="0" w:line="301"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was approximately $2.4 million and $3.4 million for the three months ended June 30, 2021 and 2020, respectively. Earnings per share</w:t>
      </w:r>
      <w:r>
        <w:rPr>
          <w:rFonts w:ascii="Arial" w:cs="Arial" w:eastAsia="Arial" w:hAnsi="Arial"/>
          <w:sz w:val="17"/>
          <w:szCs w:val="17"/>
          <w:i w:val="1"/>
          <w:iCs w:val="1"/>
          <w:color w:val="auto"/>
        </w:rPr>
        <w:t xml:space="preserve"> </w:t>
      </w:r>
      <w:r>
        <w:rPr>
          <w:rFonts w:ascii="Arial" w:cs="Arial" w:eastAsia="Arial" w:hAnsi="Arial"/>
          <w:sz w:val="17"/>
          <w:szCs w:val="17"/>
          <w:color w:val="auto"/>
        </w:rPr>
        <w:t>(EPS) was $0.08 per share (diluted) and $0.11 per share (diluted) for the three months ended June 30, 2021 and 2020, respectively.</w:t>
      </w:r>
    </w:p>
    <w:p>
      <w:pPr>
        <w:spacing w:after="0" w:line="4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Adjusted EBITDA was $14.5 million for the three months ended June 30, 2021 compared to $12.1 million for the three months ended June 30, 2020. See “Reconciliation of Non-GAAP Financial Measures” below for our reconciliation of adjusted EBITDA to the most directly comparable measures under US GAAP and disclosure regarding why we believe Adjusted EBITDA provides useful information to investors.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2021 Compared to Six Months Ended June 30, 2020</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$6.2 million, or 5%, to $128.3 million for the six months ended June 30, 2021 from $122.1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 comparison of revenues by business segment is as follows (in thousands):</w:t>
      </w:r>
    </w:p>
    <w:tbl>
      <w:tblPr>
        <w:tblLayout w:type="fixed"/>
        <w:tblInd w:w="0" w:type="dxa"/>
        <w:tblCellMar>
          <w:top w:w="0" w:type="dxa"/>
          <w:left w:w="0" w:type="dxa"/>
          <w:bottom w:w="0" w:type="dxa"/>
          <w:right w:w="0" w:type="dxa"/>
        </w:tblCellMar>
      </w:tblPr>
      <w:tr>
        <w:trPr>
          <w:trHeight w:val="160"/>
        </w:trPr>
        <w:tc>
          <w:tcPr>
            <w:tcW w:w="42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2"/>
              </w:rPr>
              <w:t>Six Months Ended</w:t>
            </w: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Revenues by Business Segment:</w:t>
            </w:r>
          </w:p>
        </w:tc>
        <w:tc>
          <w:tcPr>
            <w:tcW w:w="2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89"/>
              </w:rPr>
              <w:t>2020</w:t>
            </w:r>
          </w:p>
        </w:tc>
        <w:tc>
          <w:tcPr>
            <w:tcW w:w="340" w:type="dxa"/>
            <w:vAlign w:val="bottom"/>
          </w:tcPr>
          <w:p>
            <w:pPr>
              <w:spacing w:after="0"/>
              <w:rPr>
                <w:sz w:val="11"/>
                <w:szCs w:val="11"/>
                <w:color w:val="auto"/>
              </w:rPr>
            </w:pPr>
          </w:p>
        </w:tc>
        <w:tc>
          <w:tcPr>
            <w:tcW w:w="13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200" w:type="dxa"/>
            <w:vAlign w:val="bottom"/>
            <w:tcBorders>
              <w:bottom w:val="single" w:sz="8" w:color="CFF0FC"/>
            </w:tcBorders>
            <w:vMerge w:val="continue"/>
          </w:tcPr>
          <w:p>
            <w:pPr>
              <w:spacing w:after="0"/>
              <w:rPr>
                <w:sz w:val="14"/>
                <w:szCs w:val="14"/>
                <w:color w:val="auto"/>
              </w:rPr>
            </w:pPr>
          </w:p>
        </w:tc>
        <w:tc>
          <w:tcPr>
            <w:tcW w:w="2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2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103,405</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98,712</w:t>
            </w: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7"/>
        </w:trPr>
        <w:tc>
          <w:tcPr>
            <w:tcW w:w="4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Provider Solutions</w:t>
            </w:r>
          </w:p>
        </w:tc>
        <w:tc>
          <w:tcPr>
            <w:tcW w:w="2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24,879</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23,413</w:t>
            </w:r>
          </w:p>
        </w:tc>
        <w:tc>
          <w:tcPr>
            <w:tcW w:w="18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 net</w:t>
            </w:r>
          </w:p>
        </w:tc>
        <w:tc>
          <w:tcPr>
            <w:tcW w:w="2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128,284</w:t>
            </w: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122,125</w:t>
            </w:r>
          </w:p>
        </w:tc>
        <w:tc>
          <w:tcPr>
            <w:tcW w:w="1820" w:type="dxa"/>
            <w:vAlign w:val="bottom"/>
            <w:tcBorders>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 of Revenues</w:t>
            </w:r>
          </w:p>
        </w:tc>
        <w:tc>
          <w:tcPr>
            <w:tcW w:w="3920" w:type="dxa"/>
            <w:vAlign w:val="bottom"/>
            <w:tcBorders>
              <w:bottom w:val="single" w:sz="8" w:color="CFF0FC"/>
            </w:tcBorders>
            <w:shd w:val="clear" w:color="auto" w:fill="CFF0FC"/>
          </w:tcPr>
          <w:p>
            <w:pPr>
              <w:spacing w:after="0"/>
              <w:rPr>
                <w:sz w:val="18"/>
                <w:szCs w:val="18"/>
                <w:color w:val="auto"/>
              </w:rPr>
            </w:pPr>
          </w:p>
        </w:tc>
        <w:tc>
          <w:tcPr>
            <w:tcW w:w="2660" w:type="dxa"/>
            <w:vAlign w:val="bottom"/>
            <w:tcBorders>
              <w:bottom w:val="single" w:sz="8" w:color="CFF0FC"/>
            </w:tcBorders>
            <w:shd w:val="clear" w:color="auto" w:fill="CFF0FC"/>
          </w:tcPr>
          <w:p>
            <w:pPr>
              <w:spacing w:after="0"/>
              <w:rPr>
                <w:sz w:val="18"/>
                <w:szCs w:val="18"/>
                <w:color w:val="auto"/>
              </w:rPr>
            </w:pPr>
          </w:p>
        </w:tc>
      </w:tr>
      <w:tr>
        <w:trPr>
          <w:trHeight w:val="227"/>
        </w:trPr>
        <w:tc>
          <w:tcPr>
            <w:tcW w:w="4660" w:type="dxa"/>
            <w:vAlign w:val="bottom"/>
          </w:tcPr>
          <w:p>
            <w:pPr>
              <w:ind w:left="260"/>
              <w:spacing w:after="0"/>
              <w:rPr>
                <w:sz w:val="20"/>
                <w:szCs w:val="20"/>
                <w:color w:val="auto"/>
              </w:rPr>
            </w:pPr>
            <w:r>
              <w:rPr>
                <w:rFonts w:ascii="Arial" w:cs="Arial" w:eastAsia="Arial" w:hAnsi="Arial"/>
                <w:sz w:val="18"/>
                <w:szCs w:val="18"/>
                <w:color w:val="auto"/>
              </w:rPr>
              <w:t>Workforce Solutions</w:t>
            </w:r>
          </w:p>
        </w:tc>
        <w:tc>
          <w:tcPr>
            <w:tcW w:w="3920" w:type="dxa"/>
            <w:vAlign w:val="bottom"/>
          </w:tcPr>
          <w:p>
            <w:pPr>
              <w:jc w:val="right"/>
              <w:ind w:right="571"/>
              <w:spacing w:after="0"/>
              <w:rPr>
                <w:sz w:val="20"/>
                <w:szCs w:val="20"/>
                <w:color w:val="auto"/>
              </w:rPr>
            </w:pPr>
            <w:r>
              <w:rPr>
                <w:rFonts w:ascii="Arial" w:cs="Arial" w:eastAsia="Arial" w:hAnsi="Arial"/>
                <w:sz w:val="18"/>
                <w:szCs w:val="18"/>
                <w:color w:val="auto"/>
              </w:rPr>
              <w:t>81%</w:t>
            </w:r>
          </w:p>
        </w:tc>
        <w:tc>
          <w:tcPr>
            <w:tcW w:w="2660" w:type="dxa"/>
            <w:vAlign w:val="bottom"/>
          </w:tcPr>
          <w:p>
            <w:pPr>
              <w:jc w:val="right"/>
              <w:ind w:right="1591"/>
              <w:spacing w:after="0"/>
              <w:rPr>
                <w:sz w:val="20"/>
                <w:szCs w:val="20"/>
                <w:color w:val="auto"/>
              </w:rPr>
            </w:pPr>
            <w:r>
              <w:rPr>
                <w:rFonts w:ascii="Arial" w:cs="Arial" w:eastAsia="Arial" w:hAnsi="Arial"/>
                <w:sz w:val="18"/>
                <w:szCs w:val="18"/>
                <w:color w:val="auto"/>
              </w:rPr>
              <w:t>81%</w:t>
            </w:r>
          </w:p>
        </w:tc>
      </w:tr>
      <w:tr>
        <w:trPr>
          <w:trHeight w:val="228"/>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Provider Solutions</w:t>
            </w:r>
          </w:p>
        </w:tc>
        <w:tc>
          <w:tcPr>
            <w:tcW w:w="3920" w:type="dxa"/>
            <w:vAlign w:val="bottom"/>
            <w:shd w:val="clear" w:color="auto" w:fill="CFF0FC"/>
          </w:tcPr>
          <w:p>
            <w:pPr>
              <w:jc w:val="right"/>
              <w:ind w:right="571"/>
              <w:spacing w:after="0"/>
              <w:rPr>
                <w:sz w:val="20"/>
                <w:szCs w:val="20"/>
                <w:color w:val="auto"/>
              </w:rPr>
            </w:pPr>
            <w:r>
              <w:rPr>
                <w:rFonts w:ascii="Arial" w:cs="Arial" w:eastAsia="Arial" w:hAnsi="Arial"/>
                <w:sz w:val="18"/>
                <w:szCs w:val="18"/>
                <w:color w:val="auto"/>
              </w:rPr>
              <w:t>19%</w:t>
            </w:r>
          </w:p>
        </w:tc>
        <w:tc>
          <w:tcPr>
            <w:tcW w:w="2660" w:type="dxa"/>
            <w:vAlign w:val="bottom"/>
            <w:shd w:val="clear" w:color="auto" w:fill="CFF0FC"/>
          </w:tcPr>
          <w:p>
            <w:pPr>
              <w:jc w:val="right"/>
              <w:ind w:right="1591"/>
              <w:spacing w:after="0"/>
              <w:rPr>
                <w:sz w:val="20"/>
                <w:szCs w:val="20"/>
                <w:color w:val="auto"/>
              </w:rPr>
            </w:pPr>
            <w:r>
              <w:rPr>
                <w:rFonts w:ascii="Arial" w:cs="Arial" w:eastAsia="Arial" w:hAnsi="Arial"/>
                <w:sz w:val="18"/>
                <w:szCs w:val="18"/>
                <w:color w:val="auto"/>
              </w:rPr>
              <w:t>19%</w:t>
            </w:r>
          </w:p>
        </w:tc>
      </w:tr>
    </w:tbl>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Revenues for Workforce Solutions increased $4.7 million, or 5%, over the first six months of 2020. Contributions from recent acquisitions and growth in other workforce solutions more than offset the expected decline in revenues from legacy resuscitation products of $19.1 million. While revenues from legacy resuscitation products effectively ceased at the end of 2020, revenues for the six months ended June 30, 2021 included $2.8 million as we extended, with support from Laerdal, utilization of these products into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23" w:name="page24"/>
    <w:bookmarkEnd w:id="23"/>
    <w:p>
      <w:pPr>
        <w:jc w:val="both"/>
        <w:spacing w:after="0" w:line="271" w:lineRule="auto"/>
        <w:rPr>
          <w:sz w:val="20"/>
          <w:szCs w:val="20"/>
          <w:color w:val="auto"/>
        </w:rPr>
      </w:pPr>
      <w:r>
        <w:rPr>
          <w:rFonts w:ascii="Arial" w:cs="Arial" w:eastAsia="Arial" w:hAnsi="Arial"/>
          <w:sz w:val="18"/>
          <w:szCs w:val="18"/>
          <w:color w:val="auto"/>
        </w:rPr>
        <w:t>2021 for a small group of customers. Workforce revenues also benefited from a $0.9 million increase in professional services revenues, primarily associated with recently acquired businesses.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Revenues for Provider Solutions increased $1.5 million, or 6%, over the first six months of 2020. Revenue growth was primarily attributable to new subscription revenues.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increased $2.2 million, or 5%, to $45.5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from $43.3 million for the six months ended June 30, 2020. Cost of revenues as a percentage of revenues was 35% for both the six months ended June 30, 2021 and 2020. Cost of revenues were favorably impacted by $0.2 million during the six months ended June 30, 2021, resulting from the non-cash reduction to PTO expense, and were favorably impacted in the amount of $3.4 million during the six months ended June 30, 2020 from the one-time non-cash contractual adjustment to royalty expense.</w:t>
      </w:r>
    </w:p>
    <w:p>
      <w:pPr>
        <w:spacing w:after="0" w:line="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Cost of revenues for Workforce Solutions increased $2.1 million to $37.6 million and approximated 36% of revenues for Workforce Solutions for both the six months ended June 30, 2021 and 2020. The increase in amount is primarily associated with increased expenses related to recent acquisitions, the one-time contractual adjustment to cost of revenues in the amount of $3.4 million recorded during the six months ended June 30, 2020, and an increase in software expense classified as cost of revenues during the six months ended June 30, 2021, partially offset by a decline in royalties related to legacy resuscitation products. Cost of revenues for Provider Solutions increased $0.1 million to $7.9 million and approximated 32% and 33% of Provider Solutions revenues for the six months ended June 30, 2021 and 2020, respectively. The increase in amount is primarily associated with an increase in software expense classified as cost of revenues during the six months ended June 30, 2021.</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$4.6 million, or 30%, to $19.9 million for the six months ended June 30, 2021 from $15.3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2020. Product development expenses as a percentage of revenues were 15% and 13% of revenues for the six months ended June 30, 2021 and 2020, respectively. Product development expenses were favorably impacted in the amount of $0.4 million during the six months ended June 30, 2021 from the non-cash reduction to PTO expense.</w:t>
      </w:r>
    </w:p>
    <w:p>
      <w:pPr>
        <w:spacing w:after="0" w:line="81"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Product development expenses for Workforce Solutions increased $5.0 million to $17.0 million and approximated 16% and 12% of revenues for Workforce Solutions for the six months ended June 30, 2021 and 2020, respectively. The increase in amount is primarily associated with recent acquisitions and increased product development efforts across other workforce solutions. Product development expenses for Provider Solutions decreased $0.4 million to $2.9 million and approximated 11% and 14% of revenues for HealthStream Solutions for the six months ended June 30, 2021 and 2020, respectively. The decrease is primarily due to an increase in labor capitalized for internally developed software related to additional product investments across the VerityStream product suite.</w:t>
      </w:r>
    </w:p>
    <w:p>
      <w:pPr>
        <w:spacing w:after="0" w:line="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$1.1 million, or 6%, to $18.5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from $17.4 million for the six months ended June 30, 2020. Sales and marketing expenses were 14% of revenues for both the six months ended June 30, 2021 and 2020. Sales and marketing expenses were favorably impacted by $0.2 million during the six months ended June 30, 2021 resulting from the non-cash reduction to PTO expense.</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Sales and marketing expenses for Workforce Solutions increased $0.9 million to $14.6 million and approximated 14% of revenues for Workforce Solutions for both the six months ended June 30, 2021 and 2020. The increase is primarily associated with increases in general marketing expenses and recent acquisitions, partially offset by lower sales commissions associated with the decline in legacy resuscitation revenues and decreases in travel expenses as a result of the COVID-19 pandemic. Sales and marketing expenses for Provider Solutions increased $47,000 to $3.2 million and approximated 13% of revenues for Provider Solutions for both the six months ended June 30, 2021 and 2020. The unallocated portion of sales and marketing expenses increased $96,000 to $0.7 million compared to the prior year period.</w:t>
      </w:r>
    </w:p>
    <w:p>
      <w:pPr>
        <w:spacing w:after="0" w:line="8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Other General and Administrative Expenses. </w:t>
      </w:r>
      <w:r>
        <w:rPr>
          <w:rFonts w:ascii="Arial" w:cs="Arial" w:eastAsia="Arial" w:hAnsi="Arial"/>
          <w:sz w:val="17"/>
          <w:szCs w:val="17"/>
          <w:color w:val="auto"/>
        </w:rPr>
        <w:t>Other general and administrative expenses decreased $0.6 million, or 3%, to $19.4 million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2021 from $20.0 million for the six months ended June 30, 2020. Other general and administrative expenses as a percentage of revenues were 15% and 16% of revenues for the six months ended June 30, 2021 and 2020, respectively. Other general and administrative expenses were favorably impacted by $0.2 million during the six months ended June 30, 2021 resulting from the non-cash reduction to PTO expense.</w:t>
      </w:r>
    </w:p>
    <w:p>
      <w:pPr>
        <w:spacing w:after="0" w:line="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general and administrative expenses for Workforce Solutions decreased $1.8 million to $6.0 million and approximated 6% and 8% of revenues for Workforce Solutions for the six months ended June 30, 2021 and 2020, respectively. The decrease is primarily associated with a decrease in software expense classified as general and administrative expenses during the six months ended June 30, 2021, partially offset by expenses associated with recent acquisitions. Other general and administrative expenses for Provider Solutions increased $40,000 to $1.6 million and approximated 7% of revenues for Provider Solutions for both the six months ended June 30, 2021 and 2020. The unallocated corporate portion of other general and administrative expenses increased $1.2 million to $11.7 million compared to the first six months of 2020 primarily due to increased personnel expenses as well as professional services expenses over the prior year period.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4" w:name="page25"/>
    <w:bookmarkEnd w:id="24"/>
    <w:p>
      <w:pPr>
        <w:jc w:val="both"/>
        <w:spacing w:after="0" w:line="335"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increased $3.7 million, or 25%, to $18.3 million for the six months ended June 30, 2021 from</w:t>
      </w:r>
      <w:r>
        <w:rPr>
          <w:rFonts w:ascii="Arial" w:cs="Arial" w:eastAsia="Arial" w:hAnsi="Arial"/>
          <w:sz w:val="16"/>
          <w:szCs w:val="16"/>
          <w:i w:val="1"/>
          <w:iCs w:val="1"/>
          <w:color w:val="auto"/>
        </w:rPr>
        <w:t xml:space="preserve"> </w:t>
      </w:r>
      <w:r>
        <w:rPr>
          <w:rFonts w:ascii="Arial" w:cs="Arial" w:eastAsia="Arial" w:hAnsi="Arial"/>
          <w:sz w:val="16"/>
          <w:szCs w:val="16"/>
          <w:color w:val="auto"/>
        </w:rPr>
        <w:t>$14.6 million for the six months ended June 30, 2020. The increase resulted from an increase in amortization of capitalized software and intangible assets.</w:t>
      </w:r>
    </w:p>
    <w:p>
      <w:pPr>
        <w:spacing w:after="0" w:line="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Other (Loss) Income, Net</w:t>
      </w:r>
      <w:r>
        <w:rPr>
          <w:rFonts w:ascii="Arial" w:cs="Arial" w:eastAsia="Arial" w:hAnsi="Arial"/>
          <w:sz w:val="17"/>
          <w:szCs w:val="17"/>
          <w:color w:val="auto"/>
        </w:rPr>
        <w:t>. Other (loss) income, net was loss of $0.2 million for the six months ended June 30, 2021 compared to income of $1.9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ended June 30, 2020. This decrease is driven by the $1.2 million gain associated with the change in fair value of the non-marketable equity investment in NurseGrid prior to the acquisition of NurseGrid on March 9, 2020, coupled with lower interest income due to reductions in bond yields and bank interest rates during the six months ended June 30, 2021 compared to the prior year period.</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Income Tax Provision. </w:t>
      </w:r>
      <w:r>
        <w:rPr>
          <w:rFonts w:ascii="Arial" w:cs="Arial" w:eastAsia="Arial" w:hAnsi="Arial"/>
          <w:sz w:val="17"/>
          <w:szCs w:val="17"/>
          <w:color w:val="auto"/>
        </w:rPr>
        <w:t>The Company recorded a provision for income taxes of $1.8 million and $2.9 million for the six months ended June 30, 2021 and 2020,</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respectively. The Company’s effective tax rate was 28% for the six months ended June 30, 2021 compared to 22% for the six months ended June 30, 2020. During the six months ended June 30, 2021, the Company recorded discrete tax expense of $0.2 million related to various items, including recording a permanent difference related to purchase accounting adjustments and the impact of a state tax rate change enacted during the period. During the six months ended June 30, 2020, the Company </w:t>
      </w:r>
      <w:r>
        <w:rPr>
          <w:rFonts w:ascii="Arial" w:cs="Arial" w:eastAsia="Arial" w:hAnsi="Arial"/>
          <w:sz w:val="17"/>
          <w:szCs w:val="17"/>
          <w:color w:val="212529"/>
        </w:rPr>
        <w:t>recorded a $1.2 million change in fair value of non-marketable equity investments</w:t>
      </w:r>
      <w:r>
        <w:rPr>
          <w:rFonts w:ascii="Arial" w:cs="Arial" w:eastAsia="Arial" w:hAnsi="Arial"/>
          <w:sz w:val="17"/>
          <w:szCs w:val="17"/>
          <w:color w:val="auto"/>
        </w:rPr>
        <w:t xml:space="preserve"> as a result of the NurseGrid acquisition, which is not a taxable transaction, resulting in a tax benefit of $0.3 million.</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$4.7 million for the six months ended June 30, 2021 compared to $10.5 million for the six months ended June 30, 2020.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per diluted share were $0.15 and $0.33 per share for the six months ended June 30, 2021 and 2020, respectively.</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Adjusted EBITDA increased $4.1 million to $28.1 million for the six months ended June 30, 2021 compared to $24.0 million for the six months ended June 30, 2020. This increase resulted from the factors mentioned above. See “Reconciliation of Non-GAAP Financial Measures” below for our reconciliation of Adjusted EBITDA to the most directly comparable measure under US GAAP.</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Developments</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legacy agreements with Laerdal (Legacy Agreements) for the HeartCode and Resuscitation Quality Improvement (RQI) products expired pursuant to their terms on December 31, 2018. Revenues associated with sales of HeartCode and RQI products pursuant to the Legacy Agreements were significant in recent years, although margins on such products have been lower than HealthStream’s average margin. Revenue generated by HeartCode and RQI products pursuant to the Legacy Agreements was $38.4 million and $58.9 million in 2020 and 2019, respectively. While revenues from legacy resuscitation products effectively ceased at the end of 2020, revenues for the six months ended June 30, 2021 included $2.8 million as we extended, with Laerdal’s support, utilization of these products for a small group of customers. We expect revenue from legacy products to be de minimis for the second half of 2021.</w:t>
      </w:r>
    </w:p>
    <w:p>
      <w:pPr>
        <w:spacing w:after="0" w:line="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6, 2018, we announced a new agreement with RQI Partners, a joint venture between Laerdal and the American Heart Association. This agreement with RQI Partners was not an extension or renewal of the expired Legacy Agreements with Laerdal and should not be construed as such. Under our agreement with RQI Partners, HealthStream will neither market nor sell HeartCode or RQI. Our RQI Partners agreement provides for continuity of service for customers that desire to purchase HeartCode or RQI from RQI Partners after December 31, 2018 and receive it via the HealthStream Learning Center. RQI Partners will remit a fee to us when sales of HeartCode and RQI are delivered via the HealthStream Learning Center. These fees will not be sufficient to supplant the revenue runout associated with the Legacy Agreements.</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remain actively engaged in efforts to broaden the scope and utilization of our simulation-related offerings to include a range of clinical competencies that extend beyond resuscitation, and we intend to bring to market a broadened scope of simulation-based offerings, including resuscitation programs. On January 17, 2019, as part of a seven-year collaboration agreement with the American Red Cross which spans to 2026, we announced the launch of the American Red Cross Resuscitation Suite. We are actively engaged in efforts to market, sell, and deliver our new resuscitation offering, which includes the American Red Cross Resuscitation Suite and validation of skills through a technology enabled Innosonian manikin. A growing number of customers have been implemented on our new resuscitation offering and the solution continues to gain acceptance in the market. We believe our efforts to market, sell, and deliver the American Red Cross Resuscitation Suite, along with efforts to bring additional simulation-related offerings to market, are giving rise to additional and higher margin opportunities than those that existed under the Legacy Agreements.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report presents adjusted EBITDA, which is a non-GAAP financial measure used by management in analyzing our financial results and ongoing operational performance.</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order to better assess the Company’s financial results, management believes that net income excluding the impact of the deferred revenue write-downs associated with fair value accounting for acquired businesses and before interest, income taxes,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5" w:name="page26"/>
    <w:bookmarkEnd w:id="25"/>
    <w:p>
      <w:pPr>
        <w:jc w:val="both"/>
        <w:spacing w:after="0" w:line="288" w:lineRule="auto"/>
        <w:rPr>
          <w:sz w:val="20"/>
          <w:szCs w:val="20"/>
          <w:color w:val="auto"/>
        </w:rPr>
      </w:pPr>
      <w:r>
        <w:rPr>
          <w:rFonts w:ascii="Arial" w:cs="Arial" w:eastAsia="Arial" w:hAnsi="Arial"/>
          <w:sz w:val="16"/>
          <w:szCs w:val="16"/>
          <w:color w:val="auto"/>
        </w:rPr>
        <w:t>stock based compensation, depreciation and amortization, changes in fair value of non-marketable equity investments, the de-recognition of non-cash expense resulting from the paid time off expense reduction in the first quarter of 2021, and the resolution of a mutual disagreement related to various elements of a past partnership which resulted in a reduction to cost of sales in the first quarter of 2020 (“adjusted EBITDA”) is a useful measure for evaluating the operating performance of the Company because adjusted EBITDA reflects net income adjusted for certain GAAP accounting, non-cash and non-operating items which may not, in any such case, fully reflect the underlying operating performance of our business. We also believe that adjusted EBITDA is useful to many investors to assess the Company’s ongoing operating performance and to compare the Company’s operating performance between periods. Additionally, beginning in 2021, executive bonuses are based on the achievement of adjusted EBITDA targets.</w:t>
      </w:r>
    </w:p>
    <w:p>
      <w:pPr>
        <w:spacing w:after="0" w:line="6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noted above, the definition of adjusted EBITDA also adjusts for the impact of the deferred revenue write-downs associated with fair value accounting for acquired businesses. Following the completion of any acquisition by the Company, the Company must record the acquired deferred revenue at fair value as defined in GAAP, which may result in a write-down of deferred revenue. If the Company is required to record a write-down of deferred revenue, it may result in lower recognized revenue, operating income, and net income in subsequent periods. Revenue for any such acquired business is deferred and is typically recognized over a one-to-two year period following the completion of any particular acquisition, so our GAAP revenues for this one-to-two year period will not reflect the full amount of revenues that would have been reported if the acquired deferred revenue was not written down to fair value. Management believes that including an adjustment in the definition of adjusted EBITDA for the impact of the deferred write-downs associated with fair value accounting for acquired businesses provides useful information to investors because the deferred revenue write-down recognized in periods after an acquisition may, given the nature of this non-cash accounting impact, cause our GAAP financial results during such periods to not fully reflect our underlying operating performance and thus adjusting for this amount may assist in comparing the Company’s results of operations between periods.</w:t>
      </w:r>
    </w:p>
    <w:p>
      <w:pPr>
        <w:spacing w:after="0" w:line="6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Adjusted EBITDA is a non-GAAP financial measure and should not be considered as a measure of financial performance under GAAP. Because adjusted EBITDA is not a measurement determined in accordance with GAAP, adjusted EBITDA is susceptible to varying calculations. Accordingly, adjusted EBITDA, as presented, may not be comparable to other similarly titled measures of other companies and have limitations as analytical tools. In addition, adjusted EBITDA should not be considered a substitute for, or superior to, measures of financial performance which are prepared in accordance with GAAP.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the most directly comparable GAAP measure is set forth below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4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0"/>
        </w:trPr>
        <w:tc>
          <w:tcPr>
            <w:tcW w:w="5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58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4"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1"/>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GAAP net income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4,732</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10,533</w:t>
            </w:r>
          </w:p>
        </w:tc>
        <w:tc>
          <w:tcPr>
            <w:tcW w:w="100" w:type="dxa"/>
            <w:vAlign w:val="bottom"/>
            <w:shd w:val="clear" w:color="auto" w:fill="CFF0FC"/>
          </w:tcPr>
          <w:p>
            <w:pPr>
              <w:spacing w:after="0"/>
              <w:rPr>
                <w:sz w:val="19"/>
                <w:szCs w:val="19"/>
                <w:color w:val="auto"/>
              </w:rPr>
            </w:pPr>
          </w:p>
        </w:tc>
      </w:tr>
      <w:tr>
        <w:trPr>
          <w:trHeight w:val="227"/>
        </w:trPr>
        <w:tc>
          <w:tcPr>
            <w:tcW w:w="5840" w:type="dxa"/>
            <w:vAlign w:val="bottom"/>
          </w:tcPr>
          <w:p>
            <w:pPr>
              <w:spacing w:after="0"/>
              <w:rPr>
                <w:sz w:val="20"/>
                <w:szCs w:val="20"/>
                <w:color w:val="auto"/>
              </w:rPr>
            </w:pPr>
            <w:r>
              <w:rPr>
                <w:rFonts w:ascii="Arial" w:cs="Arial" w:eastAsia="Arial" w:hAnsi="Arial"/>
                <w:sz w:val="18"/>
                <w:szCs w:val="18"/>
                <w:color w:val="auto"/>
              </w:rPr>
              <w:t>Deferred revenue write-down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r>
      <w:tr>
        <w:trPr>
          <w:trHeight w:val="228"/>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(237)</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(831)</w:t>
            </w:r>
          </w:p>
        </w:tc>
      </w:tr>
      <w:tr>
        <w:trPr>
          <w:trHeight w:val="227"/>
        </w:trPr>
        <w:tc>
          <w:tcPr>
            <w:tcW w:w="58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r>
      <w:tr>
        <w:trPr>
          <w:trHeight w:val="228"/>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2,920</w:t>
            </w:r>
          </w:p>
        </w:tc>
        <w:tc>
          <w:tcPr>
            <w:tcW w:w="100" w:type="dxa"/>
            <w:vAlign w:val="bottom"/>
            <w:shd w:val="clear" w:color="auto" w:fill="CFF0FC"/>
          </w:tcPr>
          <w:p>
            <w:pPr>
              <w:spacing w:after="0"/>
              <w:rPr>
                <w:sz w:val="19"/>
                <w:szCs w:val="19"/>
                <w:color w:val="auto"/>
              </w:rPr>
            </w:pPr>
          </w:p>
        </w:tc>
      </w:tr>
      <w:tr>
        <w:trPr>
          <w:trHeight w:val="227"/>
        </w:trPr>
        <w:tc>
          <w:tcPr>
            <w:tcW w:w="5840" w:type="dxa"/>
            <w:vAlign w:val="bottom"/>
          </w:tcPr>
          <w:p>
            <w:pPr>
              <w:spacing w:after="0"/>
              <w:rPr>
                <w:sz w:val="20"/>
                <w:szCs w:val="20"/>
                <w:color w:val="auto"/>
              </w:rPr>
            </w:pPr>
            <w:r>
              <w:rPr>
                <w:rFonts w:ascii="Arial" w:cs="Arial" w:eastAsia="Arial" w:hAnsi="Arial"/>
                <w:sz w:val="18"/>
                <w:szCs w:val="18"/>
                <w:color w:val="auto"/>
              </w:rPr>
              <w:t>Stock based compensation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9"/>
                <w:szCs w:val="19"/>
                <w:color w:val="auto"/>
              </w:rPr>
            </w:pPr>
          </w:p>
        </w:tc>
      </w:tr>
      <w:tr>
        <w:trPr>
          <w:trHeight w:val="228"/>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9,149</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18,302</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14,599</w:t>
            </w:r>
          </w:p>
        </w:tc>
        <w:tc>
          <w:tcPr>
            <w:tcW w:w="100" w:type="dxa"/>
            <w:vAlign w:val="bottom"/>
            <w:shd w:val="clear" w:color="auto" w:fill="CFF0FC"/>
          </w:tcPr>
          <w:p>
            <w:pPr>
              <w:spacing w:after="0"/>
              <w:rPr>
                <w:sz w:val="19"/>
                <w:szCs w:val="19"/>
                <w:color w:val="auto"/>
              </w:rPr>
            </w:pPr>
          </w:p>
        </w:tc>
      </w:tr>
      <w:tr>
        <w:trPr>
          <w:trHeight w:val="227"/>
        </w:trPr>
        <w:tc>
          <w:tcPr>
            <w:tcW w:w="5840" w:type="dxa"/>
            <w:vAlign w:val="bottom"/>
          </w:tcPr>
          <w:p>
            <w:pPr>
              <w:spacing w:after="0"/>
              <w:rPr>
                <w:sz w:val="20"/>
                <w:szCs w:val="20"/>
                <w:color w:val="auto"/>
              </w:rPr>
            </w:pPr>
            <w:r>
              <w:rPr>
                <w:rFonts w:ascii="Arial" w:cs="Arial" w:eastAsia="Arial" w:hAnsi="Arial"/>
                <w:sz w:val="18"/>
                <w:szCs w:val="18"/>
                <w:color w:val="auto"/>
              </w:rPr>
              <w:t>Non-cash paid time off expense</w:t>
            </w: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(1,011)</w:t>
            </w:r>
          </w:p>
        </w:tc>
        <w:tc>
          <w:tcPr>
            <w:tcW w:w="4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non-marketable equity investments</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(1,181)</w:t>
            </w:r>
          </w:p>
        </w:tc>
      </w:tr>
      <w:tr>
        <w:trPr>
          <w:trHeight w:val="227"/>
        </w:trPr>
        <w:tc>
          <w:tcPr>
            <w:tcW w:w="5840" w:type="dxa"/>
            <w:vAlign w:val="bottom"/>
          </w:tcPr>
          <w:p>
            <w:pPr>
              <w:spacing w:after="0"/>
              <w:rPr>
                <w:sz w:val="20"/>
                <w:szCs w:val="20"/>
                <w:color w:val="auto"/>
              </w:rPr>
            </w:pPr>
            <w:r>
              <w:rPr>
                <w:rFonts w:ascii="Arial" w:cs="Arial" w:eastAsia="Arial" w:hAnsi="Arial"/>
                <w:sz w:val="18"/>
                <w:szCs w:val="18"/>
                <w:color w:val="auto"/>
              </w:rPr>
              <w:t>Non-cash royalty expense</w:t>
            </w: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(3,440)</w:t>
            </w:r>
          </w:p>
        </w:tc>
      </w:tr>
      <w:tr>
        <w:trPr>
          <w:trHeight w:val="221"/>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cash provided by operating activities increased by $10.8 million to $24.3 million during the six months ended June 30, 2021 from $13.5 million during the six months ended June 30, 2020. Such increase was primarily driven by higher cash collections. Our DSO was 43 days for the second quarter of 2021 compared to 47 days for the second quarter of 2020.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Net cash used in investing activities was $10.6 million for the six months ended June 30, 2021 compared to $22.1 million for the six months ended June 30, 2020. During the six months ended June 30, 2021, </w:t>
      </w:r>
      <w:r>
        <w:rPr>
          <w:rFonts w:ascii="Arial" w:cs="Arial" w:eastAsia="Arial" w:hAnsi="Arial"/>
          <w:sz w:val="18"/>
          <w:szCs w:val="18"/>
          <w:color w:val="212529"/>
        </w:rPr>
        <w:t>the Company spent $0.7 million on business combinations, invested in marketable securities of $5.2</w:t>
      </w:r>
      <w:r>
        <w:rPr>
          <w:rFonts w:ascii="Arial" w:cs="Arial" w:eastAsia="Arial" w:hAnsi="Arial"/>
          <w:sz w:val="18"/>
          <w:szCs w:val="18"/>
          <w:color w:val="auto"/>
        </w:rPr>
        <w:t xml:space="preserve"> </w:t>
      </w:r>
      <w:r>
        <w:rPr>
          <w:rFonts w:ascii="Arial" w:cs="Arial" w:eastAsia="Arial" w:hAnsi="Arial"/>
          <w:sz w:val="18"/>
          <w:szCs w:val="18"/>
          <w:color w:val="212529"/>
        </w:rPr>
        <w:t xml:space="preserve">million, made payments for capitalized software development of $10.3 million, purchased property and equipment of $2.4 million, and invested $1.8 million in </w:t>
      </w:r>
      <w:r>
        <w:rPr>
          <w:rFonts w:ascii="Arial" w:cs="Arial" w:eastAsia="Arial" w:hAnsi="Arial"/>
          <w:sz w:val="18"/>
          <w:szCs w:val="18"/>
          <w:color w:val="000000"/>
        </w:rPr>
        <w:t>equity method investments</w:t>
      </w:r>
      <w:r>
        <w:rPr>
          <w:rFonts w:ascii="Arial" w:cs="Arial" w:eastAsia="Arial" w:hAnsi="Arial"/>
          <w:sz w:val="18"/>
          <w:szCs w:val="18"/>
          <w:color w:val="212529"/>
        </w:rPr>
        <w:t xml:space="preserve">. These uses of cash were partially offset by $9.7 million in maturities of marketable securities. </w:t>
      </w:r>
      <w:r>
        <w:rPr>
          <w:rFonts w:ascii="Arial" w:cs="Arial" w:eastAsia="Arial" w:hAnsi="Arial"/>
          <w:sz w:val="18"/>
          <w:szCs w:val="18"/>
          <w:color w:val="000000"/>
        </w:rPr>
        <w:t>During the six months ended</w:t>
      </w:r>
      <w:r>
        <w:rPr>
          <w:rFonts w:ascii="Arial" w:cs="Arial" w:eastAsia="Arial" w:hAnsi="Arial"/>
          <w:sz w:val="18"/>
          <w:szCs w:val="18"/>
          <w:color w:val="212529"/>
        </w:rPr>
        <w:t xml:space="preserve"> </w:t>
      </w:r>
      <w:r>
        <w:rPr>
          <w:rFonts w:ascii="Arial" w:cs="Arial" w:eastAsia="Arial" w:hAnsi="Arial"/>
          <w:sz w:val="18"/>
          <w:szCs w:val="18"/>
          <w:color w:val="000000"/>
        </w:rPr>
        <w:t xml:space="preserve">June 30, 2020 </w:t>
      </w:r>
      <w:r>
        <w:rPr>
          <w:rFonts w:ascii="Arial" w:cs="Arial" w:eastAsia="Arial" w:hAnsi="Arial"/>
          <w:sz w:val="18"/>
          <w:szCs w:val="18"/>
          <w:color w:val="212529"/>
        </w:rPr>
        <w:t>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6" w:name="page27"/>
    <w:bookmarkEnd w:id="26"/>
    <w:p>
      <w:pPr>
        <w:jc w:val="both"/>
        <w:spacing w:after="0" w:line="260" w:lineRule="auto"/>
        <w:rPr>
          <w:sz w:val="20"/>
          <w:szCs w:val="20"/>
          <w:color w:val="auto"/>
        </w:rPr>
      </w:pPr>
      <w:r>
        <w:rPr>
          <w:rFonts w:ascii="Arial" w:cs="Arial" w:eastAsia="Arial" w:hAnsi="Arial"/>
          <w:sz w:val="18"/>
          <w:szCs w:val="18"/>
          <w:color w:val="212529"/>
        </w:rPr>
        <w:t xml:space="preserve">Company paid $21.4 million on business combinations, invested in marketable securities of $36.9 million, made payments for capitalized software development of $7.6 million, purchased property and equipment of $1.3 million, and invested $1.0 million in </w:t>
      </w:r>
      <w:r>
        <w:rPr>
          <w:rFonts w:ascii="Arial" w:cs="Arial" w:eastAsia="Arial" w:hAnsi="Arial"/>
          <w:sz w:val="18"/>
          <w:szCs w:val="18"/>
          <w:color w:val="000000"/>
        </w:rPr>
        <w:t>non-marketable equity investments</w:t>
      </w:r>
      <w:r>
        <w:rPr>
          <w:rFonts w:ascii="Arial" w:cs="Arial" w:eastAsia="Arial" w:hAnsi="Arial"/>
          <w:sz w:val="18"/>
          <w:szCs w:val="18"/>
          <w:color w:val="212529"/>
        </w:rPr>
        <w:t>. These uses of cash were partially offset by $46.2 million in maturities of marketable securities.</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cash used in financing activities was approximately $0.4 million for the six months ended June 30, 2021 compared to $10.4 million for the six months ended June 30, 2020. The use of cash for the six months ended June 30, 2021 included $0.4 million for the payment of employee payroll taxes in relation to the vesting of restricted share units. The uses of cash for the six months ended June 30, 2020 included $10.0 million for common stock repurchases and $0.4 million for the payment of employee payroll taxes in relation to the vesting of restricted share units.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balance sheet reflects positive working capital of $4.2 million at June 30, 2021 compared to negative working capital of $4.7 million at December 31, 2020. The improvement in working capital is primarily a result of strong cash collections during the first six months of 2021. The Company’s primary source of liquidity as of June 30, 2021 was $49.8 million of cash and cash equivalents and $5.3 million of marketable securities. The Company also has a $65.0 million revolving credit facility, all of which was available for additional borrowing at June 30, 2021. The revolving credit facility expires on October 28, 2023, unless earlier renewed or amended.</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w:t>
      </w:r>
    </w:p>
    <w:p>
      <w:pPr>
        <w:spacing w:after="0" w:line="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calculations at the time of borrowing. As of June 30, 2021, we were in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exposed to market risk from changes in interest rates, foreign currency risk, and investment risk. We do not have any commodity price risk.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June 30, 2021 and during the three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$55.1 million at June 30, 2021. Assuming a hypothetical 10% decrease in interest rates for invested balances, interest income from cash and investments would decrease on an annualized basis by approximately $9,000.</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1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We have foreign currency risks related to our revenue and operating expenses denominated in currencies other than the US dollar, including Canadian dollar, New Zealand dollar, and Australian dollar. Increases or decreases in our foreign-denominated revenue from movements in foreign exchange rates are often partially offset by the corresponding increases or decreases in our foreign-denominated operating expenses.</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Investment Risk</w:t>
      </w:r>
    </w:p>
    <w:p>
      <w:pPr>
        <w:spacing w:after="0" w:line="118"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Consolidated Financial Statements due to changes in market prices, observable price changes, and impairments to our strategic investments. These changes could be material based on market conditions and events.</w:t>
      </w:r>
    </w:p>
    <w:p>
      <w:pPr>
        <w:spacing w:after="0" w:line="83"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second quarter of 2021 that has materially affected, or that is reasonably likely to materially affect, HealthStream’s internal control over financial reporting.</w:t>
      </w:r>
    </w:p>
    <w:p>
      <w:pPr>
        <w:spacing w:after="0" w:line="6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PART II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OTHER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previously disclosed in the 2020 Form 10-K.</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18" w:lineRule="exact"/>
        <w:rPr>
          <w:sz w:val="20"/>
          <w:szCs w:val="20"/>
          <w:color w:val="auto"/>
        </w:rPr>
      </w:pPr>
    </w:p>
    <w:p>
      <w:pPr>
        <w:ind w:left="780" w:hanging="385"/>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ind w:left="40"/>
              <w:spacing w:after="0"/>
              <w:rPr>
                <w:sz w:val="20"/>
                <w:szCs w:val="20"/>
                <w:color w:val="auto"/>
              </w:rPr>
            </w:pPr>
            <w:r>
              <w:rPr>
                <w:rFonts w:ascii="Arial" w:cs="Arial" w:eastAsia="Arial" w:hAnsi="Arial"/>
                <w:sz w:val="16"/>
                <w:szCs w:val="16"/>
                <w:color w:val="auto"/>
              </w:rPr>
              <w:t>31.1</w:t>
            </w:r>
          </w:p>
        </w:tc>
        <w:tc>
          <w:tcPr>
            <w:tcW w:w="740" w:type="dxa"/>
            <w:vAlign w:val="bottom"/>
          </w:tcPr>
          <w:p>
            <w:pPr>
              <w:spacing w:after="0"/>
              <w:rPr>
                <w:sz w:val="16"/>
                <w:szCs w:val="16"/>
                <w:color w:val="auto"/>
              </w:rPr>
            </w:pPr>
          </w:p>
        </w:tc>
        <w:tc>
          <w:tcPr>
            <w:tcW w:w="6660" w:type="dxa"/>
            <w:vAlign w:val="bottom"/>
            <w:tcBorders>
              <w:bottom w:val="single" w:sz="8" w:color="0000EE"/>
            </w:tcBorders>
          </w:tcPr>
          <w:p>
            <w:pPr>
              <w:spacing w:after="0"/>
              <w:rPr>
                <w:rFonts w:ascii="Arial" w:cs="Arial" w:eastAsia="Arial" w:hAnsi="Arial"/>
                <w:sz w:val="16"/>
                <w:szCs w:val="16"/>
                <w:color w:val="0000EE"/>
                <w:w w:val="92"/>
              </w:rPr>
            </w:pPr>
            <w:hyperlink w:anchor="page31">
              <w:r>
                <w:rPr>
                  <w:rFonts w:ascii="Arial" w:cs="Arial" w:eastAsia="Arial" w:hAnsi="Arial"/>
                  <w:sz w:val="16"/>
                  <w:szCs w:val="16"/>
                  <w:color w:val="0000EE"/>
                  <w:w w:val="92"/>
                </w:rPr>
                <w:t>Certification of the Chief Executive Officer Pursuant to Section 302 of the Sarbanes-Oxley Act of 2002</w:t>
              </w:r>
            </w:hyperlink>
          </w:p>
        </w:tc>
        <w:tc>
          <w:tcPr>
            <w:tcW w:w="3420" w:type="dxa"/>
            <w:vAlign w:val="bottom"/>
            <w:gridSpan w:val="3"/>
          </w:tcPr>
          <w:p>
            <w:pPr>
              <w:spacing w:after="0"/>
              <w:rPr>
                <w:sz w:val="16"/>
                <w:szCs w:val="16"/>
                <w:color w:val="auto"/>
              </w:rPr>
            </w:pPr>
          </w:p>
        </w:tc>
      </w:tr>
      <w:tr>
        <w:trPr>
          <w:trHeight w:val="315"/>
        </w:trPr>
        <w:tc>
          <w:tcPr>
            <w:tcW w:w="420" w:type="dxa"/>
            <w:vAlign w:val="bottom"/>
          </w:tcPr>
          <w:p>
            <w:pPr>
              <w:ind w:left="40"/>
              <w:spacing w:after="0"/>
              <w:rPr>
                <w:sz w:val="20"/>
                <w:szCs w:val="20"/>
                <w:color w:val="auto"/>
              </w:rPr>
            </w:pPr>
            <w:r>
              <w:rPr>
                <w:rFonts w:ascii="Arial" w:cs="Arial" w:eastAsia="Arial" w:hAnsi="Arial"/>
                <w:sz w:val="16"/>
                <w:szCs w:val="16"/>
                <w:color w:val="auto"/>
              </w:rPr>
              <w:t>31.2</w:t>
            </w:r>
          </w:p>
        </w:tc>
        <w:tc>
          <w:tcPr>
            <w:tcW w:w="740" w:type="dxa"/>
            <w:vAlign w:val="bottom"/>
          </w:tcPr>
          <w:p>
            <w:pPr>
              <w:spacing w:after="0"/>
              <w:rPr>
                <w:sz w:val="24"/>
                <w:szCs w:val="24"/>
                <w:color w:val="auto"/>
              </w:rPr>
            </w:pPr>
          </w:p>
        </w:tc>
        <w:tc>
          <w:tcPr>
            <w:tcW w:w="10080" w:type="dxa"/>
            <w:vAlign w:val="bottom"/>
            <w:gridSpan w:val="4"/>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Certification of the Principal Financial Officer Pursuant to Section 302 of the Sarbanes-Oxley Act of 2002</w:t>
              </w:r>
            </w:hyperlink>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2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15"/>
        </w:trPr>
        <w:tc>
          <w:tcPr>
            <w:tcW w:w="420" w:type="dxa"/>
            <w:vAlign w:val="bottom"/>
          </w:tcPr>
          <w:p>
            <w:pPr>
              <w:ind w:left="40"/>
              <w:spacing w:after="0"/>
              <w:rPr>
                <w:sz w:val="20"/>
                <w:szCs w:val="20"/>
                <w:color w:val="auto"/>
              </w:rPr>
            </w:pPr>
            <w:r>
              <w:rPr>
                <w:rFonts w:ascii="Arial" w:cs="Arial" w:eastAsia="Arial" w:hAnsi="Arial"/>
                <w:sz w:val="16"/>
                <w:szCs w:val="16"/>
                <w:color w:val="auto"/>
              </w:rPr>
              <w:t>32.1</w:t>
            </w:r>
          </w:p>
        </w:tc>
        <w:tc>
          <w:tcPr>
            <w:tcW w:w="740" w:type="dxa"/>
            <w:vAlign w:val="bottom"/>
          </w:tcPr>
          <w:p>
            <w:pPr>
              <w:spacing w:after="0"/>
              <w:rPr>
                <w:sz w:val="24"/>
                <w:szCs w:val="24"/>
                <w:color w:val="auto"/>
              </w:rPr>
            </w:pPr>
          </w:p>
        </w:tc>
        <w:tc>
          <w:tcPr>
            <w:tcW w:w="7800" w:type="dxa"/>
            <w:vAlign w:val="bottom"/>
            <w:tcBorders>
              <w:bottom w:val="single" w:sz="8" w:color="0000EE"/>
            </w:tcBorders>
            <w:gridSpan w:val="3"/>
          </w:tcPr>
          <w:p>
            <w:pPr>
              <w:spacing w:after="0"/>
              <w:rPr>
                <w:rFonts w:ascii="Arial" w:cs="Arial" w:eastAsia="Arial" w:hAnsi="Arial"/>
                <w:sz w:val="16"/>
                <w:szCs w:val="16"/>
                <w:color w:val="0000EE"/>
                <w:w w:val="90"/>
              </w:rPr>
            </w:pPr>
            <w:hyperlink w:anchor="page33">
              <w:r>
                <w:rPr>
                  <w:rFonts w:ascii="Arial" w:cs="Arial" w:eastAsia="Arial" w:hAnsi="Arial"/>
                  <w:sz w:val="16"/>
                  <w:szCs w:val="16"/>
                  <w:color w:val="0000EE"/>
                  <w:w w:val="90"/>
                </w:rPr>
                <w:t>Certification Pursuant to 18 U.S.C. Section 1350, as Adopted Pursuant to Section 906 of the Sarbanes-Oxley Act of 2002</w:t>
              </w:r>
            </w:hyperlink>
          </w:p>
        </w:tc>
        <w:tc>
          <w:tcPr>
            <w:tcW w:w="2280" w:type="dxa"/>
            <w:vAlign w:val="bottom"/>
          </w:tcPr>
          <w:p>
            <w:pPr>
              <w:spacing w:after="0"/>
              <w:rPr>
                <w:sz w:val="24"/>
                <w:szCs w:val="24"/>
                <w:color w:val="auto"/>
              </w:rPr>
            </w:pPr>
          </w:p>
        </w:tc>
      </w:tr>
      <w:tr>
        <w:trPr>
          <w:trHeight w:val="315"/>
        </w:trPr>
        <w:tc>
          <w:tcPr>
            <w:tcW w:w="420" w:type="dxa"/>
            <w:vAlign w:val="bottom"/>
          </w:tcPr>
          <w:p>
            <w:pPr>
              <w:ind w:left="40"/>
              <w:spacing w:after="0"/>
              <w:rPr>
                <w:sz w:val="20"/>
                <w:szCs w:val="20"/>
                <w:color w:val="auto"/>
              </w:rPr>
            </w:pPr>
            <w:r>
              <w:rPr>
                <w:rFonts w:ascii="Arial" w:cs="Arial" w:eastAsia="Arial" w:hAnsi="Arial"/>
                <w:sz w:val="16"/>
                <w:szCs w:val="16"/>
                <w:color w:val="auto"/>
              </w:rPr>
              <w:t>32.2</w:t>
            </w:r>
          </w:p>
        </w:tc>
        <w:tc>
          <w:tcPr>
            <w:tcW w:w="740" w:type="dxa"/>
            <w:vAlign w:val="bottom"/>
          </w:tcPr>
          <w:p>
            <w:pPr>
              <w:spacing w:after="0"/>
              <w:rPr>
                <w:sz w:val="24"/>
                <w:szCs w:val="24"/>
                <w:color w:val="auto"/>
              </w:rPr>
            </w:pPr>
          </w:p>
        </w:tc>
        <w:tc>
          <w:tcPr>
            <w:tcW w:w="7800" w:type="dxa"/>
            <w:vAlign w:val="bottom"/>
            <w:tcBorders>
              <w:bottom w:val="single" w:sz="8" w:color="0000EE"/>
            </w:tcBorders>
            <w:gridSpan w:val="3"/>
          </w:tcPr>
          <w:p>
            <w:pPr>
              <w:spacing w:after="0"/>
              <w:rPr>
                <w:rFonts w:ascii="Arial" w:cs="Arial" w:eastAsia="Arial" w:hAnsi="Arial"/>
                <w:sz w:val="16"/>
                <w:szCs w:val="16"/>
                <w:color w:val="0000EE"/>
                <w:w w:val="90"/>
              </w:rPr>
            </w:pPr>
            <w:hyperlink w:anchor="page34">
              <w:r>
                <w:rPr>
                  <w:rFonts w:ascii="Arial" w:cs="Arial" w:eastAsia="Arial" w:hAnsi="Arial"/>
                  <w:sz w:val="16"/>
                  <w:szCs w:val="16"/>
                  <w:color w:val="0000EE"/>
                  <w:w w:val="90"/>
                </w:rPr>
                <w:t>Certification Pursuant to 18 U.S.C. Section 1350, as Adopted Pursuant to Section 906 of the Sarbanes-Oxley Act of 2002</w:t>
              </w:r>
            </w:hyperlink>
          </w:p>
        </w:tc>
        <w:tc>
          <w:tcPr>
            <w:tcW w:w="2280" w:type="dxa"/>
            <w:vAlign w:val="bottom"/>
          </w:tcPr>
          <w:p>
            <w:pPr>
              <w:spacing w:after="0"/>
              <w:rPr>
                <w:sz w:val="24"/>
                <w:szCs w:val="24"/>
                <w:color w:val="auto"/>
              </w:rPr>
            </w:pPr>
          </w:p>
        </w:tc>
      </w:tr>
      <w:tr>
        <w:trPr>
          <w:trHeight w:val="345"/>
        </w:trPr>
        <w:tc>
          <w:tcPr>
            <w:tcW w:w="420" w:type="dxa"/>
            <w:vAlign w:val="bottom"/>
          </w:tcPr>
          <w:p>
            <w:pPr>
              <w:ind w:left="40"/>
              <w:spacing w:after="0"/>
              <w:rPr>
                <w:sz w:val="20"/>
                <w:szCs w:val="20"/>
                <w:color w:val="auto"/>
              </w:rPr>
            </w:pPr>
            <w:r>
              <w:rPr>
                <w:rFonts w:ascii="Arial" w:cs="Arial" w:eastAsia="Arial" w:hAnsi="Arial"/>
                <w:sz w:val="16"/>
                <w:szCs w:val="16"/>
                <w:color w:val="auto"/>
                <w:w w:val="89"/>
              </w:rPr>
              <w:t>101.1</w:t>
            </w:r>
          </w:p>
        </w:tc>
        <w:tc>
          <w:tcPr>
            <w:tcW w:w="740" w:type="dxa"/>
            <w:vAlign w:val="bottom"/>
          </w:tcPr>
          <w:p>
            <w:pPr>
              <w:ind w:left="20"/>
              <w:spacing w:after="0"/>
              <w:rPr>
                <w:sz w:val="20"/>
                <w:szCs w:val="20"/>
                <w:color w:val="auto"/>
              </w:rPr>
            </w:pPr>
            <w:r>
              <w:rPr>
                <w:rFonts w:ascii="Arial" w:cs="Arial" w:eastAsia="Arial" w:hAnsi="Arial"/>
                <w:sz w:val="16"/>
                <w:szCs w:val="16"/>
                <w:color w:val="auto"/>
              </w:rPr>
              <w:t>INS</w:t>
            </w:r>
          </w:p>
        </w:tc>
        <w:tc>
          <w:tcPr>
            <w:tcW w:w="10080" w:type="dxa"/>
            <w:vAlign w:val="bottom"/>
            <w:gridSpan w:val="4"/>
          </w:tcPr>
          <w:p>
            <w:pPr>
              <w:spacing w:after="0"/>
              <w:rPr>
                <w:sz w:val="20"/>
                <w:szCs w:val="20"/>
                <w:color w:val="auto"/>
              </w:rPr>
            </w:pPr>
            <w:r>
              <w:rPr>
                <w:rFonts w:ascii="Arial" w:cs="Arial" w:eastAsia="Arial" w:hAnsi="Arial"/>
                <w:sz w:val="16"/>
                <w:szCs w:val="16"/>
                <w:color w:val="auto"/>
                <w:w w:val="91"/>
              </w:rPr>
              <w:t>Inline XBRL Instance Document – The instant document does not appear in the Interactive Data File because its XBRL tags are embedded within the Inline</w:t>
            </w:r>
          </w:p>
        </w:tc>
      </w:tr>
      <w:tr>
        <w:trPr>
          <w:trHeight w:val="205"/>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4"/>
          </w:tcPr>
          <w:p>
            <w:pPr>
              <w:spacing w:after="0"/>
              <w:rPr>
                <w:sz w:val="20"/>
                <w:szCs w:val="20"/>
                <w:color w:val="auto"/>
              </w:rPr>
            </w:pPr>
            <w:r>
              <w:rPr>
                <w:rFonts w:ascii="Arial" w:cs="Arial" w:eastAsia="Arial" w:hAnsi="Arial"/>
                <w:sz w:val="16"/>
                <w:szCs w:val="16"/>
                <w:color w:val="auto"/>
              </w:rPr>
              <w:t>XBRL document.</w:t>
            </w:r>
          </w:p>
        </w:tc>
      </w:tr>
      <w:tr>
        <w:trPr>
          <w:trHeight w:val="321"/>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101.1 SCH</w:t>
            </w:r>
          </w:p>
        </w:tc>
        <w:tc>
          <w:tcPr>
            <w:tcW w:w="10080" w:type="dxa"/>
            <w:vAlign w:val="bottom"/>
            <w:gridSpan w:val="4"/>
          </w:tcPr>
          <w:p>
            <w:pPr>
              <w:spacing w:after="0"/>
              <w:rPr>
                <w:sz w:val="20"/>
                <w:szCs w:val="20"/>
                <w:color w:val="auto"/>
              </w:rPr>
            </w:pPr>
            <w:r>
              <w:rPr>
                <w:rFonts w:ascii="Arial" w:cs="Arial" w:eastAsia="Arial" w:hAnsi="Arial"/>
                <w:sz w:val="16"/>
                <w:szCs w:val="16"/>
                <w:color w:val="auto"/>
              </w:rPr>
              <w:t>Inline XBRL Taxonomy Extension Schema</w:t>
            </w:r>
          </w:p>
        </w:tc>
      </w:tr>
      <w:tr>
        <w:trPr>
          <w:trHeight w:val="335"/>
        </w:trPr>
        <w:tc>
          <w:tcPr>
            <w:tcW w:w="420" w:type="dxa"/>
            <w:vAlign w:val="bottom"/>
          </w:tcPr>
          <w:p>
            <w:pPr>
              <w:ind w:left="40"/>
              <w:spacing w:after="0"/>
              <w:rPr>
                <w:sz w:val="20"/>
                <w:szCs w:val="20"/>
                <w:color w:val="auto"/>
              </w:rPr>
            </w:pPr>
            <w:r>
              <w:rPr>
                <w:rFonts w:ascii="Arial" w:cs="Arial" w:eastAsia="Arial" w:hAnsi="Arial"/>
                <w:sz w:val="16"/>
                <w:szCs w:val="16"/>
                <w:color w:val="auto"/>
                <w:w w:val="89"/>
              </w:rPr>
              <w:t>101.1</w:t>
            </w:r>
          </w:p>
        </w:tc>
        <w:tc>
          <w:tcPr>
            <w:tcW w:w="740" w:type="dxa"/>
            <w:vAlign w:val="bottom"/>
          </w:tcPr>
          <w:p>
            <w:pPr>
              <w:ind w:left="20"/>
              <w:spacing w:after="0"/>
              <w:rPr>
                <w:sz w:val="20"/>
                <w:szCs w:val="20"/>
                <w:color w:val="auto"/>
              </w:rPr>
            </w:pPr>
            <w:r>
              <w:rPr>
                <w:rFonts w:ascii="Arial" w:cs="Arial" w:eastAsia="Arial" w:hAnsi="Arial"/>
                <w:sz w:val="16"/>
                <w:szCs w:val="16"/>
                <w:color w:val="auto"/>
              </w:rPr>
              <w:t>CAL</w:t>
            </w:r>
          </w:p>
        </w:tc>
        <w:tc>
          <w:tcPr>
            <w:tcW w:w="10080" w:type="dxa"/>
            <w:vAlign w:val="bottom"/>
            <w:gridSpan w:val="4"/>
          </w:tcPr>
          <w:p>
            <w:pPr>
              <w:spacing w:after="0"/>
              <w:rPr>
                <w:sz w:val="20"/>
                <w:szCs w:val="20"/>
                <w:color w:val="auto"/>
              </w:rPr>
            </w:pPr>
            <w:r>
              <w:rPr>
                <w:rFonts w:ascii="Arial" w:cs="Arial" w:eastAsia="Arial" w:hAnsi="Arial"/>
                <w:sz w:val="16"/>
                <w:szCs w:val="16"/>
                <w:color w:val="auto"/>
              </w:rPr>
              <w:t>Inline XBRL Taxonomy Extension Calculation Linkbase</w:t>
            </w:r>
          </w:p>
        </w:tc>
      </w:tr>
      <w:tr>
        <w:trPr>
          <w:trHeight w:val="335"/>
        </w:trPr>
        <w:tc>
          <w:tcPr>
            <w:tcW w:w="420" w:type="dxa"/>
            <w:vAlign w:val="bottom"/>
          </w:tcPr>
          <w:p>
            <w:pPr>
              <w:ind w:left="40"/>
              <w:spacing w:after="0"/>
              <w:rPr>
                <w:sz w:val="20"/>
                <w:szCs w:val="20"/>
                <w:color w:val="auto"/>
              </w:rPr>
            </w:pPr>
            <w:r>
              <w:rPr>
                <w:rFonts w:ascii="Arial" w:cs="Arial" w:eastAsia="Arial" w:hAnsi="Arial"/>
                <w:sz w:val="16"/>
                <w:szCs w:val="16"/>
                <w:color w:val="auto"/>
                <w:w w:val="89"/>
              </w:rPr>
              <w:t>101.1</w:t>
            </w:r>
          </w:p>
        </w:tc>
        <w:tc>
          <w:tcPr>
            <w:tcW w:w="740" w:type="dxa"/>
            <w:vAlign w:val="bottom"/>
          </w:tcPr>
          <w:p>
            <w:pPr>
              <w:ind w:left="20"/>
              <w:spacing w:after="0"/>
              <w:rPr>
                <w:sz w:val="20"/>
                <w:szCs w:val="20"/>
                <w:color w:val="auto"/>
              </w:rPr>
            </w:pPr>
            <w:r>
              <w:rPr>
                <w:rFonts w:ascii="Arial" w:cs="Arial" w:eastAsia="Arial" w:hAnsi="Arial"/>
                <w:sz w:val="16"/>
                <w:szCs w:val="16"/>
                <w:color w:val="auto"/>
              </w:rPr>
              <w:t>DEF</w:t>
            </w:r>
          </w:p>
        </w:tc>
        <w:tc>
          <w:tcPr>
            <w:tcW w:w="10080" w:type="dxa"/>
            <w:vAlign w:val="bottom"/>
            <w:gridSpan w:val="4"/>
          </w:tcPr>
          <w:p>
            <w:pPr>
              <w:spacing w:after="0"/>
              <w:rPr>
                <w:sz w:val="20"/>
                <w:szCs w:val="20"/>
                <w:color w:val="auto"/>
              </w:rPr>
            </w:pPr>
            <w:r>
              <w:rPr>
                <w:rFonts w:ascii="Arial" w:cs="Arial" w:eastAsia="Arial" w:hAnsi="Arial"/>
                <w:sz w:val="16"/>
                <w:szCs w:val="16"/>
                <w:color w:val="auto"/>
              </w:rPr>
              <w:t>Inline XBRL Taxonomy Extension Definition Linkbase</w:t>
            </w:r>
          </w:p>
        </w:tc>
      </w:tr>
      <w:tr>
        <w:trPr>
          <w:trHeight w:val="335"/>
        </w:trPr>
        <w:tc>
          <w:tcPr>
            <w:tcW w:w="420" w:type="dxa"/>
            <w:vAlign w:val="bottom"/>
          </w:tcPr>
          <w:p>
            <w:pPr>
              <w:ind w:left="40"/>
              <w:spacing w:after="0"/>
              <w:rPr>
                <w:sz w:val="20"/>
                <w:szCs w:val="20"/>
                <w:color w:val="auto"/>
              </w:rPr>
            </w:pPr>
            <w:r>
              <w:rPr>
                <w:rFonts w:ascii="Arial" w:cs="Arial" w:eastAsia="Arial" w:hAnsi="Arial"/>
                <w:sz w:val="16"/>
                <w:szCs w:val="16"/>
                <w:color w:val="auto"/>
                <w:w w:val="89"/>
              </w:rPr>
              <w:t>101.1</w:t>
            </w:r>
          </w:p>
        </w:tc>
        <w:tc>
          <w:tcPr>
            <w:tcW w:w="740" w:type="dxa"/>
            <w:vAlign w:val="bottom"/>
          </w:tcPr>
          <w:p>
            <w:pPr>
              <w:ind w:left="20"/>
              <w:spacing w:after="0"/>
              <w:rPr>
                <w:sz w:val="20"/>
                <w:szCs w:val="20"/>
                <w:color w:val="auto"/>
              </w:rPr>
            </w:pPr>
            <w:r>
              <w:rPr>
                <w:rFonts w:ascii="Arial" w:cs="Arial" w:eastAsia="Arial" w:hAnsi="Arial"/>
                <w:sz w:val="16"/>
                <w:szCs w:val="16"/>
                <w:color w:val="auto"/>
              </w:rPr>
              <w:t>LAB</w:t>
            </w:r>
          </w:p>
        </w:tc>
        <w:tc>
          <w:tcPr>
            <w:tcW w:w="10080" w:type="dxa"/>
            <w:vAlign w:val="bottom"/>
            <w:gridSpan w:val="4"/>
          </w:tcPr>
          <w:p>
            <w:pPr>
              <w:spacing w:after="0"/>
              <w:rPr>
                <w:sz w:val="20"/>
                <w:szCs w:val="20"/>
                <w:color w:val="auto"/>
              </w:rPr>
            </w:pPr>
            <w:r>
              <w:rPr>
                <w:rFonts w:ascii="Arial" w:cs="Arial" w:eastAsia="Arial" w:hAnsi="Arial"/>
                <w:sz w:val="16"/>
                <w:szCs w:val="16"/>
                <w:color w:val="auto"/>
              </w:rPr>
              <w:t>Inline XBRL Taxonomy Extension Label Linkbase</w:t>
            </w:r>
          </w:p>
        </w:tc>
      </w:tr>
      <w:tr>
        <w:trPr>
          <w:trHeight w:val="335"/>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101.1 PRE</w:t>
            </w:r>
          </w:p>
        </w:tc>
        <w:tc>
          <w:tcPr>
            <w:tcW w:w="10080" w:type="dxa"/>
            <w:vAlign w:val="bottom"/>
            <w:gridSpan w:val="4"/>
          </w:tcPr>
          <w:p>
            <w:pPr>
              <w:spacing w:after="0"/>
              <w:rPr>
                <w:sz w:val="20"/>
                <w:szCs w:val="20"/>
                <w:color w:val="auto"/>
              </w:rPr>
            </w:pPr>
            <w:r>
              <w:rPr>
                <w:rFonts w:ascii="Arial" w:cs="Arial" w:eastAsia="Arial" w:hAnsi="Arial"/>
                <w:sz w:val="16"/>
                <w:szCs w:val="16"/>
                <w:color w:val="auto"/>
              </w:rPr>
              <w:t>Inline XBRL Taxonomy Extension Presentation Linkbase</w:t>
            </w:r>
          </w:p>
        </w:tc>
      </w:tr>
      <w:tr>
        <w:trPr>
          <w:trHeight w:val="553"/>
        </w:trPr>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60" w:type="dxa"/>
            <w:vAlign w:val="bottom"/>
          </w:tcPr>
          <w:p>
            <w:pPr>
              <w:ind w:left="438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43"/>
        </w:trPr>
        <w:tc>
          <w:tcPr>
            <w:tcW w:w="4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sectPr>
      </w:pPr>
    </w:p>
    <w:bookmarkStart w:id="28" w:name="page29"/>
    <w:bookmarkEnd w:id="28"/>
    <w:p>
      <w:pPr>
        <w:spacing w:after="0"/>
        <w:tabs>
          <w:tab w:leader="none" w:pos="106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The cover page from the Company’s Quarterly Report on Form 10-Q for the quarter ended June 30, 2021, has been formatted in Inline XBRL</w:t>
      </w:r>
    </w:p>
    <w:p>
      <w:pPr>
        <w:sectPr>
          <w:pgSz w:w="11900" w:h="16838" w:orient="portrait"/>
          <w:cols w:equalWidth="0" w:num="1">
            <w:col w:w="10180"/>
          </w:cols>
          <w:pgMar w:left="360" w:top="357" w:right="135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227965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80"/>
          </w:cols>
          <w:pgMar w:left="360" w:top="357" w:right="135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20" w:type="dxa"/>
            <w:vAlign w:val="bottom"/>
          </w:tcPr>
          <w:p>
            <w:pPr>
              <w:spacing w:after="0"/>
              <w:rPr>
                <w:sz w:val="19"/>
                <w:szCs w:val="19"/>
                <w:color w:val="auto"/>
              </w:rPr>
            </w:pPr>
          </w:p>
        </w:tc>
        <w:tc>
          <w:tcPr>
            <w:tcW w:w="7720" w:type="dxa"/>
            <w:vAlign w:val="bottom"/>
            <w:gridSpan w:val="2"/>
          </w:tcPr>
          <w:p>
            <w:pPr>
              <w:ind w:left="2560"/>
              <w:spacing w:after="0"/>
              <w:rPr>
                <w:sz w:val="20"/>
                <w:szCs w:val="20"/>
                <w:color w:val="auto"/>
              </w:rPr>
            </w:pPr>
            <w:r>
              <w:rPr>
                <w:rFonts w:ascii="Arial" w:cs="Arial" w:eastAsia="Arial" w:hAnsi="Arial"/>
                <w:sz w:val="18"/>
                <w:szCs w:val="18"/>
                <w:color w:val="auto"/>
              </w:rPr>
              <w:t>HEALTHSTREAM, INC.</w:t>
            </w:r>
          </w:p>
        </w:tc>
      </w:tr>
      <w:tr>
        <w:trPr>
          <w:trHeight w:val="456"/>
        </w:trPr>
        <w:tc>
          <w:tcPr>
            <w:tcW w:w="3520" w:type="dxa"/>
            <w:vAlign w:val="bottom"/>
          </w:tcPr>
          <w:p>
            <w:pPr>
              <w:spacing w:after="0"/>
              <w:rPr>
                <w:sz w:val="20"/>
                <w:szCs w:val="20"/>
                <w:color w:val="auto"/>
              </w:rPr>
            </w:pPr>
            <w:r>
              <w:rPr>
                <w:rFonts w:ascii="Arial" w:cs="Arial" w:eastAsia="Arial" w:hAnsi="Arial"/>
                <w:sz w:val="18"/>
                <w:szCs w:val="18"/>
                <w:color w:val="auto"/>
              </w:rPr>
              <w:t>July 29, 2021</w:t>
            </w:r>
          </w:p>
        </w:tc>
        <w:tc>
          <w:tcPr>
            <w:tcW w:w="7720" w:type="dxa"/>
            <w:vAlign w:val="bottom"/>
            <w:gridSpan w:val="2"/>
          </w:tcPr>
          <w:p>
            <w:pPr>
              <w:ind w:left="2560"/>
              <w:spacing w:after="0"/>
              <w:rPr>
                <w:sz w:val="20"/>
                <w:szCs w:val="20"/>
                <w:color w:val="auto"/>
              </w:rPr>
            </w:pPr>
            <w:r>
              <w:rPr>
                <w:rFonts w:ascii="Arial" w:cs="Arial" w:eastAsia="Arial" w:hAnsi="Arial"/>
                <w:sz w:val="18"/>
                <w:szCs w:val="18"/>
                <w:color w:val="auto"/>
              </w:rPr>
              <w:t>By:  /s/ S</w:t>
            </w:r>
            <w:r>
              <w:rPr>
                <w:rFonts w:ascii="Arial" w:cs="Arial" w:eastAsia="Arial" w:hAnsi="Arial"/>
                <w:sz w:val="12"/>
                <w:szCs w:val="12"/>
                <w:color w:val="auto"/>
              </w:rPr>
              <w:t>COTT</w:t>
            </w:r>
            <w:r>
              <w:rPr>
                <w:rFonts w:ascii="Arial" w:cs="Arial" w:eastAsia="Arial" w:hAnsi="Arial"/>
                <w:sz w:val="18"/>
                <w:szCs w:val="18"/>
                <w:color w:val="auto"/>
              </w:rPr>
              <w:t xml:space="preserve"> A. R</w:t>
            </w:r>
            <w:r>
              <w:rPr>
                <w:rFonts w:ascii="Arial" w:cs="Arial" w:eastAsia="Arial" w:hAnsi="Arial"/>
                <w:sz w:val="12"/>
                <w:szCs w:val="12"/>
                <w:color w:val="auto"/>
              </w:rPr>
              <w:t>OBERTS</w:t>
            </w:r>
          </w:p>
        </w:tc>
      </w:tr>
      <w:tr>
        <w:trPr>
          <w:trHeight w:val="194"/>
        </w:trPr>
        <w:tc>
          <w:tcPr>
            <w:tcW w:w="35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76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Scott A. Roberts</w:t>
            </w:r>
          </w:p>
        </w:tc>
      </w:tr>
      <w:tr>
        <w:trPr>
          <w:trHeight w:val="227"/>
        </w:trPr>
        <w:tc>
          <w:tcPr>
            <w:tcW w:w="35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576" w:right="339" w:bottom="1440" w:gutter="0" w:footer="0" w:header="0"/>
        </w:sectPr>
      </w:pPr>
    </w:p>
    <w:bookmarkStart w:id="30" w:name="page31"/>
    <w:bookmarkEnd w:id="30"/>
    <w:p>
      <w:pPr>
        <w:jc w:val="right"/>
        <w:ind w:right="100"/>
        <w:spacing w:after="0"/>
        <w:rPr>
          <w:sz w:val="20"/>
          <w:szCs w:val="20"/>
          <w:color w:val="auto"/>
        </w:rPr>
      </w:pPr>
      <w:r>
        <w:rPr>
          <w:rFonts w:ascii="Arial" w:cs="Arial" w:eastAsia="Arial" w:hAnsi="Arial"/>
          <w:sz w:val="17"/>
          <w:szCs w:val="17"/>
          <w:color w:val="auto"/>
        </w:rPr>
        <w:t>EXHIBIT 31.1</w:t>
      </w:r>
    </w:p>
    <w:p>
      <w:pPr>
        <w:spacing w:after="0" w:line="21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Robert A. Frist, Jr., certify that:</w:t>
      </w:r>
    </w:p>
    <w:p>
      <w:pPr>
        <w:spacing w:after="0" w:line="220" w:lineRule="exact"/>
        <w:rPr>
          <w:sz w:val="20"/>
          <w:szCs w:val="20"/>
          <w:color w:val="auto"/>
        </w:rPr>
      </w:pPr>
    </w:p>
    <w:p>
      <w:pPr>
        <w:ind w:left="180" w:hanging="173"/>
        <w:spacing w:after="0"/>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HealthStream, Inc.;</w:t>
      </w:r>
    </w:p>
    <w:p>
      <w:pPr>
        <w:spacing w:after="0" w:line="219" w:lineRule="exact"/>
        <w:rPr>
          <w:rFonts w:ascii="Arial" w:cs="Arial" w:eastAsia="Arial" w:hAnsi="Arial"/>
          <w:sz w:val="17"/>
          <w:szCs w:val="17"/>
          <w:color w:val="auto"/>
        </w:rPr>
      </w:pPr>
    </w:p>
    <w:p>
      <w:pPr>
        <w:ind w:right="100" w:firstLine="7"/>
        <w:spacing w:after="0" w:line="302" w:lineRule="auto"/>
        <w:tabs>
          <w:tab w:leader="none" w:pos="185"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right="100" w:firstLine="7"/>
        <w:spacing w:after="0" w:line="270" w:lineRule="auto"/>
        <w:tabs>
          <w:tab w:leader="none" w:pos="193"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Arial" w:cs="Arial" w:eastAsia="Arial" w:hAnsi="Arial"/>
          <w:sz w:val="17"/>
          <w:szCs w:val="17"/>
          <w:color w:val="auto"/>
        </w:rPr>
      </w:pPr>
    </w:p>
    <w:p>
      <w:pPr>
        <w:ind w:right="100" w:firstLine="7"/>
        <w:spacing w:after="0" w:line="338" w:lineRule="auto"/>
        <w:tabs>
          <w:tab w:leader="none" w:pos="188"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5"/>
          <w:szCs w:val="15"/>
          <w:color w:val="auto"/>
        </w:rPr>
      </w:pPr>
    </w:p>
    <w:p>
      <w:pPr>
        <w:jc w:val="both"/>
        <w:ind w:left="560" w:right="100" w:firstLine="8"/>
        <w:spacing w:after="0" w:line="258" w:lineRule="auto"/>
        <w:tabs>
          <w:tab w:leader="none" w:pos="738"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7"/>
          <w:szCs w:val="17"/>
          <w:color w:val="auto"/>
        </w:rPr>
      </w:pPr>
    </w:p>
    <w:p>
      <w:pPr>
        <w:jc w:val="both"/>
        <w:ind w:left="560" w:right="100" w:firstLine="8"/>
        <w:spacing w:after="0" w:line="258" w:lineRule="auto"/>
        <w:tabs>
          <w:tab w:leader="none" w:pos="753"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7"/>
          <w:szCs w:val="17"/>
          <w:color w:val="auto"/>
        </w:rPr>
      </w:pPr>
    </w:p>
    <w:p>
      <w:pPr>
        <w:ind w:left="560" w:right="100" w:firstLine="8"/>
        <w:spacing w:after="0" w:line="270" w:lineRule="auto"/>
        <w:tabs>
          <w:tab w:leader="none" w:pos="735"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Arial" w:cs="Arial" w:eastAsia="Arial" w:hAnsi="Arial"/>
          <w:sz w:val="17"/>
          <w:szCs w:val="17"/>
          <w:color w:val="auto"/>
        </w:rPr>
      </w:pPr>
    </w:p>
    <w:p>
      <w:pPr>
        <w:jc w:val="both"/>
        <w:ind w:left="560" w:right="100" w:firstLine="8"/>
        <w:spacing w:after="0" w:line="258" w:lineRule="auto"/>
        <w:tabs>
          <w:tab w:leader="none" w:pos="764"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7"/>
          <w:szCs w:val="17"/>
          <w:color w:val="auto"/>
        </w:rPr>
      </w:pPr>
    </w:p>
    <w:p>
      <w:pPr>
        <w:ind w:right="100" w:firstLine="7"/>
        <w:spacing w:after="0" w:line="270" w:lineRule="auto"/>
        <w:tabs>
          <w:tab w:leader="none" w:pos="18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Arial" w:cs="Arial" w:eastAsia="Arial" w:hAnsi="Arial"/>
          <w:sz w:val="17"/>
          <w:szCs w:val="17"/>
          <w:color w:val="auto"/>
        </w:rPr>
      </w:pPr>
    </w:p>
    <w:p>
      <w:pPr>
        <w:ind w:left="560" w:right="100" w:firstLine="8"/>
        <w:spacing w:after="0" w:line="270" w:lineRule="auto"/>
        <w:tabs>
          <w:tab w:leader="none" w:pos="743"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Arial" w:cs="Arial" w:eastAsia="Arial" w:hAnsi="Arial"/>
          <w:sz w:val="17"/>
          <w:szCs w:val="17"/>
          <w:color w:val="auto"/>
        </w:rPr>
      </w:pPr>
    </w:p>
    <w:p>
      <w:pPr>
        <w:ind w:left="560" w:right="100" w:firstLine="8"/>
        <w:spacing w:after="0" w:line="270" w:lineRule="auto"/>
        <w:tabs>
          <w:tab w:leader="none" w:pos="762"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tcPr>
          <w:p>
            <w:pPr>
              <w:spacing w:after="0"/>
              <w:rPr>
                <w:sz w:val="20"/>
                <w:szCs w:val="20"/>
                <w:color w:val="auto"/>
              </w:rPr>
            </w:pPr>
            <w:r>
              <w:rPr>
                <w:rFonts w:ascii="Arial" w:cs="Arial" w:eastAsia="Arial" w:hAnsi="Arial"/>
                <w:sz w:val="17"/>
                <w:szCs w:val="17"/>
                <w:color w:val="auto"/>
              </w:rPr>
              <w:t>Date: July 29, 2021</w:t>
            </w:r>
          </w:p>
        </w:tc>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w:t>
            </w:r>
            <w:r>
              <w:rPr>
                <w:rFonts w:ascii="Arial" w:cs="Arial" w:eastAsia="Arial" w:hAnsi="Arial"/>
                <w:sz w:val="12"/>
                <w:szCs w:val="12"/>
                <w:color w:val="auto"/>
              </w:rPr>
              <w:t>OBERT</w:t>
            </w:r>
            <w:r>
              <w:rPr>
                <w:rFonts w:ascii="Arial" w:cs="Arial" w:eastAsia="Arial" w:hAnsi="Arial"/>
                <w:sz w:val="17"/>
                <w:szCs w:val="17"/>
                <w:color w:val="auto"/>
              </w:rPr>
              <w:t xml:space="preserve"> A. F</w:t>
            </w:r>
            <w:r>
              <w:rPr>
                <w:rFonts w:ascii="Arial" w:cs="Arial" w:eastAsia="Arial" w:hAnsi="Arial"/>
                <w:sz w:val="12"/>
                <w:szCs w:val="12"/>
                <w:color w:val="auto"/>
              </w:rPr>
              <w:t>RIST</w:t>
            </w:r>
            <w:r>
              <w:rPr>
                <w:rFonts w:ascii="Arial" w:cs="Arial" w:eastAsia="Arial" w:hAnsi="Arial"/>
                <w:sz w:val="17"/>
                <w:szCs w:val="17"/>
                <w:color w:val="auto"/>
              </w:rPr>
              <w:t>, J</w:t>
            </w:r>
            <w:r>
              <w:rPr>
                <w:rFonts w:ascii="Arial" w:cs="Arial" w:eastAsia="Arial" w:hAnsi="Arial"/>
                <w:sz w:val="12"/>
                <w:szCs w:val="12"/>
                <w:color w:val="auto"/>
              </w:rPr>
              <w:t>R</w:t>
            </w:r>
            <w:r>
              <w:rPr>
                <w:rFonts w:ascii="Arial" w:cs="Arial" w:eastAsia="Arial" w:hAnsi="Arial"/>
                <w:sz w:val="17"/>
                <w:szCs w:val="17"/>
                <w:color w:val="auto"/>
              </w:rPr>
              <w:t>.</w:t>
            </w:r>
          </w:p>
        </w:tc>
      </w:tr>
      <w:tr>
        <w:trPr>
          <w:trHeight w:val="178"/>
        </w:trPr>
        <w:tc>
          <w:tcPr>
            <w:tcW w:w="6840" w:type="dxa"/>
            <w:vAlign w:val="bottom"/>
          </w:tcPr>
          <w:p>
            <w:pPr>
              <w:spacing w:after="0"/>
              <w:rPr>
                <w:sz w:val="15"/>
                <w:szCs w:val="15"/>
                <w:color w:val="auto"/>
              </w:rPr>
            </w:pPr>
          </w:p>
        </w:tc>
        <w:tc>
          <w:tcPr>
            <w:tcW w:w="4500" w:type="dxa"/>
            <w:vAlign w:val="bottom"/>
          </w:tcPr>
          <w:p>
            <w:pPr>
              <w:spacing w:after="0" w:line="178" w:lineRule="exact"/>
              <w:rPr>
                <w:sz w:val="20"/>
                <w:szCs w:val="20"/>
                <w:color w:val="auto"/>
              </w:rPr>
            </w:pPr>
            <w:r>
              <w:rPr>
                <w:rFonts w:ascii="Arial" w:cs="Arial" w:eastAsia="Arial" w:hAnsi="Arial"/>
                <w:sz w:val="17"/>
                <w:szCs w:val="17"/>
                <w:color w:val="auto"/>
              </w:rPr>
              <w:t>Robert A. Frist, Jr.</w:t>
            </w:r>
          </w:p>
        </w:tc>
      </w:tr>
      <w:tr>
        <w:trPr>
          <w:trHeight w:val="215"/>
        </w:trPr>
        <w:tc>
          <w:tcPr>
            <w:tcW w:w="68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340"/>
          </w:cols>
          <w:pgMar w:left="320" w:top="349" w:right="239" w:bottom="1440" w:gutter="0" w:footer="0" w:header="0"/>
        </w:sectPr>
      </w:pPr>
    </w:p>
    <w:bookmarkStart w:id="31" w:name="page32"/>
    <w:bookmarkEnd w:id="31"/>
    <w:p>
      <w:pPr>
        <w:jc w:val="right"/>
        <w:ind w:right="100"/>
        <w:spacing w:after="0"/>
        <w:rPr>
          <w:sz w:val="20"/>
          <w:szCs w:val="20"/>
          <w:color w:val="auto"/>
        </w:rPr>
      </w:pPr>
      <w:r>
        <w:rPr>
          <w:rFonts w:ascii="Arial" w:cs="Arial" w:eastAsia="Arial" w:hAnsi="Arial"/>
          <w:sz w:val="17"/>
          <w:szCs w:val="17"/>
          <w:color w:val="auto"/>
        </w:rPr>
        <w:t>EXHIBIT 31.2</w:t>
      </w:r>
    </w:p>
    <w:p>
      <w:pPr>
        <w:spacing w:after="0" w:line="32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Scott A. Roberts, certify that:</w:t>
      </w:r>
    </w:p>
    <w:p>
      <w:pPr>
        <w:spacing w:after="0" w:line="220" w:lineRule="exact"/>
        <w:rPr>
          <w:sz w:val="20"/>
          <w:szCs w:val="20"/>
          <w:color w:val="auto"/>
        </w:rPr>
      </w:pPr>
    </w:p>
    <w:p>
      <w:pPr>
        <w:ind w:left="180" w:hanging="173"/>
        <w:spacing w:after="0"/>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HealthStream, Inc.;</w:t>
      </w:r>
    </w:p>
    <w:p>
      <w:pPr>
        <w:spacing w:after="0" w:line="219" w:lineRule="exact"/>
        <w:rPr>
          <w:rFonts w:ascii="Arial" w:cs="Arial" w:eastAsia="Arial" w:hAnsi="Arial"/>
          <w:sz w:val="17"/>
          <w:szCs w:val="17"/>
          <w:color w:val="auto"/>
        </w:rPr>
      </w:pPr>
    </w:p>
    <w:p>
      <w:pPr>
        <w:ind w:right="100" w:firstLine="7"/>
        <w:spacing w:after="0" w:line="302" w:lineRule="auto"/>
        <w:tabs>
          <w:tab w:leader="none" w:pos="185"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right="100" w:firstLine="7"/>
        <w:spacing w:after="0" w:line="270" w:lineRule="auto"/>
        <w:tabs>
          <w:tab w:leader="none" w:pos="193"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Arial" w:cs="Arial" w:eastAsia="Arial" w:hAnsi="Arial"/>
          <w:sz w:val="17"/>
          <w:szCs w:val="17"/>
          <w:color w:val="auto"/>
        </w:rPr>
      </w:pPr>
    </w:p>
    <w:p>
      <w:pPr>
        <w:ind w:right="100" w:firstLine="7"/>
        <w:spacing w:after="0" w:line="338" w:lineRule="auto"/>
        <w:tabs>
          <w:tab w:leader="none" w:pos="188"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5"/>
          <w:szCs w:val="15"/>
          <w:color w:val="auto"/>
        </w:rPr>
      </w:pPr>
    </w:p>
    <w:p>
      <w:pPr>
        <w:jc w:val="both"/>
        <w:ind w:left="560" w:right="100" w:firstLine="8"/>
        <w:spacing w:after="0" w:line="258" w:lineRule="auto"/>
        <w:tabs>
          <w:tab w:leader="none" w:pos="738"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7"/>
          <w:szCs w:val="17"/>
          <w:color w:val="auto"/>
        </w:rPr>
      </w:pPr>
    </w:p>
    <w:p>
      <w:pPr>
        <w:jc w:val="both"/>
        <w:ind w:left="560" w:right="100" w:firstLine="8"/>
        <w:spacing w:after="0" w:line="258" w:lineRule="auto"/>
        <w:tabs>
          <w:tab w:leader="none" w:pos="753"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7"/>
          <w:szCs w:val="17"/>
          <w:color w:val="auto"/>
        </w:rPr>
      </w:pPr>
    </w:p>
    <w:p>
      <w:pPr>
        <w:ind w:left="560" w:right="100" w:firstLine="8"/>
        <w:spacing w:after="0" w:line="270" w:lineRule="auto"/>
        <w:tabs>
          <w:tab w:leader="none" w:pos="735"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Arial" w:cs="Arial" w:eastAsia="Arial" w:hAnsi="Arial"/>
          <w:sz w:val="17"/>
          <w:szCs w:val="17"/>
          <w:color w:val="auto"/>
        </w:rPr>
      </w:pPr>
    </w:p>
    <w:p>
      <w:pPr>
        <w:jc w:val="both"/>
        <w:ind w:left="560" w:right="100" w:firstLine="8"/>
        <w:spacing w:after="0" w:line="258" w:lineRule="auto"/>
        <w:tabs>
          <w:tab w:leader="none" w:pos="764"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7"/>
          <w:szCs w:val="17"/>
          <w:color w:val="auto"/>
        </w:rPr>
      </w:pPr>
    </w:p>
    <w:p>
      <w:pPr>
        <w:ind w:right="100" w:firstLine="7"/>
        <w:spacing w:after="0" w:line="270" w:lineRule="auto"/>
        <w:tabs>
          <w:tab w:leader="none" w:pos="18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Arial" w:cs="Arial" w:eastAsia="Arial" w:hAnsi="Arial"/>
          <w:sz w:val="17"/>
          <w:szCs w:val="17"/>
          <w:color w:val="auto"/>
        </w:rPr>
      </w:pPr>
    </w:p>
    <w:p>
      <w:pPr>
        <w:ind w:left="560" w:right="100" w:firstLine="8"/>
        <w:spacing w:after="0" w:line="270" w:lineRule="auto"/>
        <w:tabs>
          <w:tab w:leader="none" w:pos="743"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Arial" w:cs="Arial" w:eastAsia="Arial" w:hAnsi="Arial"/>
          <w:sz w:val="17"/>
          <w:szCs w:val="17"/>
          <w:color w:val="auto"/>
        </w:rPr>
      </w:pPr>
    </w:p>
    <w:p>
      <w:pPr>
        <w:ind w:left="560" w:right="100" w:firstLine="8"/>
        <w:spacing w:after="0" w:line="270" w:lineRule="auto"/>
        <w:tabs>
          <w:tab w:leader="none" w:pos="762"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60" w:type="dxa"/>
            <w:vAlign w:val="bottom"/>
          </w:tcPr>
          <w:p>
            <w:pPr>
              <w:spacing w:after="0"/>
              <w:rPr>
                <w:sz w:val="20"/>
                <w:szCs w:val="20"/>
                <w:color w:val="auto"/>
              </w:rPr>
            </w:pPr>
            <w:r>
              <w:rPr>
                <w:rFonts w:ascii="Arial" w:cs="Arial" w:eastAsia="Arial" w:hAnsi="Arial"/>
                <w:sz w:val="17"/>
                <w:szCs w:val="17"/>
                <w:color w:val="auto"/>
              </w:rPr>
              <w:t>Date: July 29, 2021</w:t>
            </w:r>
          </w:p>
        </w:tc>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w:t>
            </w:r>
            <w:r>
              <w:rPr>
                <w:rFonts w:ascii="Arial" w:cs="Arial" w:eastAsia="Arial" w:hAnsi="Arial"/>
                <w:sz w:val="12"/>
                <w:szCs w:val="12"/>
                <w:color w:val="auto"/>
              </w:rPr>
              <w:t>COTT</w:t>
            </w:r>
            <w:r>
              <w:rPr>
                <w:rFonts w:ascii="Arial" w:cs="Arial" w:eastAsia="Arial" w:hAnsi="Arial"/>
                <w:sz w:val="17"/>
                <w:szCs w:val="17"/>
                <w:color w:val="auto"/>
              </w:rPr>
              <w:t xml:space="preserve"> A. R</w:t>
            </w:r>
            <w:r>
              <w:rPr>
                <w:rFonts w:ascii="Arial" w:cs="Arial" w:eastAsia="Arial" w:hAnsi="Arial"/>
                <w:sz w:val="12"/>
                <w:szCs w:val="12"/>
                <w:color w:val="auto"/>
              </w:rPr>
              <w:t>OBERTS</w:t>
            </w:r>
          </w:p>
        </w:tc>
      </w:tr>
      <w:tr>
        <w:trPr>
          <w:trHeight w:val="178"/>
        </w:trPr>
        <w:tc>
          <w:tcPr>
            <w:tcW w:w="6960" w:type="dxa"/>
            <w:vAlign w:val="bottom"/>
          </w:tcPr>
          <w:p>
            <w:pPr>
              <w:spacing w:after="0"/>
              <w:rPr>
                <w:sz w:val="15"/>
                <w:szCs w:val="15"/>
                <w:color w:val="auto"/>
              </w:rPr>
            </w:pPr>
          </w:p>
        </w:tc>
        <w:tc>
          <w:tcPr>
            <w:tcW w:w="4380" w:type="dxa"/>
            <w:vAlign w:val="bottom"/>
          </w:tcPr>
          <w:p>
            <w:pPr>
              <w:spacing w:after="0" w:line="178" w:lineRule="exact"/>
              <w:rPr>
                <w:sz w:val="20"/>
                <w:szCs w:val="20"/>
                <w:color w:val="auto"/>
              </w:rPr>
            </w:pPr>
            <w:r>
              <w:rPr>
                <w:rFonts w:ascii="Arial" w:cs="Arial" w:eastAsia="Arial" w:hAnsi="Arial"/>
                <w:sz w:val="17"/>
                <w:szCs w:val="17"/>
                <w:color w:val="auto"/>
              </w:rPr>
              <w:t>Scott A. Roberts</w:t>
            </w:r>
          </w:p>
        </w:tc>
      </w:tr>
      <w:tr>
        <w:trPr>
          <w:trHeight w:val="215"/>
        </w:trPr>
        <w:tc>
          <w:tcPr>
            <w:tcW w:w="69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340"/>
          </w:cols>
          <w:pgMar w:left="320" w:top="34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7"/>
          <w:szCs w:val="17"/>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connection with the Quarterly Report of HealthStream, Inc. (the “Company”) on Form 10-Q for the period ending June 30, 2021,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186" w:lineRule="exact"/>
        <w:rPr>
          <w:sz w:val="20"/>
          <w:szCs w:val="20"/>
          <w:color w:val="auto"/>
        </w:rPr>
      </w:pPr>
    </w:p>
    <w:p>
      <w:pPr>
        <w:ind w:left="1720" w:hanging="856"/>
        <w:spacing w:after="0"/>
        <w:tabs>
          <w:tab w:leader="none" w:pos="1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2" w:lineRule="exact"/>
        <w:rPr>
          <w:rFonts w:ascii="Arial" w:cs="Arial" w:eastAsia="Arial" w:hAnsi="Arial"/>
          <w:sz w:val="17"/>
          <w:szCs w:val="17"/>
          <w:color w:val="auto"/>
        </w:rPr>
      </w:pPr>
    </w:p>
    <w:p>
      <w:pPr>
        <w:ind w:left="1720" w:right="420" w:hanging="856"/>
        <w:spacing w:after="0" w:line="270" w:lineRule="auto"/>
        <w:tabs>
          <w:tab w:leader="none" w:pos="1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/s/ R</w:t>
      </w:r>
      <w:r>
        <w:rPr>
          <w:rFonts w:ascii="Arial" w:cs="Arial" w:eastAsia="Arial" w:hAnsi="Arial"/>
          <w:sz w:val="12"/>
          <w:szCs w:val="12"/>
          <w:color w:val="auto"/>
        </w:rPr>
        <w:t>OBERT</w:t>
      </w:r>
      <w:r>
        <w:rPr>
          <w:rFonts w:ascii="Arial" w:cs="Arial" w:eastAsia="Arial" w:hAnsi="Arial"/>
          <w:sz w:val="17"/>
          <w:szCs w:val="17"/>
          <w:color w:val="auto"/>
        </w:rPr>
        <w:t xml:space="preserve"> A. F</w:t>
      </w:r>
      <w:r>
        <w:rPr>
          <w:rFonts w:ascii="Arial" w:cs="Arial" w:eastAsia="Arial" w:hAnsi="Arial"/>
          <w:sz w:val="12"/>
          <w:szCs w:val="12"/>
          <w:color w:val="auto"/>
        </w:rPr>
        <w:t>RIST</w:t>
      </w:r>
      <w:r>
        <w:rPr>
          <w:rFonts w:ascii="Arial" w:cs="Arial" w:eastAsia="Arial" w:hAnsi="Arial"/>
          <w:sz w:val="17"/>
          <w:szCs w:val="17"/>
          <w:color w:val="auto"/>
        </w:rPr>
        <w:t>, J</w:t>
      </w:r>
      <w:r>
        <w:rPr>
          <w:rFonts w:ascii="Arial" w:cs="Arial" w:eastAsia="Arial" w:hAnsi="Arial"/>
          <w:sz w:val="12"/>
          <w:szCs w:val="12"/>
          <w:color w:val="auto"/>
        </w:rPr>
        <w:t>R</w:t>
      </w:r>
      <w:r>
        <w:rPr>
          <w:rFonts w:ascii="Arial" w:cs="Arial" w:eastAsia="Arial" w:hAnsi="Arial"/>
          <w:sz w:val="17"/>
          <w:szCs w:val="17"/>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24911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911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July 29, 2021</w:t>
      </w:r>
    </w:p>
    <w:p>
      <w:pPr>
        <w:sectPr>
          <w:pgSz w:w="11900" w:h="16838" w:orient="portrait"/>
          <w:cols w:equalWidth="0" w:num="1">
            <w:col w:w="11240"/>
          </w:cols>
          <w:pgMar w:left="320" w:top="349"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7"/>
          <w:szCs w:val="17"/>
          <w:color w:val="auto"/>
        </w:rPr>
        <w:t>EXHIBIT 32.2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connection with the Quarterly Report of HealthStream, Inc. (the “Company”) on Form 10-Q for the period ending June 30, 2021, as filed with the Securities and Exchange Commission on the date hereof (the “Report”), Scott A. Roberts, Chief Financial Officer of the Company, certifies, pursuant to 18 U.S.C. Section 1350, as adopted pursuant to Section 906 of the Sarbanes-Oxley Act of 2002, that:</w:t>
      </w:r>
    </w:p>
    <w:p>
      <w:pPr>
        <w:spacing w:after="0" w:line="186" w:lineRule="exact"/>
        <w:rPr>
          <w:sz w:val="20"/>
          <w:szCs w:val="20"/>
          <w:color w:val="auto"/>
        </w:rPr>
      </w:pPr>
    </w:p>
    <w:p>
      <w:pPr>
        <w:ind w:left="1720" w:hanging="856"/>
        <w:spacing w:after="0"/>
        <w:tabs>
          <w:tab w:leader="none" w:pos="1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2" w:lineRule="exact"/>
        <w:rPr>
          <w:rFonts w:ascii="Arial" w:cs="Arial" w:eastAsia="Arial" w:hAnsi="Arial"/>
          <w:sz w:val="17"/>
          <w:szCs w:val="17"/>
          <w:color w:val="auto"/>
        </w:rPr>
      </w:pPr>
    </w:p>
    <w:p>
      <w:pPr>
        <w:ind w:left="1720" w:right="420" w:hanging="856"/>
        <w:spacing w:after="0" w:line="270" w:lineRule="auto"/>
        <w:tabs>
          <w:tab w:leader="none" w:pos="1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/s/ S</w:t>
      </w:r>
      <w:r>
        <w:rPr>
          <w:rFonts w:ascii="Arial" w:cs="Arial" w:eastAsia="Arial" w:hAnsi="Arial"/>
          <w:sz w:val="12"/>
          <w:szCs w:val="12"/>
          <w:color w:val="auto"/>
        </w:rPr>
        <w:t>COTT</w:t>
      </w:r>
      <w:r>
        <w:rPr>
          <w:rFonts w:ascii="Arial" w:cs="Arial" w:eastAsia="Arial" w:hAnsi="Arial"/>
          <w:sz w:val="17"/>
          <w:szCs w:val="17"/>
          <w:color w:val="auto"/>
        </w:rPr>
        <w:t xml:space="preserve"> A. R</w:t>
      </w:r>
      <w:r>
        <w:rPr>
          <w:rFonts w:ascii="Arial" w:cs="Arial" w:eastAsia="Arial" w:hAnsi="Arial"/>
          <w:sz w:val="12"/>
          <w:szCs w:val="12"/>
          <w:color w:val="auto"/>
        </w:rPr>
        <w:t>OBERTS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Scott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24911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11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July 29, 2021</w:t>
      </w:r>
    </w:p>
    <w:sectPr>
      <w:pgSz w:w="11900" w:h="16838" w:orient="portrait"/>
      <w:cols w:equalWidth="0" w:num="1">
        <w:col w:w="11240"/>
      </w:cols>
      <w:pgMar w:left="320" w:top="3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2021-07-29T16:56:55Z</dcterms:created>
  <dcterms:modified xsi:type="dcterms:W3CDTF">2021-07-29T16:56:55Z</dcterms:modified>
</cp:coreProperties>
</file>