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September 30, 2026</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500 11th Avenue North, Suite 850,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2, 2026, there were 30,632,969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1"/>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2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September 30, 2026 and December 31, 2025</w:t>
            </w:r>
          </w:p>
        </w:tc>
        <w:tc>
          <w:tcPr>
            <w:tcW w:w="206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(Unaudited) – Three and Nine Months ended September 30, 2026 and 2025</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2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and Nine Months ended September 30,</w:t>
            </w:r>
          </w:p>
        </w:tc>
        <w:tc>
          <w:tcPr>
            <w:tcW w:w="20" w:type="dxa"/>
            <w:vAlign w:val="bottom"/>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93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2026 and 2025</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Shareholders' Equity (Unaudited) – Three and Nine Months ended September 30, 2026</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196"/>
        </w:trPr>
        <w:tc>
          <w:tcPr>
            <w:tcW w:w="940" w:type="dxa"/>
            <w:vAlign w:val="bottom"/>
          </w:tcPr>
          <w:p>
            <w:pPr>
              <w:spacing w:after="0"/>
              <w:rPr>
                <w:sz w:val="17"/>
                <w:szCs w:val="17"/>
                <w:color w:val="auto"/>
              </w:rPr>
            </w:pPr>
          </w:p>
        </w:tc>
        <w:tc>
          <w:tcPr>
            <w:tcW w:w="92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 Nine Months ended September 30, 2026 and 2025</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50"/>
        </w:trPr>
        <w:tc>
          <w:tcPr>
            <w:tcW w:w="940" w:type="dxa"/>
            <w:vAlign w:val="bottom"/>
          </w:tcPr>
          <w:p>
            <w:pPr>
              <w:spacing w:after="0"/>
              <w:rPr>
                <w:sz w:val="21"/>
                <w:szCs w:val="21"/>
                <w:color w:val="auto"/>
              </w:rPr>
            </w:pPr>
          </w:p>
        </w:tc>
        <w:tc>
          <w:tcPr>
            <w:tcW w:w="84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80" w:type="dxa"/>
            <w:vAlign w:val="bottom"/>
            <w:gridSpan w:val="4"/>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w:t>
            </w:r>
          </w:p>
        </w:tc>
        <w:tc>
          <w:tcPr>
            <w:tcW w:w="20" w:type="dxa"/>
            <w:vAlign w:val="bottom"/>
          </w:tcPr>
          <w:p>
            <w:pPr>
              <w:spacing w:after="0"/>
              <w:rPr>
                <w:sz w:val="21"/>
                <w:szCs w:val="2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25</w:t>
            </w: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25</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1"/>
                <w:szCs w:val="21"/>
                <w:color w:val="auto"/>
              </w:rPr>
            </w:pPr>
          </w:p>
        </w:tc>
        <w:tc>
          <w:tcPr>
            <w:tcW w:w="7540" w:type="dxa"/>
            <w:vAlign w:val="bottom"/>
            <w:gridSpan w:val="10"/>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3020" w:type="dxa"/>
            <w:vAlign w:val="bottom"/>
            <w:gridSpan w:val="5"/>
          </w:tcPr>
          <w:p>
            <w:pPr>
              <w:spacing w:after="0"/>
              <w:rPr>
                <w:sz w:val="21"/>
                <w:szCs w:val="21"/>
                <w:color w:val="auto"/>
              </w:rPr>
            </w:pPr>
          </w:p>
        </w:tc>
        <w:tc>
          <w:tcPr>
            <w:tcW w:w="496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26</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27</w:t>
            </w:r>
          </w:p>
        </w:tc>
      </w:tr>
      <w:tr>
        <w:trPr>
          <w:trHeight w:val="20"/>
        </w:trPr>
        <w:tc>
          <w:tcPr>
            <w:tcW w:w="9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28</w:t>
            </w:r>
          </w:p>
        </w:tc>
      </w:tr>
      <w:tr>
        <w:trPr>
          <w:trHeight w:val="621"/>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58,964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36,161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32,153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119,656</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development,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45,581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217,518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56,358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565,851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520,374</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124,146</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 issued or outstanding</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30,615 and 29,579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September 30, 2026 and December 31, 2025,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265,266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123,587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(loss)/income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(1,361)</w:t>
            </w:r>
          </w:p>
        </w:tc>
      </w:tr>
      <w:tr>
        <w:trPr>
          <w:trHeight w:val="210"/>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354,023</w:t>
            </w:r>
          </w:p>
        </w:tc>
        <w:tc>
          <w:tcPr>
            <w:tcW w:w="100" w:type="dxa"/>
            <w:vAlign w:val="bottom"/>
            <w:tcBorders>
              <w:top w:val="single" w:sz="8" w:color="CCEEFF"/>
            </w:tcBorders>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565,851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520,374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660" w:type="dxa"/>
            <w:vAlign w:val="bottom"/>
            <w:gridSpan w:val="9"/>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86,784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40,712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39,783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24,641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23,396</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11,265</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33,905</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32,441</w:t>
            </w:r>
          </w:p>
        </w:tc>
        <w:tc>
          <w:tcPr>
            <w:tcW w:w="0" w:type="dxa"/>
            <w:vAlign w:val="bottom"/>
          </w:tcPr>
          <w:p>
            <w:pPr>
              <w:spacing w:after="0"/>
              <w:rPr>
                <w:sz w:val="1"/>
                <w:szCs w:val="1"/>
                <w:color w:val="auto"/>
              </w:rPr>
            </w:pPr>
          </w:p>
        </w:tc>
      </w:tr>
      <w:tr>
        <w:trPr>
          <w:trHeight w:val="209"/>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76,722</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68,907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225,825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6,587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17,832</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20,367</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5,634</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29,491</w:t>
            </w:r>
          </w:p>
        </w:tc>
        <w:tc>
          <w:tcPr>
            <w:tcW w:w="2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29,688</w:t>
            </w:r>
          </w:p>
        </w:tc>
        <w:tc>
          <w:tcPr>
            <w:tcW w:w="2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29,366</w:t>
            </w:r>
          </w:p>
        </w:tc>
        <w:tc>
          <w:tcPr>
            <w:tcW w:w="240" w:type="dxa"/>
            <w:vAlign w:val="bottom"/>
          </w:tcPr>
          <w:p>
            <w:pPr>
              <w:spacing w:after="0"/>
              <w:rPr>
                <w:sz w:val="24"/>
                <w:szCs w:val="24"/>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30,151</w:t>
            </w:r>
          </w:p>
        </w:tc>
        <w:tc>
          <w:tcPr>
            <w:tcW w:w="0" w:type="dxa"/>
            <w:vAlign w:val="bottom"/>
          </w:tcPr>
          <w:p>
            <w:pPr>
              <w:spacing w:after="0"/>
              <w:rPr>
                <w:sz w:val="1"/>
                <w:szCs w:val="1"/>
                <w:color w:val="auto"/>
              </w:rPr>
            </w:pPr>
          </w:p>
        </w:tc>
      </w:tr>
      <w:tr>
        <w:trPr>
          <w:trHeight w:val="197"/>
        </w:trPr>
        <w:tc>
          <w:tcPr>
            <w:tcW w:w="4620" w:type="dxa"/>
            <w:vAlign w:val="bottom"/>
            <w:tcBorders>
              <w:top w:val="single" w:sz="8" w:color="CCEEFF"/>
              <w:bottom w:val="single" w:sz="8" w:color="CCEEFF"/>
            </w:tcBorders>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29,656</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29,811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29,465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30,283</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13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2"/>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0.035</w:t>
            </w:r>
          </w:p>
        </w:tc>
        <w:tc>
          <w:tcPr>
            <w:tcW w:w="2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0.031</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0.105</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0.093</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20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15,808</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1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29"/>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4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tcPr>
          <w:p>
            <w:pPr>
              <w:spacing w:after="0"/>
              <w:rPr>
                <w:sz w:val="18"/>
                <w:szCs w:val="18"/>
                <w:color w:val="auto"/>
              </w:rPr>
            </w:pPr>
          </w:p>
        </w:tc>
      </w:tr>
      <w:tr>
        <w:trPr>
          <w:trHeight w:val="223"/>
        </w:trPr>
        <w:tc>
          <w:tcPr>
            <w:tcW w:w="4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123,587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354,023</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5,910</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5,910</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($0.035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(342)</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128,469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351,992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6,669</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6,669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($0.035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224,384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134,111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356,605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5,373</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($0.035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8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39,882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39,882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265,266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401,940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359,355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4,332</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($0.031 per share)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252,466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112,361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362,808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5,389</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5,389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($0.031 per share)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(946)</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(18,121)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116,804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350,567</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6,086</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on common stock ($0.031 per share)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(6,897)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228,753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121,972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349,193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4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17,951</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33,905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16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royalties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(11,833)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royalties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31,350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(66,168)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(41,434)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other investments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(21,329)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(21,910)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(1,980)</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(3,481)</w:t>
            </w:r>
          </w:p>
        </w:tc>
        <w:tc>
          <w:tcPr>
            <w:tcW w:w="0" w:type="dxa"/>
            <w:vAlign w:val="bottom"/>
          </w:tcPr>
          <w:p>
            <w:pPr>
              <w:spacing w:after="0"/>
              <w:rPr>
                <w:sz w:val="1"/>
                <w:szCs w:val="1"/>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earn-outs related to acquisitions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1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(9,306)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(25,018)</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36,161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59,469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58,964</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Capitalized software development, accrued but not paid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1,078</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primarily provides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whether through the Company's enterprise applications or emerging career networks. The Company also provides its solutions to nursing schools and nursing students.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We believe that our single platform strategy, as represented by hStream, is the best way to realize our mission of improving the quality of care by developing the people who deliver care and the best way to create value for our shareholders in the process. As used in this Quarterly Report on Form 10-Q (“Form 10-Q”), “HealthStream,” “Company,” “we,” “us,” and “our” mean HealthStream, Inc. and its subsidiaries, unless the context indicates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and certain prior period amounts have been reclassified to conform to the current period presentation. Operating results for the three and nine months ended September 30, 2026 are not necessarily indicative of the results that may be expected for the year ending December 31, 2026.</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2025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2025 (included in the Company's Annual Report on Form 10-K, filed with the Securities and Exchange Commission on February 26,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business is organized and managed around a consolidated, enterprise approach, including with regard to technology, operations, accounting, internal reporting (including the nature of information reviewed by the CODM), organization structure, compensation, performance assessment, and resource allocation. The Company’s CODM uses consolidated net income to make operating decisions, assess financial performance, and allocate resources. Further, the CODM reviews and utilizes functional expenses (cost of revenues, product development, sales and marketing, general and administrative, and depreciation and amortization) at the consolidated level to manage the Company's operations. Other segment items included in consolidated net income are interest income, other expense, net, and income tax provision, which are reflected in the Condensed Consolidated Statements of Income. Expenditures for additions to long-lived assets for the consolidated entity were $34.9 million and $34.2 million for the nine months ended September 30, 2026 and 2025,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carrying amounts of non-marketable equity investments accounted for using the measurement alternative for equity investments that do not have readily determinable fair values were $3.0 million and $1.5 million as of September 30, 2026 and December 31, 2025, respectively, which the Company evaluates for impairment at each reporting period. Cumulatively, there have been no adjustments recorded due to changes in the fair value of the non-marketable equity investments the Company held as of September 30, 2026. The fair value of non-marketable equity investments is not estimated if there are no identified events or changes in circumstances that may have a significant adverse effect on the fair value of the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acquisitions of Total Clinical Placement System ("TCPS") in October 2024, The Clinical Hub, Inc. ("The Clinical Hub") in November 2024, Virsys12, LLC ("Virsys12") in October 2025, and MissionCare Collective LLC ("MissionCare") in December 2025, a portion of the purchase price payable by the Company was in the form of contingent consideration. During the three and nine months ended September 30, 2026 and 2025, the Company recorded contingent consideration liabilities representing the estimated fair value of future earnout payments to the former owners of such entities in connection with these acquisitions, contingent upon the achievement of specified revenue milestones. The contingent consideration liability is remeasured to fair value each reporting period, with changes recognized in general and administrative expense in the Condensed Consolidated Statements of Income. The Company classifies this liability within Level 3 of the fair value hierarchy because the valuation relies on significant unobservable inputs. As of September 30, 2026, the Company's ending balance contained liabilities related to Virsys12 and MissionCare.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 Initial recognition</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included in earnings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March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Purchases / Initial recognition</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included in earnings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June 30</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Purchases / Initial recognition</w:t>
            </w: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(gains) losses included in earnings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at September 30</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Disaggregation of Income Statement Expenses</w:t>
      </w:r>
      <w:r>
        <w:rPr>
          <w:rFonts w:ascii="Times New Roman" w:cs="Times New Roman" w:eastAsia="Times New Roman" w:hAnsi="Times New Roman"/>
          <w:sz w:val="18"/>
          <w:szCs w:val="18"/>
          <w:color w:val="auto"/>
        </w:rPr>
        <w:t>, which requires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 for Accounts Receivable and Contract Assets</w:t>
      </w:r>
      <w:r>
        <w:rPr>
          <w:rFonts w:ascii="Times New Roman" w:cs="Times New Roman" w:eastAsia="Times New Roman" w:hAnsi="Times New Roman"/>
          <w:sz w:val="18"/>
          <w:szCs w:val="18"/>
          <w:color w:val="auto"/>
        </w:rPr>
        <w:t>. The ASU provides a practical expedient for the calculation of current expected credit losses for current accounts receivable and contract assets, allowing entities to assume that current conditions as of the balance sheet date will persist through the forecast period. The Company adopted the ASU effective January 1, 2026 on a prospective basis and elected the practical expedient for the calculation of current expected credit losses. The adoption did not have a material impact on the Company’s allowance for doubtful accounts.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to modernize the accounting guidance for the costs to develop software for internal use. The standard applies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costs incurred to develop or obtain software for internal use. ASU 2025-06 amends the existing standard that refers to various stages of a software development project to align better with current software development methods, such as agile development.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is effective for annual periods beginning after December 15, 2027. The guidance can be applied on a prospective basis, a modified basis for in-process projects, or on a retrospective basis. The Company is currently evaluating the impact of this accounting standard on its consolidated financial statements.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guidance in Topic 270 to improve the consistency of interim financial reporting. The standard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ASU 2025-11.</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to in exchange for transferring those goods or services. Revenue is recognized based on the following five step model:</w:t>
      </w:r>
    </w:p>
    <w:p>
      <w:pPr>
        <w:spacing w:after="0" w:line="207"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3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216,617</w:t>
            </w:r>
          </w:p>
        </w:tc>
        <w:tc>
          <w:tcPr>
            <w:tcW w:w="100" w:type="dxa"/>
            <w:vAlign w:val="bottom"/>
            <w:shd w:val="clear" w:color="auto" w:fill="CCEEFF"/>
          </w:tcPr>
          <w:p>
            <w:pPr>
              <w:spacing w:after="0"/>
              <w:rPr>
                <w:sz w:val="18"/>
                <w:szCs w:val="18"/>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3,266</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9,824</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7,738</w:t>
            </w:r>
          </w:p>
        </w:tc>
      </w:tr>
      <w:tr>
        <w:trPr>
          <w:trHeight w:val="223"/>
        </w:trPr>
        <w:tc>
          <w:tcPr>
            <w:tcW w:w="3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recognized a reduction of $29,000 and an expense of $0.2 million in impairment losses on receivables and contract assets arising from the Company's contracts with customers, respectively. For the nine months ended September 30, 2026 and 2025, the Company recognized $0.2 million and $0.6 million in impairment losses on receivables and contract assets arising from the Company's contracts with customers,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recognized revenues of $47.3 million and $45.9 million, respectively, from amounts included in deferred revenue at the beginning of the respective periods. During the nine months ended September 30, 2026 and 2025, the Company recognized revenues of $83.2 million and $81.9 million, respectively, from amounts included in deferred revenue at the beginning of the respective periods. As of September 30, 2026, approximately $686 million of revenue is expected to be recognized from remaining performance obligations under contracts with customers. The Company expects to recognize revenue related to approximately 41% of these remaining performance obligations over the next 12 months, 68% over the next 24 months, and 86% over the next 36 months, with the remaining amounts recognized thereafter.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computes its interim period provision for income taxes by applying the estimated annual effective tax rate to year-to-date pretax income or loss and adjusts the provision for discrete tax items recorded in the period. The Company’s effective tax rate was 24% and 22% for the nine months ended September 30, 2026 and 2025, respectively. The Company’s effective tax rate primarily reflects the statutory corporate income tax rate, the net effect of state taxes, foreign income taxes, the effect of various permanent tax differences, and recognition of discrete tax items.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Company's Board of Directors (“Board”) declared the following quarterly dividends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policy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100" w:type="dxa"/>
            <w:vAlign w:val="bottom"/>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Declaration Date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Dividend Per Share</w:t>
            </w:r>
          </w:p>
        </w:tc>
        <w:tc>
          <w:tcPr>
            <w:tcW w:w="10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100" w:type="dxa"/>
            <w:vAlign w:val="bottom"/>
          </w:tcPr>
          <w:p>
            <w:pPr>
              <w:spacing w:after="0"/>
              <w:rPr>
                <w:sz w:val="20"/>
                <w:szCs w:val="20"/>
                <w:color w:val="auto"/>
              </w:rPr>
            </w:pPr>
          </w:p>
        </w:tc>
      </w:tr>
      <w:tr>
        <w:trPr>
          <w:trHeight w:val="22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 2026</w:t>
            </w: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February 23, 2026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0.035</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9, 2026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May 29, 2026</w:t>
            </w:r>
          </w:p>
        </w:tc>
        <w:tc>
          <w:tcPr>
            <w:tcW w:w="2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May 4, 2026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0.035</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May 18, 2026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28, 2026</w:t>
            </w:r>
          </w:p>
        </w:tc>
        <w:tc>
          <w:tcPr>
            <w:tcW w:w="2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August 3, 2026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0.035</w:t>
            </w: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17, 2026</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November 2, 2026, the Board of Directors declared a quarterly cash dividend under the Company's dividend policy of $0.035 per share, payable on November 27, 2026 to holders of record on November 16, 2026.</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September 30, 2026 is as follows (in thousands, except weighted-average exercise price).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tcPr>
          <w:p>
            <w:pPr>
              <w:spacing w:after="0"/>
              <w:rPr>
                <w:sz w:val="19"/>
                <w:szCs w:val="19"/>
                <w:color w:val="auto"/>
              </w:rPr>
            </w:pPr>
          </w:p>
        </w:tc>
        <w:tc>
          <w:tcPr>
            <w:tcW w:w="11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6320" w:type="dxa"/>
            <w:vAlign w:val="bottom"/>
          </w:tcPr>
          <w:p>
            <w:pPr>
              <w:spacing w:after="0"/>
              <w:rPr>
                <w:sz w:val="20"/>
                <w:szCs w:val="20"/>
                <w:color w:val="auto"/>
              </w:rPr>
            </w:pPr>
          </w:p>
        </w:tc>
        <w:tc>
          <w:tcPr>
            <w:tcW w:w="11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Expired</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4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22.73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Borders>
              <w:bottom w:val="single" w:sz="8" w:color="CCEEFF"/>
            </w:tcBorders>
          </w:tcPr>
          <w:p>
            <w:pPr>
              <w:spacing w:after="0"/>
              <w:rPr>
                <w:sz w:val="22"/>
                <w:szCs w:val="22"/>
                <w:color w:val="auto"/>
              </w:rPr>
            </w:pPr>
          </w:p>
        </w:tc>
      </w:tr>
      <w:tr>
        <w:trPr>
          <w:trHeight w:val="196"/>
        </w:trPr>
        <w:tc>
          <w:tcPr>
            <w:tcW w:w="6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end of period</w:t>
            </w:r>
          </w:p>
        </w:tc>
        <w:tc>
          <w:tcPr>
            <w:tcW w:w="11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20.34</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term of options outstanding at September 30, 2026 was 7.6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 Activity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Restricted Share Unit ("RSU") activity for the three months ended September 30, 2026 is as follows (in thousands, except weighted-average grant date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tcPr>
          <w:p>
            <w:pPr>
              <w:spacing w:after="0"/>
              <w:rPr>
                <w:sz w:val="19"/>
                <w:szCs w:val="19"/>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38"/>
        </w:trPr>
        <w:tc>
          <w:tcPr>
            <w:tcW w:w="6320" w:type="dxa"/>
            <w:vAlign w:val="bottom"/>
          </w:tcPr>
          <w:p>
            <w:pPr>
              <w:spacing w:after="0"/>
              <w:rPr>
                <w:sz w:val="20"/>
                <w:szCs w:val="20"/>
                <w:color w:val="auto"/>
              </w:rPr>
            </w:pPr>
          </w:p>
        </w:tc>
        <w:tc>
          <w:tcPr>
            <w:tcW w:w="11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9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fair value of RSUs that vested during the three months ended September 30, 2026 and 2025, as of the respective vesting dates, was $0.7 million and $0.4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1,591</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total unrecognized compensation expense related to non-vested stock options, RSUs, and performance-based RSUs where the performance criteria has been established was $14.7 million, net of estimated forfeitures, with a weighted average expense recognition period remaining of 3.3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11, 2025, the Board approved a share repurchase program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February 26, 2026 or when the maximum dollar amount had been expended. During the nine months ended September 30, 2026, the Company repurchased and subsequently retired 222,978 shares of common stock at an aggregate fair value of $5.0 million under this authorization, reflecting an average price per share of $22.42 (excluding the cost of broker commissions and the 1% share repurchase excise tax imposed by the Inflation Reduction Act of 2022). This share repurchase program terminated in January 2026 when the maximum dollar amount under this program was expended.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2026, the Company announced the adoption of a new share repurchase program approved by the Board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September 12, 2026 or when the maximum dollar amount had been expended. During the three months ended September 30, 2026, the Company did not repurchase any shares of common stock. During the nine months ended September 30, 2026, the Company repurchased 209,498 shares of common stock at an aggregate fair value of $4.3 million under this authorization, reflecting an average price per share of $20.51 (excluding the cost of broker commissions and the 1% share repurchase excise tax imposed by the Inflation Reduction Act of 2022). This share repurchase program terminated on September 12, 2026 upon the expiration of its term.</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aggregate during the nine months ended September 30, 2026, the Company repurchased 432,476 shares of common stock at an aggregate fair value of $9.3 million under both of the share repurchase programs described above, reflecting an average price per share of $21.50 (excluding the cost of broker commissions and the 1% share repurchase excise tax imposed by the Inflation Reduction Act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2026, the Company issued 1,355,932 shares of its common stock to WJRJJ Ventures, LLC (“WJRJJ”) in a private placement for an aggregate cash purchase price of approximately $40.0 million, reflecting a price of $29.50 per share, and Robert A. Frist, Jr., the Company's Chief Executive Officer and Chairman of the Board of Directors, sold 144,068 shares of the Company's common stock to WJRJJ for approximately $4.25 million, reflecting a price of $29.50 per share. In connection with this transaction, the Company entered into a Registration Rights Agreement with WJRJJ providing for certain registration rights with respect to the resale of the shares issued and sold to WJRJJ as provided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562,000 and 224,000 for the three months ended September 30, 2026 and 2025, respectively, and 450,000 and 171,000 for the nine months ended September 30, 2026 and 2025,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5,373</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29,366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0.18</w:t>
            </w:r>
          </w:p>
        </w:tc>
        <w:tc>
          <w:tcPr>
            <w:tcW w:w="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56,185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56,197</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56,185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56,197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20,843</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fair value based on quoted market prices or alternative pricing sources and models utilizing market observable inputs. As of September 30, 2026 and December 31, 2025, the Company did not recognize any allowance for credit impairments on its available for sale securities. All investments in marketable securities are classified as current assets on the Condensed Consolidated Balance Sheets because the underlying securities mature within one year from the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10, 2026, the Company entered into the Second Amendment to Amended and Restated Revolving Credit Agreement (the “Second Amendment”) by and among the Company, as Borrower, its domestic subsidiaries as Guarantors, certain lenders party thereto from time to time, and Truist Bank, as Administrative Agent, Issuing Bank, and Swingline Lender. The Second Amendment amends that certain Amended and Restated Revolving Credit Agreement dated October 6, 2023, as amended by that certain First Amendment to Amended and Restated Revolving Credit Agreement, dated as of March 13, 2026 (the “Prior Credit Agreement”; the Prior Credit Agreement, as amended by the Second Amendment, the “Amended Credit Agreement”).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for revolving loans in the maximum principal amount of $50.0 million, with a $5.0 million sublimit for swingline loans and a $5.0 million sublimit for the issuance of standby letters of credit (collectively, the “Revolving Commitments”). In addition, the Amended Credit Agreement includes an accordion feature that allows the Company to increase the Revolving Commitments by a total of up to $25.0 million, subject to securing additional commitments from existing lenders or new lending institutions. The Amended Credit Agreement has a maturity date of September 10, 2031.</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Amended Credit Agreement are unsecured. In addition, if the Company forms or acquires any domestic subsidiaries, the loans and other obligations under the Amended Credit Agreement will be guaranteed by such domestic subsidiaries.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Company’s election, the borrowings under the Amended Credit Agreement, other than the swingline loans, bear interest at either (1) a base rate defined as the highest of (a) the rate which the Administrative Agent announces from time to time as its prime lending rate, (b) the Federal Funds Rate, plus 0.50%, (c) term secured overnight financing rate (“SOFR”) for an interest period of one month plus 1.00%, and (d) zero, plus, in each case, an applicable margin that varies with the Company's net funded debt leverage ratio; or (2) SOFR defined as the greater of (a) the forward-looking term rate based on SOFR determined for a tenor comparable to the applicable interest rate period and (b) zero, plus, in each case, an applicable margin that varies with the Company’s net funded debt leverage ratio. The Company’s borrowings under the swingline loans bear interest at the base rate plus the applicable margin. The initial applicable margin for base rate loans is 0.50% and the initial applicable margin for SOFR loans is 1.50%. The applicable margins will be adjusted quarterly, in each case two (2) business days after the Administrative Agent's receipt of the Company's quarterly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also required to pay a commitment fee accruing on the unused Revolving Commitment, which fee varies with the Company's net funded debt leverage ratio and initially is 20 basis points per annum and a letter of credit fee, accruing at a rate per annum equal to the applicable margin for SOFR loans then in effect on the daily average amount of such lender’s letter of credit exposure.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is payable in full at maturity on September 10, 2031,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 of the Amended Credit Agreement is for anticipated working capital needs, new product development, permitted acquisitions (as defined in the Amended Credit Agreement), quarterly dividends, any share repurchases we may elect to make under any future share repurchase program, and capital expenditures.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Amended Credit Agreement contains certain customary affirmative and negative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Amended Credit Agreement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funded debt leverage ratio (consolidated debt/consolidated EBITDA) of not more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was in compliance with all covenants of the Amended Credit Agreement. There were no balances outstanding on the Amended Credit Agreement as of or during the three and nine months ended September 30,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Virsys12</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8, 2025, the Company acquired all of the outstanding equity of Virsys12, a Brentwood, Tennessee-based healthcare technology company that offers payers and health plans an innovative provider data management suite used for onboarding, credentialing, and network management. The consideration paid at closing for Virsys12 consisted of approximately $11.4 million payable in cash, after giving effect to customary purchase price adjustments and a post-closing working capital adjustment. In addition, up to an additional $4.0 million in cash may be paid over a three-year period following closing, contingent upon the achievement of certain revenue targets. This acquisition expanded the Company's existing provider data management and credentialing solution for payers and health plan enterprises, called Network by HealthStream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which is a part of its broader, market-leading Credentialing application suite. The acquisition was accounted for using the acquisition method of business combination under ASC 805. The results of operations for Virsys12 have been included in the Company’s Condensed Consolidated Financial Statements from the date of acquisition.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0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1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11,430</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as of the date of acquisition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9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unbilled receivable</w:t>
            </w: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6,108</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7,050</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(2,004)</w:t>
            </w:r>
          </w:p>
        </w:tc>
      </w:tr>
      <w:tr>
        <w:trPr>
          <w:trHeight w:val="223"/>
        </w:trPr>
        <w:tc>
          <w:tcPr>
            <w:tcW w:w="6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3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excess of purchase price over the fair values of net tangible and intangible assets is recorded as goodwill. The fair values of tangible and identifiable intangible assets and liabilities are based on management’s estimates and assumptions. The Company recorded a measurement period adjustment for the valuation of an indemnification asset and liability related to sales tax attributes, which was valued at $0.4 million and was updated to $0.3 million during the nine months ended September 30, 2026, which updated valuation did not have any impact on goodwill. The primary intangible asset acquired was developed technology. The fair value estimate for developed technology intangible asset included significant assumptions in the prospective financial information, such as revenue growth, obsolescence factor, EBITDA margin, and discount rate. Additionally, these assumptions are forward looking and could be affected by future economic and market conditions. The goodwill balance is primarily attributed to the assembled workforce, additional market opportunities from offering Virsys12 products, and expected synergies from integrating Virsys12 with other products or other combined functional areas within the Company. The goodwill balance is deductible for U.S. income tax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and their estimated useful lives as of the acquisition date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2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2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2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3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7,050</w:t>
            </w:r>
          </w:p>
        </w:tc>
        <w:tc>
          <w:tcPr>
            <w:tcW w:w="20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413"/>
        </w:trPr>
        <w:tc>
          <w:tcPr>
            <w:tcW w:w="450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179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of the Company and Virsys12 as though the companies were combined as of January 1, 2024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229,529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5,926</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15,427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depreciation of property and equipment, and interest expense related to Virsys12's previously outstanding debt. The unaudited pro forma combined results of operations is for informational purposes only and is not indicative of what the Company’s results of operations would have been had the transaction occurred as of January 1, 2024 or to project the Company’s results of operations in any future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MissionCare Collective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15, 2025, the Company acquired all of the outstanding equity of MissionCare, a healthcare workforce company that includes the largest caregiver network in the United States. The consideration paid at closing for MissionCare consisted of approximately $24.9 million payable in cash at closing, after giving effect to customary purchase price adjustments and a post-closing working capital adjustment. In addition, 165,684 shares of HealthStream common stock valued at $4.0 million were issued at closing through a private placement, and up to an additional $10.0 million in cash may be paid over a three-year period following closing, contingent upon the achievement of certain revenue targets. The acquisition was accounted for using the acquisition method of business combination under ASC 805. The results of operations for MissionCare have been included in the Company’s Condensed Consolidated Financial Statements from the date of acquisition.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purchase price is as follows (in thousands):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24,880</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of the assets acquired and liabilities assumed as of the date of acquisition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9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54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546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2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 of the preliminary purchase price allocation that is not finalized includes the valuation of an indemnification asset and liability related to sales tax attributes, which was preliminarily valued at $1.0 million and was updated to $0.7 million during the nine months ended September 30, 2026, which updated valuation did not have any impact on goodwill.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arising from offering MissionCare products, and expected synergies from integrating MissionCare with other products or other combined functional areas within the Company. The goodwill balance is deductible for U.S. income tax purposes.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preliminary components of identifiable intangible assets and their estimated useful lives as of the acquisition date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09"/>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97"/>
              </w:rPr>
              <w:t>7 years</w:t>
            </w:r>
          </w:p>
        </w:tc>
        <w:tc>
          <w:tcPr>
            <w:tcW w:w="20" w:type="dxa"/>
            <w:vAlign w:val="bottom"/>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tcPr>
          <w:p>
            <w:pPr>
              <w:spacing w:after="0"/>
              <w:rPr>
                <w:sz w:val="18"/>
                <w:szCs w:val="18"/>
                <w:color w:val="auto"/>
              </w:rPr>
            </w:pPr>
          </w:p>
        </w:tc>
        <w:tc>
          <w:tcPr>
            <w:tcW w:w="2060" w:type="dxa"/>
            <w:vAlign w:val="bottom"/>
          </w:tcPr>
          <w:p>
            <w:pPr>
              <w:ind w:left="1540"/>
              <w:spacing w:after="0"/>
              <w:rPr>
                <w:sz w:val="20"/>
                <w:szCs w:val="20"/>
                <w:color w:val="auto"/>
              </w:rPr>
            </w:pPr>
            <w:r>
              <w:rPr>
                <w:rFonts w:ascii="Times New Roman" w:cs="Times New Roman" w:eastAsia="Times New Roman" w:hAnsi="Times New Roman"/>
                <w:sz w:val="18"/>
                <w:szCs w:val="18"/>
                <w:color w:val="auto"/>
                <w:w w:val="97"/>
              </w:rPr>
              <w:t>5 years</w:t>
            </w:r>
          </w:p>
        </w:tc>
        <w:tc>
          <w:tcPr>
            <w:tcW w:w="20" w:type="dxa"/>
            <w:vAlign w:val="bottom"/>
          </w:tcPr>
          <w:p>
            <w:pPr>
              <w:spacing w:after="0"/>
              <w:rPr>
                <w:sz w:val="18"/>
                <w:szCs w:val="18"/>
                <w:color w:val="auto"/>
              </w:rPr>
            </w:pPr>
          </w:p>
        </w:tc>
      </w:tr>
      <w:tr>
        <w:trPr>
          <w:trHeight w:val="216"/>
        </w:trPr>
        <w:tc>
          <w:tcPr>
            <w:tcW w:w="7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w w:val="97"/>
              </w:rPr>
              <w:t>8 years</w:t>
            </w:r>
          </w:p>
        </w:tc>
        <w:tc>
          <w:tcPr>
            <w:tcW w:w="20" w:type="dxa"/>
            <w:vAlign w:val="bottom"/>
          </w:tcPr>
          <w:p>
            <w:pPr>
              <w:spacing w:after="0"/>
              <w:rPr>
                <w:sz w:val="18"/>
                <w:szCs w:val="18"/>
                <w:color w:val="auto"/>
              </w:rPr>
            </w:pPr>
          </w:p>
        </w:tc>
      </w:tr>
      <w:tr>
        <w:trPr>
          <w:trHeight w:val="210"/>
        </w:trPr>
        <w:tc>
          <w:tcPr>
            <w:tcW w:w="7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of the Company and MissionCare as though the companies were combined as of January 1, 2024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20" w:type="dxa"/>
            <w:vAlign w:val="bottom"/>
          </w:tcPr>
          <w:p>
            <w:pPr>
              <w:spacing w:after="0"/>
              <w:rPr>
                <w:sz w:val="18"/>
                <w:szCs w:val="18"/>
                <w:color w:val="auto"/>
              </w:rPr>
            </w:pPr>
          </w:p>
        </w:tc>
        <w:tc>
          <w:tcPr>
            <w:tcW w:w="1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Ended September</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78,644</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6,238</w:t>
            </w:r>
          </w:p>
        </w:tc>
        <w:tc>
          <w:tcPr>
            <w:tcW w:w="20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16,232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pro forma combined results of operations include certain adjustments arising from the acquisition, such as amortization of intangible assets. The unaudited pro forma combined results of operations is for informational purposes only and is not indicative of what the Company’s results of operations would have been had the transaction occurred as of January 1, 2024 or to project the Company’s results of operations in any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business, the Company is from time to time involved in various legal actions. These legal actions may be subject to significant complexities and uncertainties, some of which are beyond the Company’s control, and may allege substantial or indeterminate monetary damages. Based on current information, management does not believe that the ultimate resolution of pending legal matters will have a material adverse effect on the Company’s consolidated financial position or liquidity. However, an adverse outcome in one or more pending legal matters could be material to the Company’s results of operations or cash flows for any particular reporting period.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accrues for loss contingencies when it is both probable that a loss has been incurred and when the amount of the loss can be reasonably estimated. If a loss or additional loss with respect to material legal matters is reasonably possible and the Company is able to estimate the possible loss or range of loss, the Company discloses the estimate of the possible loss or range of loss, if material and as required. However, the Company may be unable to estimate a possible loss or range of loss in some instances based on the significant uncertainties involved in, and/or the preliminary nature of, certain legal matters.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Wage and Hour Litigation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27, 2026, a putative collective action complaint styled Tanesha Riley v. HealthStream, Inc. was filed in the United States District Court for the Middle District of Tennessee. The plaintiff alleges that certain employees in Solution Executive sales roles were misclassified as exempt employees and were not paid overtime in violation of the Fair Labor Standards Act (“FLSA”). The plaintiff seeks back wages, liquidated damages, pre-judgment interest, and attorneys’ fees. On July 21, 2026, the Company filed its answer defending against these claims. During the quarter ended September 30, 2026, the parties exchanged discovery requests, and discovery is ongoing. Taking into account the fact that this matter remains at an early phase, the Company is unable to estimate a possible loss or range of loss, if any, related to this matter. The Company denies the allegations and intends to defend the matter vigorously.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September 24, 2026, a putative class action complaint was filed against the Company in the Chancery Court for the Twentieth Judicial District, Davidson County, Tennessee, captioned </w:t>
      </w:r>
      <w:r>
        <w:rPr>
          <w:rFonts w:ascii="Times New Roman" w:cs="Times New Roman" w:eastAsia="Times New Roman" w:hAnsi="Times New Roman"/>
          <w:sz w:val="18"/>
          <w:szCs w:val="18"/>
          <w:i w:val="1"/>
          <w:iCs w:val="1"/>
          <w:color w:val="auto"/>
        </w:rPr>
        <w:t>Shonda Venson v. HealthStream, Inc.</w:t>
      </w:r>
      <w:r>
        <w:rPr>
          <w:rFonts w:ascii="Times New Roman" w:cs="Times New Roman" w:eastAsia="Times New Roman" w:hAnsi="Times New Roman"/>
          <w:sz w:val="18"/>
          <w:szCs w:val="18"/>
          <w:color w:val="auto"/>
        </w:rPr>
        <w:t xml:space="preserve"> On September 26, 2026, an additional putative class action complaint was filed in the same court captioned </w:t>
      </w:r>
      <w:r>
        <w:rPr>
          <w:rFonts w:ascii="Times New Roman" w:cs="Times New Roman" w:eastAsia="Times New Roman" w:hAnsi="Times New Roman"/>
          <w:sz w:val="18"/>
          <w:szCs w:val="18"/>
          <w:i w:val="1"/>
          <w:iCs w:val="1"/>
          <w:color w:val="auto"/>
        </w:rPr>
        <w:t>Steve Iraklianos v. HealthStream, Inc.</w:t>
      </w:r>
      <w:r>
        <w:rPr>
          <w:rFonts w:ascii="Times New Roman" w:cs="Times New Roman" w:eastAsia="Times New Roman" w:hAnsi="Times New Roman"/>
          <w:sz w:val="18"/>
          <w:szCs w:val="18"/>
          <w:color w:val="auto"/>
        </w:rPr>
        <w:t xml:space="preserve"> The complaints relate to the cybersecurity incident disclosed by the Company on a Current Report on Form 8-K on July 29, 2026, as discussed below, and generally assert claims relating to the alleged compromise of personally identifiable information in connection with such incident, including claims for negligence and other common law causes of action, on behalf of putative classes of individuals whose information was allegedly affected by the incident.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litigation remains at an early stage, the operative allegations and claims have not yet been established through consolidated complaint, no class has been certified, and the amount of damages sought has not been specified. Accordingly, the Company cannot reasonably estimate the possible loss or range of loss, if any. The Company denies the allegations and intends to vigorously defend these matters.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2025, appearing in our Annual Report on Form 10-K that was filed with the Securities and Exchange Commission (“SEC”) on February 26, 2026 (the “2025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"continue,"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the Company's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2025 Form 10-K and other disclosures in our 2025 Form 10-K and other filings with the SEC from time to time, as well as other cautionary statements contained elsewhere in this Form 10-Q, including our critical accounting policies and estimates as discussed in this Form 10-Q and our 2025 Form 10-K. We undertake no obligation to update or revise any forward-looking statements. You should read this Form 10-Q with the understanding that our actual future results may be materially different from what we currently expect.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primarily provides SaaS based applications for healthcare organizations—all designed to improve business and clinical outcomes by supporting people who deliver patient care. We are focused on helping individuals and organizations in healthcare meet their ongoing learning, clinical development, credentialing, and scheduling needs, through both our enterprise applications and emerging career networks. We also provide our solutions to nursing schools and nursing students.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businesses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third quarter of 2026 are set forth in the bullets below.</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$83.3 million, up 8.9% from $76.5 million in the third quarter of 2025</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$6.6 million, down 13.0% from $7.6 million in the third quarter of 2025</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$5.4 million, down 11.7% from $6.1 million in the third quarter of 2025</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$0.18 per share (diluted), down from $0.20 per share (diluted) in the third quarter of 2025</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$19.3 million, up 1.0% from $19.1 million in the third quarter of 2025</w:t>
      </w:r>
    </w:p>
    <w:p>
      <w:pPr>
        <w:spacing w:after="0" w:line="138" w:lineRule="exact"/>
        <w:rPr>
          <w:sz w:val="20"/>
          <w:szCs w:val="20"/>
          <w:color w:val="auto"/>
        </w:rPr>
      </w:pPr>
    </w:p>
    <w:p>
      <w:pPr>
        <w:ind w:left="220" w:hanging="212"/>
        <w:spacing w:after="0" w:line="200"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Form 10-Q.</w:t>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quarter of 2025, we entered into an agreement to sublease a portion of our office space in the Capitol View building in Nashville, Tennessee to optimize our workforce performance to deliver positive results for customers, employees, and shareholders. HealthStream’s corporate headquarters remains in Nashville in the Capitol View building, while we continue to hire new employees both locally and nationally to support our growth. The sublease commenced in April 2025 and will expire in October 2031. We recorded sublease income, net of initial direct cost amortization, of $0.8 million and $2.4 million during the three and nine months ended September 30, 2026, respectively. In addition, we expect to record sublease income, net, of approximately $0.8 million during the last three months of 2026 and $3.2 million annually thereafter for the remaining term of the sublease under the caption General and Administrative.</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Incident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in a Current Report on Form 8-K filed on July 29, 2026, the Company detected that it had experienced a cybersecurity incident in which an unauthorized third party gained access to a limited portion of files on the Company’s corporate file server. Following such detection, the Company initiated response protocols, launched an investigation, engaged the services of cybersecurity and forensics specialists and advisors, and notified certain law enforcement authorities. The Company did not experience interruption in its business operations in connection with this incident. In addition, the Company's investigation found no access or compromise to customer-facing systems.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its investigation, the Company believes that certain information of the Company’s employees, as well as billing related information of certain customers and vendors, and corporate and legal information of the Company, was accessed and/or exfiltrated from the Company’s corporate file servers as the result of the incident. In addition, the Company now knows that, for 39 of our credentialing customers, certain customer data that previously had been copied to the Company’s corporate file servers for purposes of data conversion, analytics, and troubleshooting for these customers, was accessed and exfiltrated. Further, based on our investigation, a limited subset of three of these 39 customer files contained protected health information (“PHI”), as defined by the Health Insurance Portability and Accountability Act (“HIPAA”).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incurred $250,000 in expense related to this incident during the three months ended September 30, 2026, after giving effect to related insurance recoveries. The Company expects to incur additional costs as a result of this incident in future periods associated with ongoing cybersecurity monitoring and prevention as well as enhancements to the Company's cybersecurity program. The Company has become subject to litigation as a result of this incident. For additional information regarding this litigation, see Note 10 to the Condensed Consolidated Financial Statements included herein. Based on information currently known, this incident has not had, and the Company does not expect that this incident will have, a material adverse impact on the Company's business, operations,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Macroeconomic and other conditions in the United States that directly or indirectly impact the healthcare industry have been challenging in certain respects, and may continue to be challenging based on recent legislative, regulatory, and other developments and contemplated changes to various policies and regulations. In particular, the federal budget reconciliation legislation enacted on July 4, 2025 includes significant policy changes that may adversely impact healthcare provider organizations, including changes that decreased access to health insurance and result in significant cuts to federal healthcare spending, particularly within the Medicaid program. For example, the enhanced subsidies available for individuals to purchase coverage through Affordable Care Act marketplaces expired on December 31, 2025, and the number of individuals with Affordable Care Act marketplace coverage has declined since 2025. In addition, while healthcare costs continue to increase, government cuts or reimbursement rate reductions affecting healthcare organizations, evolving tariff and trade policies affecting healthcare-related goods and materials, as well as uncertainty surrounding potential policy, regulatory, and economic shifts, continue to be challenging for our healthcare customers. We believe that these developments have caused, and may continue to cause, financial pressures among our customers in the healthcare industry that may negatively impact demand for our products and services, particularly in relation to our non-mandatory products and services.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challenges also persist in the United States in terms of ongoing inflationary pressures, elevated interest rate levels, heightened geopolitical tensions (including as a result of ongoing conflicts in the Middle East), and strained global trade relations. We believe that many of our customers have experienced increased labor, supply chain, capital, and other expenditures associated with recent inflationary pressures. These conditions and challenges impacting the United States economy and our customers in the healthcare industry have adversely affected, and may continue to adversely impact, our business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metrics in connection with managing our business.</w:t>
      </w:r>
    </w:p>
    <w:p>
      <w:pPr>
        <w:spacing w:after="0" w:line="223" w:lineRule="exact"/>
        <w:rPr>
          <w:sz w:val="20"/>
          <w:szCs w:val="20"/>
          <w:color w:val="auto"/>
        </w:rPr>
      </w:pPr>
    </w:p>
    <w:p>
      <w:pPr>
        <w:jc w:val="both"/>
        <w:ind w:left="420" w:hanging="210"/>
        <w:spacing w:after="0" w:line="261"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Revenues, net, were $83.3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$248.2 million for the three and nine months ended September 30, 2026, compared to $76.5 million and $224.4 million for the three and nine months ended September 30, 2025. Management utilizes revenue in connection with managing our business and believes that this metric provides useful information to investors as a key indicator of the growth and success of our products.</w:t>
      </w:r>
    </w:p>
    <w:p>
      <w:pPr>
        <w:spacing w:after="0" w:line="179" w:lineRule="exact"/>
        <w:rPr>
          <w:rFonts w:ascii="Times New Roman" w:cs="Times New Roman" w:eastAsia="Times New Roman" w:hAnsi="Times New Roman"/>
          <w:sz w:val="18"/>
          <w:szCs w:val="18"/>
          <w:color w:val="auto"/>
        </w:rPr>
      </w:pPr>
    </w:p>
    <w:p>
      <w:pPr>
        <w:jc w:val="both"/>
        <w:ind w:left="420" w:hanging="210"/>
        <w:spacing w:after="0" w:line="26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represents revenues, net, less all expenses. Net income was $5.4 million and $18.0 million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compared to $6.1 million and $15.8 million for the three and nine months ended September 30, 2025. Management utilizes net income in connection with managing our business, including with regard to our capital deployment strategies.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420" w:hanging="210"/>
        <w:spacing w:after="0" w:line="255"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in whole or in part, on the achievement of adjusted EBITDA (as defined in applicable bonus and equity grant documentation) targets. Adjusted EBITDA was $19.3 million and $60.0 million for the three and nine months ended September 30, 2026, compared to $19.1 million and $52.9 million for the three and nine months ended September 30, 2025.</w:t>
      </w:r>
    </w:p>
    <w:p>
      <w:pPr>
        <w:spacing w:after="0" w:line="184"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$7.4 million and $23.3 million for the three and nine months ended September 30, 2026, compared to $7.5 million and $25.4 million for the three and nine months ended September 30, 2025.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See Notes to the Consolidated Financial Statements in our 2025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2025 Form 10-K.</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Three Months Ended September 30, 2025</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$6.8 million, or 9%, to $83.3 million for the three months ended September 30, 2026, from $76.5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2025. Subscription revenues increased by $6.2 million, or 8%, and professional services revenues increased by $0.7 million compared to the third quarter of 2025. Compared to the third quarter of 2025, revenue growth for the third quarter of 2026 was positively impacted by $3.2 million from our acquisitions of Virsys12 and MissionCare completed during the fourth quarter of 2025 and $5.4 million from growth across our existing portfolio solutions, of which $0.8 million related to a contract subject to the variable consideration constraint, which has been resolved and recognized as a cumulative catch-up in accordance with ASC 606 during the three months ended September 30, 2026, partially offset by a $1.8 million reduction from legacy applications.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00" w:type="dxa"/>
            <w:vAlign w:val="bottom"/>
            <w:gridSpan w:val="7"/>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80,043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73,887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3,266</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83,309</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76,474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$3.5 million, or 13%, to $30.0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from $26.5 million for the three months ended September 30, 2025. Cost of revenues as a percentage of revenues were 36% and 35% for the three months ended September 30, 2026 and 2025, respectively. The increase in amount is primarily associated with growth in several areas of our business, resulting in higher third-party software expenses, labor costs, cloud hosting expenses, and royalties expense, coupled with increases in expenses from the Virsys12 and MissionCare acquisitions.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$1.4 million, or 12%, to $13.5 million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$12.1 million for the three months ended September 30, 2025. Product development expenses as a percentage of revenues were 16% for both the three months ended September 30, 2026 and 2025. The increase in expense is primarily due to an increase in labor costs along with increases in expenses from the Virsys12 and MissionCare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$1.2 million, or 10%, to $13.3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from $12.1 million for the three months ended September 30, 2025. Sales and marketing expenses as a percentage of revenue were 16% for both the three months ended September 30, 2026 and 2025. The increase in amount is primarily due to increased sales commissions along with increases in expenses from the Virsys12 and MissionCare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$1.3 million, or 17%, to $8.6 million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from $7.3 million for the three months ended September 30, 2025. General and administrative expenses as a percentage of revenue were 10% for both the three months ended September 30, 2026 and 2025. The increase in amount is primarily due to increases in expenses from the Virsys12 and MissionCare acquisitions along with the cybersecurity incident expenses noted above.</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$0.4 million, or 4%, to $11.3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from $10.8 million for the three months ended September 30, 2025. This increase in amount is due to increased amortization associated with capitalized software coupled with increased amortization associated with the acquired intangibles from Virsys12 and MissionCare.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$0.5 million and $0.8 million for the three months ended September 30, 2026 and 2025, respectively. This decrease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lower cash balances for the majority of the reporting period and lower interest rates on invested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was $28,000 and $0.1 million for the three months ended September 30, 2026 and 2025,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$1.7 million for the three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$2.2 million for the three months ended September 30, 2025. The Company’s effective tax rate was 24% for the three months ended September 30, 2026, compared to 26% for the three months ended September 30, 2025. The Company’s effective tax rate primarily reflects the statutory corporate income tax rate, the net effect of state taxes, foreign income taxes, the effect of various permanent tax differences, and recognition of discrete tax items.</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$5.4 million and $6.1 million for the three months ended September 30, 2026 and 2025, respectively. EPS was $0.18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$0.20 per share (diluted) for the three months ended September 30, 2026 and 2025,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$19.3 million for the three months ended September 30, 2026, compared to $19.1 million for the three months ended September 30, 2025.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Nine Months Ended September 30, 2025</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$23.9 million, or 11%, to $248.2 million for the nine months ended September 30, 2026, from $224.4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Subscription revenues increased by $21.8 million, or 10%, and professional services revenues increased by $2.1 million compared to the nine months ended September 30, 2025. Compared to the nine months ended September 30, 2025, revenue growth for the nine months ended September 30, 2026 was positively impacted by $18.6 million of growth across our existing portfolio of solutions, of which $2.8 million related to a contract subject to the variable consideration constraint, which has been resolved and recognized as a cumulative catch-up in accordance with ASC 606 during the nine months ended September 30, 2026, and $9.8 million from our acquisitions of Virsys12 and MissionCare completed during the three months ended December 31, 2025, partially offset by a $4.5 million reduction from legacy applications.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20" w:type="dxa"/>
            <w:vAlign w:val="bottom"/>
            <w:gridSpan w:val="7"/>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38"/>
        </w:trPr>
        <w:tc>
          <w:tcPr>
            <w:tcW w:w="57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238,420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216,617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9,824</w:t>
            </w:r>
          </w:p>
        </w:tc>
        <w:tc>
          <w:tcPr>
            <w:tcW w:w="32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7,738</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576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224,355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3%</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$8.4 million, or 11%, to $86.8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from $78.4 million for the nine months ended September 30, 2025. Cost of revenues as a percentage of revenues were 35% for both the nine months ended September 30, 2026 and 2025. The increase in amount is primarily associated with growth in several areas of our business, resulting in higher third-party software costs, labor costs, royalties expense, and cloud hosting expenses, coupled with increases in expenses from the Virsys12 and MissionCare acquisitions.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$4.5 million, or 12%, to $40.7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$36.2 million for the nine months ended September 30, 2025. Product development expenses as a percentage of revenues were 16% both the nine months ended September 30, 2026 and 2025. The increase in expense is primarily due to an increase in labor costs along with increases in expenses from the Virsys12 and MissionCare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$3.7 million, or 10%, to $39.8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from $36.1 million for the nine months ended September 30, 2025. Sales and marketing expenses as a percentage of revenues were 16% for both the nine months ended September 30, 2026 and 2025. The increase in amount is primarily due to increased sales commissions along with increases in expenses from the Virsys12 and MissionCare acquisitions.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$1.2 million, or 5%, to $24.6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from $23.4 million for the nine months ended September 30, 2025. General and administrative expenses as a percentage of revenues were 10% for both the nine months ended September 30, 2026 and 2025. The increase in amount is primarily due to increases in expenses from the Virsys12 and MissionCare acquisitions.</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$1.5 million, or 5%, to $33.9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from $32.4 million for the nine months ended September 30, 2025. This increase in amount is due to increased amortization associated with capitalized software coupled with increased amortization associated with the acquired intangibles from Virsys12 and MissionCare.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was $1.4 million and $2.7 million for the nine months ended September 30, 2026 and 2025, respectively. This decrease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result of lower cash balances for the majority of the reporting period and lower interest rates on invested funds.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was $0.2 million and $0.1 million for the nine months ended September 30, 2026 and 2025,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is primarily a result of foreign currency losses.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$5.6 million for the nine months ended September 30,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$4.6 million for the nine months ended September 30, 2025. The Company’s effective tax rate was 24% for the nine months ended September 30, 2026, compared to 22% for the nine months ended September 30, 2025. The Company’s effective tax rate primarily reflects the statutory corporate income tax rate, the net effect of state taxes, foreign income taxes, the effect of various permanent tax differences, and recognition of discrete tax items.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$18.0 million and $15.8 million for the nine months ended September 30, 2026 and 2025, respectively. EPS was $0.61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(diluted) and $0.52 per share (diluted) for the nine months ended September 30, 2026 and 2025, respectively.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was $60.0 million for the nine months ended September 30, 2026, compared to $52.9 million for the nine months ended September 30, 2025.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impairments of long-lived assets, changes in fair value of contingent consideration, changes in fair value of, including gains (losses) on the sale of, non-marketable equity investments, and expense related to the cybersecurity incident disclosed by us in our Current Report on Form 8-K filed on July 29, 2026 (the “Cybersecurity Incident”), after giving effect to related insurance recoveries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We believe that adjusted EBITDA is useful to investors to assess the Company’s ongoing operating performance and to compare the Company’s operating performance between periods. In addition, certain short-term cash incentive bonuses and performance-based equity awards are based on the achievement of adjusted EBITDA (as defined in applicable bonus and equity grant documentation) targets.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included an adjustment in the definition of adjusted EBITDA for the expense related to the Cybersecurity Incident incurred during the third quarter of 2026, after giving effect to related insurance recoveries, because the Company believes that this expense amount may not be reflective of the underlying operational performance of our business and that including this adjustment is consistent with the intended purpose of adjusted EBITDA of reflecting the underlying operating performance of our business and comparing the Company’s operational performance between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15,808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(2,676)</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w:t>
            </w: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32,441</w:t>
            </w: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contingent consideration</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Cybersecurity incident costs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19,104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52,942</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14, 2026, the Company issued 1,355,932 shares of its common stock to WJRJJ Ventures, LLC (“WJRJJ”) in a private placement for an aggregate cash purchase price of approximately $40.0 million, reflecting a price of $29.50 per share, and Robert A. Frist, Jr., the Company's Chief Executive Officer and Chairman of the Board of Directors, sold 144,068 shares of the Company's common stock to WJRJJ for approximately $4.25 million, reflecting a price of $29.50 per share, pursuant to a securities purchase agreement dated as of September 11, 2026. In connection with this issuance and sale, the Company entered into a registration rights agreement dated as of September 14, 2026, with WJRJJ providing for certain registration rights with respect to the resale of the shares issued and sold to WJRJJ as provided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it received from the issuance of these shares for general corporate purposes, including continued investment in its solutions, working capital, potential acquisitions, and other strategic initiatives. The Company did not receive any proceeds from the sale of shares by Mr. Frist.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regarding these transactions, see the Current Report on Form 8-K filed by us on September 15,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increased by $7.8 million to $58.0 million during the nine months ended September 30, 2026, from $50.1 million during the nine months ended September 30, 2025. The increase in net cash provided by operating activities is primarily due to higher cash receipts from customers during the period, partially offset by higher payments for personnel related expenses, sales commissions, and third-party software expenses. Our days sales outstanding ("DSO") was 35 days for the third quarter of 2026 compared to 33 days for the third quarter of 2025.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$61.1 million for the nine months ended September 30, 2026, compared to $27.0 million for the nine months ended September 30, 2025. During the nine months ended September 30, 2026, the Company invested in marketable securities of $66.2 million, made payments for capitalized software development of $21.3 million, purchased strategic investments of $2.7 million, purchased property and equipment of $2.0 million, and paid a $0.3 million post-closing working capital adjustment related to the acquisition of MissionCare. These uses of cash were partially offset by $31.4 million in maturities of marketable securities. During the nine months ended September 30, 2025, the Company invested in marketable securities of $41.4 million, made payments for capitalized software development of $21.9 million, purchased property and equipment of $3.5 million, and purchased strategic investments of $1.5 million. These uses of cash were partially offset by $41.3 million in maturities of marketable securities.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$26.0 million for the nine months ended September 30, 2026, compared to net cash used in financing activities of $29.0 million for the nine months ended September 30, 2025. The net cash provided by financing activities for the nine months ended September 30, 2026 included $39.9 million from the issuance of common stock, partially offset by $9.3 million used for repurchases of common stock, $3.1 million for the payment of cash dividends, $0.8 million for the payment of employee payroll taxes in relation to the vesting of restricted share units, $0.4 million for an earn-out payment related to a prior acquisition, and $0.3 million for debt issuance costs related to our revolving credit facility amendment. The uses of cash for the nine months ended September 30, 2025 included $25.0 million for repurchases of common stock, $2.8 million for the payment of cash dividends, and $1.2 million for the payment of employee payroll taxes in relation to the vesting of restricted share units.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balance sheet reflects positive working capital of $58.2 million at September 30, 2026, compared to negative working capital of $4.5 million at December 31, 2025. The change in working capital is primarily a result of an increase in cash and cash equivalents and marketable securities following the issuance of common stock in September 2026. The Company’s primary source of liquidity as of September 30, 2026 was $59.0 million of cash and cash equivalents and $56.2 million of marketable securities.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10, 2026, the Company entered into a second amendment to its amended and restated revolving credit agreement originally dated October 6, 2023 and amended by a first amendment on March 13, 2026 (such credit agreement, as amended by the first amendment and the second amendment, the “Amended Credit Agreement”). Under the Amended Credit Agreement, the Company has a $50.0 million revolving credit facility, the availability of which is subject to certain covenants. There currently are no outstanding borrowings under the revolving credit facility. The Amended Credit Agreement expires on September 10, 2031, unless earlier renewed, amended, or replaced. For additional information regarding the Amended Credit Agreement, see Note 8 to the Condensed Consolidated Financial Statements included herein.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20, 2023, we announced that our Board approved a quarterly dividend policy, under which we have paid dividends on a quarterly basis since our adoption of this policy. Under this dividend policy, the Board declared, and the Company paid, quarterly cash dividends on our common stock at the rate of $0.025 per share, $0.028 per share, and $0.031 per share during the years ended December 31, 2023, December 31, 2024, and December 31, 2025, respectively. On February 23, 2026, the Board approved a quarterly cash dividend under this policy of $0.035 per share, which was paid on March 20, 2026 to holders of record of our common stock on March 9, 2026. On May 4, 2026, the Board approved a quarterly cash dividend under this policy of $0.035 per share, which was paid on May 29, 2026 to holders of record of our common stock on May 18, 2026. On August 3, 2026, the Board approved a quarterly cash dividend under this policy of $0.035 per share, which was paid on August 28, 2026 to holders of record on August 17, 2026. On November 2, 2026, the Board approved a quarterly cash dividend under this policy of $0.035 per share, payable on November 27, 2026 to holders of record on November 16, 2026.</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11, 2025, the Board approved a share repurchase program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February 26, 2026, or when the maximum dollar amount had been expended. During the nine months ended September 30, 2026, the Company repurchased and subsequently retired 222,978 shares of common stock at an aggregate fair value of $5.0 million under this authorization, reflecting an average price per share of $22.42 (excluding the cost of broker commissions and the 1% share repurchase excise tax imposed by the Inflation Reduction Act of 2022). This program terminated in January 2026 when the maximum dollar amount under this program was expended.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2026, the Company announced the adoption of a new share repurchase program approved by the Board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September 12, 2026 or when the maximum dollar amount had been expended. During the nine months ended September 30, 2026, the Company repurchased 209,498 shares of common stock at an aggregate fair value of $4.3 million under this authorization, reflecting an average price per share of $20.51 (excluding the cost of broker commissions and the 1% share repurchase excise tax imposed by the Inflation Reduction Act of 2022). This share repurchase program terminated on September 12, 2026 upon the expiration of its term.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aggregate, during the nine months ended September 30, 2026, the Company repurchased 432,476 shares of common stock at an aggregate fair value of $9.3 million under both of the share repurchase programs described above, reflecting an average price per share of $21.50 (excluding the cost of broker commissions and the 1% share repurchase excise tax imposed by the Inflation Reduction Act of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marketable securities, cash generated from operations, and available borrowings under our revolving credit facility will be sufficient to meet anticipated working capital needs, new product development, pay our quarterly dividends, any share repurchases we may elect to make under any future share repurchase program, and fund capital expenditures for at least the next 12 months and for the foreseeable future thereafter.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debt, or a combination thereof.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net funded debt to consolidated EBITDA (as defined in our credit facility) and an interest coverage ratio of consolidated EBITDA to interest expense. Therefore, the maximum borrowings against our revolving credit facility would be dependent on the covenant calculations at the time of borrowing. As of September 30, 2026,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and during the nine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$115.2 million at September 30, 2026. Assuming a hypothetical 10% decrease in interest rates for invested balances, interest income from cash and investments would decrease on an annualized basis by $0.3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Condensed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third quarter of 2026 that has materially affected, or that is reasonably likely to materially affect, HealthStream’s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Part II, Item 1, is included in Note 10 to the Condensed Consolidated Financial Statements herein, which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the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on September 14, 2026, the Company issued 1,355,932 shares of its common stock to WJRJJ in a private placement for an aggregate cash purchase price of approximately $40.0 million, reflecting a price of $29.50 per share, pursuant to a securities purchase agreement dated as of September 11, 2026 (the “Securities Purchase Agreement”). The issuance of the shares by the Company pursuant to the Securities Purchase Agreement was not registered under the Securities Act of 1933, as amended (the “Securities Act”), or any state securities laws, and the issuance of these shares was exempt from registration under Section 4(a)(2) of the Securities Act. The Company relied on this exemption from registration based in part on representations made by WJRJJ.</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2026, the Company announced the adoption of a share repurchase program approved by the Board under which the Company was authorized to repurchase up to $10.0 million of its outstanding shares of common stock. Pursuant to this authorization, the Company was authorized to make repurchases in the open market, including under Rule 10b5-1 plans, through privately negotiated transactions, or otherwise. The terms of this program provided that it would terminate on the earlier of September 12, 2026 or when the maximum dollar amount had been expended. The Company did not repurchase any shares during the three months ended September 30, 2026. During the nine months ended September 30, 2026, the Company repurchased 209,498 shares of common stock at an aggregate fair value of $4.3 million under this authorization, reflecting an average price per share of $20.51 (excluding the cost of broker commissions and the 1% share repurchase excise tax imposed by the Inflation Reduction Act of 2022). This share repurchase program terminated on September 12, 2026 upon expiration of its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HealthStream's repurchases of common stock during the three months ended September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(c) Total</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(or</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approximate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units) that</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part of</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 of</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purchased</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 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price paid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plans or</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 (or unit)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100" w:type="dxa"/>
            <w:vAlign w:val="bottom"/>
          </w:tcPr>
          <w:p>
            <w:pPr>
              <w:spacing w:after="0"/>
              <w:rPr>
                <w:sz w:val="20"/>
                <w:szCs w:val="20"/>
                <w:color w:val="auto"/>
              </w:rPr>
            </w:pPr>
          </w:p>
        </w:tc>
        <w:tc>
          <w:tcPr>
            <w:tcW w:w="1120" w:type="dxa"/>
            <w:vAlign w:val="bottom"/>
            <w:gridSpan w:val="3"/>
          </w:tcPr>
          <w:p>
            <w:pPr>
              <w:jc w:val="center"/>
              <w:ind w:right="200"/>
              <w:spacing w:after="0" w:line="239" w:lineRule="exact"/>
              <w:rPr>
                <w:sz w:val="20"/>
                <w:szCs w:val="20"/>
                <w:color w:val="auto"/>
              </w:rPr>
            </w:pPr>
            <w:r>
              <w:rPr>
                <w:rFonts w:ascii="Times New Roman" w:cs="Times New Roman" w:eastAsia="Times New Roman" w:hAnsi="Times New Roman"/>
                <w:sz w:val="17"/>
                <w:szCs w:val="17"/>
                <w:b w:val="1"/>
                <w:bCs w:val="1"/>
                <w:color w:val="auto"/>
              </w:rPr>
              <w:t>programs</w:t>
            </w:r>
            <w:r>
              <w:rPr>
                <w:rFonts w:ascii="Times New Roman" w:cs="Times New Roman" w:eastAsia="Times New Roman" w:hAnsi="Times New Roman"/>
                <w:sz w:val="27"/>
                <w:szCs w:val="27"/>
                <w:b w:val="1"/>
                <w:bCs w:val="1"/>
                <w:color w:val="auto"/>
                <w:vertAlign w:val="superscript"/>
              </w:rPr>
              <w:t>(1)</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#1 (July 1 - July 31)</w:t>
            </w: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Month #2 (August 1 - August 31)</w:t>
            </w: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5,702,314</w:t>
            </w: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#3 (September 1 - September 30)</w:t>
            </w:r>
          </w:p>
        </w:tc>
        <w:tc>
          <w:tcPr>
            <w:tcW w:w="13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100" w:type="dxa"/>
            <w:vAlign w:val="bottom"/>
            <w:tcBorders>
              <w:top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8"/>
        <w:spacing w:after="0" w:line="411" w:lineRule="auto"/>
        <w:tabs>
          <w:tab w:leader="none" w:pos="226"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On March 13, 2026, the Company announced the adoption of a share repurchase program approved by the Board under which the Company was authorized to repurchase up to $10.0 million of its outstanding shares of common stock. This share repurchase program terminated on September 12, 2026, as disclosed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nine months ended September 30, 2026, no director or officer of the Company adopted or terminated any “Rule 10b5-1 trading arrangement,” or any “non-Rule 10b5-1 trading arrangement,” as such terms are defined in Item 408 of Regulation S-K.</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00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(1) †</w:t>
            </w:r>
          </w:p>
        </w:tc>
        <w:tc>
          <w:tcPr>
            <w:tcW w:w="102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Second Amendment to Amended and Restated Revolving Credit Agreement, dated September 10, 2026 by and among HealthStream, Inc., its</w:t>
              </w:r>
            </w:hyperlink>
          </w:p>
        </w:tc>
      </w:tr>
      <w:tr>
        <w:trPr>
          <w:trHeight w:val="196"/>
        </w:trPr>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domestic subsidiaries as guarantors and Truist Bank, as the Administrative Agent, the Issuing Bank, Swingline Lender and as a Lender</w:t>
              </w:r>
            </w:hyperlink>
          </w:p>
        </w:tc>
        <w:tc>
          <w:tcPr>
            <w:tcW w:w="480" w:type="dxa"/>
            <w:vAlign w:val="bottom"/>
            <w:gridSpan w:val="4"/>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 (2) †</w:t>
            </w:r>
          </w:p>
        </w:tc>
        <w:tc>
          <w:tcPr>
            <w:tcW w:w="10200" w:type="dxa"/>
            <w:vAlign w:val="bottom"/>
            <w:gridSpan w:val="8"/>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Securities Purchase Agreement, dated September 11, 2026, by and among HealthStream, Inc., Robert A. Frist, Jr. and WJRJJ Ventures, LLC</w:t>
              </w:r>
            </w:hyperlink>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 (2) †</w:t>
            </w:r>
          </w:p>
        </w:tc>
        <w:tc>
          <w:tcPr>
            <w:tcW w:w="101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Registration Rights Agreement, dated September 14, 2026, by and between HealthStream, Inc. and WJRJJ Ventures, LLC</w:t>
              </w:r>
            </w:hyperlink>
          </w:p>
        </w:tc>
        <w:tc>
          <w:tcPr>
            <w:tcW w:w="1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HealthStream, Inc. Restricted Stock Unit Agreement (September 2026 Special Time Based) under 2022 Omnibus Incentive Plan</w:t>
            </w:r>
          </w:p>
        </w:tc>
        <w:tc>
          <w:tcPr>
            <w:tcW w:w="300" w:type="dxa"/>
            <w:vAlign w:val="bottom"/>
            <w:gridSpan w:val="3"/>
          </w:tcPr>
          <w:p>
            <w:pPr>
              <w:spacing w:after="0"/>
              <w:rPr>
                <w:sz w:val="17"/>
                <w:szCs w:val="17"/>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9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HealthStream, Inc. Restricted Stock Unit Agreement (September 2026 Special Performance) under 2022 Omnibus Incentive Plan</w:t>
            </w:r>
          </w:p>
        </w:tc>
        <w:tc>
          <w:tcPr>
            <w:tcW w:w="240" w:type="dxa"/>
            <w:vAlign w:val="bottom"/>
            <w:gridSpan w:val="2"/>
          </w:tcPr>
          <w:p>
            <w:pPr>
              <w:spacing w:after="0"/>
              <w:rPr>
                <w:sz w:val="17"/>
                <w:szCs w:val="17"/>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17"/>
                <w:szCs w:val="17"/>
                <w:color w:val="auto"/>
              </w:rPr>
            </w:pP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7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3"/>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18"/>
                <w:szCs w:val="18"/>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September 30, 2026, has been formatted in Inline</w:t>
            </w:r>
          </w:p>
        </w:tc>
      </w:tr>
      <w:tr>
        <w:trPr>
          <w:trHeight w:val="234"/>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w:t>
            </w:r>
          </w:p>
        </w:tc>
      </w:tr>
    </w:tbl>
    <w:p>
      <w:pPr>
        <w:ind w:left="1040" w:hanging="103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1040" w:hanging="103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040" w:hanging="1032"/>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040" w:right="200" w:hanging="1032"/>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have been omitted pursuant to Item 601(a)(5) of Regulation S-K. The Company agrees to furnish, on a supplemental basis, a copy of such omitted exhibits to the Securities and Exchange Commission upon request.</w:t>
      </w:r>
    </w:p>
    <w:p>
      <w:pPr>
        <w:spacing w:after="0" w:line="1" w:lineRule="exact"/>
        <w:rPr>
          <w:sz w:val="20"/>
          <w:szCs w:val="20"/>
          <w:color w:val="auto"/>
        </w:rPr>
      </w:pPr>
    </w:p>
    <w:p>
      <w:pPr>
        <w:ind w:left="1040" w:hanging="103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September 14, 2026.</w:t>
      </w:r>
    </w:p>
    <w:p>
      <w:pPr>
        <w:spacing w:after="0" w:line="9" w:lineRule="exact"/>
        <w:rPr>
          <w:rFonts w:ascii="Times New Roman" w:cs="Times New Roman" w:eastAsia="Times New Roman" w:hAnsi="Times New Roman"/>
          <w:sz w:val="18"/>
          <w:szCs w:val="18"/>
          <w:color w:val="auto"/>
        </w:rPr>
      </w:pPr>
    </w:p>
    <w:p>
      <w:pPr>
        <w:ind w:left="1040" w:hanging="1032"/>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filed on our Current Report on Form 8-K, dated September 15,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November 5, 2026</w:t>
            </w:r>
          </w:p>
        </w:tc>
        <w:tc>
          <w:tcPr>
            <w:tcW w:w="7800" w:type="dxa"/>
            <w:vAlign w:val="bottom"/>
            <w:gridSpan w:val="2"/>
          </w:tcPr>
          <w:p>
            <w:pPr>
              <w:ind w:left="258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4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440" w:type="dxa"/>
            <w:vAlign w:val="bottom"/>
          </w:tcPr>
          <w:p>
            <w:pPr>
              <w:spacing w:after="0"/>
              <w:rPr>
                <w:sz w:val="24"/>
                <w:szCs w:val="24"/>
                <w:color w:val="auto"/>
              </w:rPr>
            </w:pPr>
          </w:p>
        </w:tc>
        <w:tc>
          <w:tcPr>
            <w:tcW w:w="3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28</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AGREEMENT</w:t>
      </w:r>
    </w:p>
    <w:p>
      <w:pPr>
        <w:spacing w:after="0" w:line="200" w:lineRule="exact"/>
        <w:rPr>
          <w:sz w:val="20"/>
          <w:szCs w:val="20"/>
          <w:color w:val="auto"/>
        </w:rPr>
      </w:pPr>
    </w:p>
    <w:p>
      <w:pPr>
        <w:spacing w:after="0" w:line="223"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This RESTRICTED SHARE UNIT AGREEMENT (this “Agreement”) is made and entered into as of the grant date set forth below (the “Grant Date”), between HealthStream, Inc., a Tennessee corporation (together with its Subsidiaries and Affiliates, the “Company”), and «First_Name» «Last_Name» (the “Grantee”). Capitalized terms not otherwise defined herein shall have the meaning ascribed to such terms in the HealthStream, Inc. 2022 Omnibus Incentive Plan (the “Plan”).</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including any subcommittee formed pursuant to Section 3.3 of the Plan (the “Committee”) has determined that it would be to the advantage and best interest of the Company and its shareholders to grant an award of the Restricted Share Units provided for herein to the Grantee as an incentive for increased efforts during his or her term of service or employment with the Company or its Subsidiaries or Affiliates, and has advised the Company thereof and instructed the undersigned officers to award said Restricted Share Units;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RESTRICTED SHARE UNIT GRANT</w:t>
            </w:r>
          </w:p>
        </w:tc>
      </w:tr>
      <w:tr>
        <w:trPr>
          <w:trHeight w:val="66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Grantee:</w:t>
            </w: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«First_Name» «Last_Name»</w:t>
            </w:r>
          </w:p>
        </w:tc>
      </w:tr>
      <w:tr>
        <w:trPr>
          <w:trHeight w:val="4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Aggregate number of Restricted Share Units</w:t>
            </w:r>
          </w:p>
        </w:tc>
        <w:tc>
          <w:tcPr>
            <w:tcW w:w="7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Granted hereunder:</w:t>
            </w:r>
          </w:p>
        </w:tc>
        <w:tc>
          <w:tcPr>
            <w:tcW w:w="3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«RSU»</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Grant Date:</w:t>
            </w:r>
          </w:p>
        </w:tc>
        <w:tc>
          <w:tcPr>
            <w:tcW w:w="3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September 18, 2026</w:t>
            </w:r>
          </w:p>
        </w:tc>
      </w:tr>
    </w:tbl>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Grant of Restricted Share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18675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line="20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1.1 The Company hereby grants to the Grantee the award (“Award”) of Restricted Share Units (“RSUs”) set forth above on the terms and conditions set forth in this Agreement and as otherwise provided in the Plan. Each RSU shall have a value equal to the Fair Market Value of one Share. A bookkeeping account will be maintained by the Company to keep track of the RSUs.</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1.2 The Grantee’s rights with respect to the Award shall remain forfeitable at all times prior to the dates on which the RSUs shall vest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76"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Vesting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1105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5" w:lineRule="exact"/>
        <w:rPr>
          <w:sz w:val="20"/>
          <w:szCs w:val="20"/>
          <w:color w:val="auto"/>
        </w:rPr>
      </w:pPr>
    </w:p>
    <w:p>
      <w:pPr>
        <w:ind w:left="1300"/>
        <w:spacing w:after="0"/>
        <w:tabs>
          <w:tab w:leader="none" w:pos="16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 xml:space="preserve">Vesting. Except as provided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the RSUs subject to this Award shall vest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-7620</wp:posOffset>
            </wp:positionV>
            <wp:extent cx="4546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205" w:lineRule="exact"/>
        <w:rPr>
          <w:sz w:val="20"/>
          <w:szCs w:val="20"/>
          <w:color w:val="auto"/>
        </w:rPr>
      </w:pPr>
    </w:p>
    <w:p>
      <w:pPr>
        <w:ind w:left="2300" w:hanging="348"/>
        <w:spacing w:after="0"/>
        <w:tabs>
          <w:tab w:leader="none" w:pos="2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RSUs shall vest on the first anniversary of the Grant Date;</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 of the RSUs shall vest on the second anniversary of the Grant Date;</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 of the RSUs shall vest on the third anniversary of the Grant Date; and</w:t>
      </w:r>
    </w:p>
    <w:p>
      <w:pPr>
        <w:spacing w:after="0" w:line="225"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 of the RSUs shall vest on the fourth anniversary of the Grant Date.</w:t>
      </w:r>
    </w:p>
    <w:p>
      <w:pPr>
        <w:spacing w:after="0" w:line="225"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2.2 Change in Control. Notwithstanding the foregoing, upon the occurrence of a Change in Control, this Award shall become vested immediately prior to a Change in Control as to 100% of the RSUs (but only to the extent such Award has not otherwise terminated or 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-185420</wp:posOffset>
            </wp:positionV>
            <wp:extent cx="958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958215" cy="8890"/>
                    </a:xfrm>
                    <a:prstGeom prst="rect">
                      <a:avLst/>
                    </a:prstGeom>
                    <a:noFill/>
                  </pic:spPr>
                </pic:pic>
              </a:graphicData>
            </a:graphic>
          </wp:anchor>
        </w:drawing>
      </w:r>
    </w:p>
    <w:p>
      <w:pPr>
        <w:spacing w:after="0" w:line="142"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2.3 Settlement. The Grantee shall be entitled to settlement of the RSUs subject to this Award at the time that such RSUs vest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applicable. Such settlement shall be made as promptly as practicable thereafter (but in no event after the fifteenth day following the applicable vesting date, or in the case of a Change in Control, the Change in Control) through the issuance of Shares equal to the number of such vested RSUs. Any settlement of RSUs granted pursuant to this Award shall be made in Shares as evidenced by a “book entry” (i.e., a computerized or manual entry) in the records of the Company or its designated agent in the name of the Grantee who has become vested in such Shares (or, if requested by Grantee, a stock certificate evidencing such Shares). Notwithstanding the foregoing, if this Award vests in connection with a Change in Control and the Shares issuable in connection with such vesting subsequently have been converted into or have other been transferred in exchange for other consideration in connection with such Change in Control, Grantee will be entitled to receive such other consideration in lieu of the converted or transferred Shares. The Grantee will not be entitled to any dividend equivalent or voting rights with regard to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-1128395</wp:posOffset>
            </wp:positionV>
            <wp:extent cx="6026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0261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ind w:right="120" w:firstLine="1260"/>
        <w:spacing w:after="0" w:line="266" w:lineRule="auto"/>
        <w:rPr>
          <w:sz w:val="20"/>
          <w:szCs w:val="20"/>
          <w:color w:val="auto"/>
        </w:rPr>
      </w:pPr>
      <w:r>
        <w:rPr>
          <w:rFonts w:ascii="Times New Roman" w:cs="Times New Roman" w:eastAsia="Times New Roman" w:hAnsi="Times New Roman"/>
          <w:sz w:val="18"/>
          <w:szCs w:val="18"/>
          <w:color w:val="auto"/>
        </w:rPr>
        <w:t>2.4 Termination. Except as otherwise provided by the Committee, this Award shall not become vested as to any RSUs that have not vested as of the time of the Grantee’s termination of employment with the Company for any reason, and Grantee shall forfeit any unvested RSUs as of the date of such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-313055</wp:posOffset>
            </wp:positionV>
            <wp:extent cx="6686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56"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2.5 Withholding Obligations.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Any social security calculation or other adjustments discovered after the net Share payment described in clause (iii)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For purposes hereof, the “Withholding Tax Obligation” means the minimum amount necessary to satisfy Federal, state, local or foreign withholding tax requirements, if any, in connection with vesting of the Award; provided, however, that, in the discretion of the Company, the Company may allow the Grantee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year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-2360295</wp:posOffset>
            </wp:positionV>
            <wp:extent cx="1247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172" w:lineRule="exact"/>
        <w:rPr>
          <w:sz w:val="20"/>
          <w:szCs w:val="20"/>
          <w:color w:val="auto"/>
        </w:rPr>
      </w:pPr>
    </w:p>
    <w:p>
      <w:pPr>
        <w:ind w:right="160" w:firstLine="656"/>
        <w:spacing w:after="0" w:line="282" w:lineRule="auto"/>
        <w:tabs>
          <w:tab w:leader="none" w:pos="9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Service. Nothing in this Agreement or the Plan shall be interpreted or construed to confer upon the Grantee any right to continue service as an officer or employee of the Company.</w:t>
      </w:r>
    </w:p>
    <w:p>
      <w:pPr>
        <w:spacing w:after="0" w:line="161"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9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75" w:lineRule="exact"/>
        <w:rPr>
          <w:rFonts w:ascii="Times New Roman" w:cs="Times New Roman" w:eastAsia="Times New Roman" w:hAnsi="Times New Roman"/>
          <w:sz w:val="18"/>
          <w:szCs w:val="18"/>
          <w:color w:val="auto"/>
        </w:rPr>
      </w:pPr>
    </w:p>
    <w:p>
      <w:pPr>
        <w:ind w:firstLine="656"/>
        <w:spacing w:after="0" w:line="255" w:lineRule="auto"/>
        <w:tabs>
          <w:tab w:leader="none" w:pos="9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Subject to the Plan.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8" w:lineRule="exact"/>
        <w:rPr>
          <w:rFonts w:ascii="Times New Roman" w:cs="Times New Roman" w:eastAsia="Times New Roman" w:hAnsi="Times New Roman"/>
          <w:sz w:val="18"/>
          <w:szCs w:val="18"/>
          <w:color w:val="auto"/>
        </w:rPr>
      </w:pPr>
    </w:p>
    <w:p>
      <w:pPr>
        <w:ind w:right="140" w:firstLine="656"/>
        <w:spacing w:after="0" w:line="266" w:lineRule="auto"/>
        <w:tabs>
          <w:tab w:leader="none" w:pos="96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Agreement.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75" w:lineRule="exact"/>
        <w:rPr>
          <w:rFonts w:ascii="Times New Roman" w:cs="Times New Roman" w:eastAsia="Times New Roman" w:hAnsi="Times New Roman"/>
          <w:sz w:val="18"/>
          <w:szCs w:val="18"/>
          <w:color w:val="auto"/>
        </w:rPr>
      </w:pPr>
    </w:p>
    <w:p>
      <w:pPr>
        <w:ind w:right="140" w:firstLine="656"/>
        <w:spacing w:after="0" w:line="269" w:lineRule="auto"/>
        <w:tabs>
          <w:tab w:leader="none" w:pos="963"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2" w:lineRule="exact"/>
        <w:rPr>
          <w:rFonts w:ascii="Times New Roman" w:cs="Times New Roman" w:eastAsia="Times New Roman" w:hAnsi="Times New Roman"/>
          <w:sz w:val="17"/>
          <w:szCs w:val="17"/>
          <w:color w:val="auto"/>
        </w:rPr>
      </w:pPr>
    </w:p>
    <w:p>
      <w:pPr>
        <w:ind w:firstLine="8"/>
        <w:spacing w:after="0" w:line="251" w:lineRule="auto"/>
        <w:tabs>
          <w:tab w:leader="none" w:pos="2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RSU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190" w:lineRule="exact"/>
        <w:rPr>
          <w:rFonts w:ascii="Times New Roman" w:cs="Times New Roman" w:eastAsia="Times New Roman" w:hAnsi="Times New Roman"/>
          <w:sz w:val="18"/>
          <w:szCs w:val="18"/>
          <w:color w:val="auto"/>
        </w:rPr>
      </w:pPr>
    </w:p>
    <w:p>
      <w:pPr>
        <w:ind w:right="120" w:firstLine="656"/>
        <w:spacing w:after="0" w:line="282" w:lineRule="auto"/>
        <w:tabs>
          <w:tab w:leader="none" w:pos="96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Employment. The grant of the RSU shall not be construed as giving the Grantee the right to be retained in the service of the Company, and the Company may at any time dismiss the Grantee from service, free from any liability or any claim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-5671820</wp:posOffset>
            </wp:positionV>
            <wp:extent cx="15297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52971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-5260340</wp:posOffset>
            </wp:positionV>
            <wp:extent cx="6858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-4711700</wp:posOffset>
            </wp:positionV>
            <wp:extent cx="16884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6884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-3614420</wp:posOffset>
            </wp:positionV>
            <wp:extent cx="13709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3709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-3065780</wp:posOffset>
            </wp:positionV>
            <wp:extent cx="7391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-185420</wp:posOffset>
            </wp:positionV>
            <wp:extent cx="17773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ind w:right="80" w:firstLine="638"/>
        <w:spacing w:after="0" w:line="258" w:lineRule="auto"/>
        <w:tabs>
          <w:tab w:leader="none" w:pos="9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3" w:lineRule="exact"/>
        <w:rPr>
          <w:rFonts w:ascii="Times New Roman" w:cs="Times New Roman" w:eastAsia="Times New Roman" w:hAnsi="Times New Roman"/>
          <w:sz w:val="18"/>
          <w:szCs w:val="18"/>
          <w:color w:val="auto"/>
        </w:rPr>
      </w:pPr>
    </w:p>
    <w:p>
      <w:pPr>
        <w:ind w:right="220" w:firstLine="656"/>
        <w:spacing w:after="0" w:line="282" w:lineRule="auto"/>
        <w:tabs>
          <w:tab w:leader="none" w:pos="105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104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in Interest.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5" w:lineRule="exact"/>
        <w:rPr>
          <w:rFonts w:ascii="Times New Roman" w:cs="Times New Roman" w:eastAsia="Times New Roman" w:hAnsi="Times New Roman"/>
          <w:sz w:val="18"/>
          <w:szCs w:val="18"/>
          <w:color w:val="auto"/>
        </w:rPr>
      </w:pPr>
    </w:p>
    <w:p>
      <w:pPr>
        <w:ind w:right="340" w:firstLine="656"/>
        <w:spacing w:after="0" w:line="266" w:lineRule="auto"/>
        <w:tabs>
          <w:tab w:leader="none" w:pos="105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Disputes.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5" w:lineRule="exact"/>
        <w:rPr>
          <w:rFonts w:ascii="Times New Roman" w:cs="Times New Roman" w:eastAsia="Times New Roman" w:hAnsi="Times New Roman"/>
          <w:sz w:val="18"/>
          <w:szCs w:val="18"/>
          <w:color w:val="auto"/>
        </w:rPr>
      </w:pPr>
    </w:p>
    <w:p>
      <w:pPr>
        <w:ind w:right="60" w:firstLine="656"/>
        <w:spacing w:after="0" w:line="282" w:lineRule="auto"/>
        <w:tabs>
          <w:tab w:leader="none" w:pos="105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required to be given under this Award shall be deemed to be received if delivered or mailed as provided for herein to the parties at the following addresses, or to such other address as either party may provide in writing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-2517140</wp:posOffset>
            </wp:positionV>
            <wp:extent cx="66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661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-1694180</wp:posOffset>
            </wp:positionV>
            <wp:extent cx="8343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34390" cy="8890"/>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-1282700</wp:posOffset>
            </wp:positionV>
            <wp:extent cx="11042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10426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-734060</wp:posOffset>
            </wp:positionV>
            <wp:extent cx="11614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-185420</wp:posOffset>
            </wp:positionV>
            <wp:extent cx="4629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40" w:lineRule="exact"/>
        <w:rPr>
          <w:sz w:val="20"/>
          <w:szCs w:val="20"/>
          <w:color w:val="auto"/>
        </w:rPr>
      </w:pPr>
    </w:p>
    <w:p>
      <w:pPr>
        <w:ind w:left="180"/>
        <w:spacing w:after="0"/>
        <w:tabs>
          <w:tab w:leader="none" w:pos="2180" w:val="left"/>
        </w:tabs>
        <w:rPr>
          <w:sz w:val="20"/>
          <w:szCs w:val="20"/>
          <w:color w:val="auto"/>
        </w:rPr>
      </w:pPr>
      <w:r>
        <w:rPr>
          <w:rFonts w:ascii="Times New Roman" w:cs="Times New Roman" w:eastAsia="Times New Roman" w:hAnsi="Times New Roman"/>
          <w:sz w:val="18"/>
          <w:szCs w:val="18"/>
          <w:i w:val="1"/>
          <w:iCs w:val="1"/>
          <w:color w:val="auto"/>
        </w:rPr>
        <w:t>To the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HealthStream, Inc.</w:t>
      </w:r>
    </w:p>
    <w:p>
      <w:pPr>
        <w:spacing w:after="0" w:line="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500 11</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Avenue North, Suite 850</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Nashville TN 37203</w:t>
      </w:r>
    </w:p>
    <w:p>
      <w:pPr>
        <w:sectPr>
          <w:pgSz w:w="11900" w:h="16838" w:orient="portrait"/>
          <w:cols w:equalWidth="0" w:num="1">
            <w:col w:w="11240"/>
          </w:cols>
          <w:pgMar w:left="320" w:top="364" w:right="339" w:bottom="1440" w:gutter="0" w:footer="0" w:header="0"/>
        </w:sect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i w:val="1"/>
          <w:iCs w:val="1"/>
          <w:color w:val="auto"/>
        </w:rPr>
        <w:t>To the Grantee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780" w:space="400"/>
            <w:col w:w="9060"/>
          </w:cols>
          <w:pgMar w:left="320" w:top="364" w:right="339" w:bottom="1440" w:gutter="0" w:footer="0" w:header="0"/>
          <w:type w:val="continuous"/>
        </w:sectPr>
      </w:pPr>
    </w:p>
    <w:p>
      <w:pPr>
        <w:spacing w:after="0" w:line="25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Restricted Share Unit Agreement to be duly executed effective as of the day and year first above written.</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45920" cy="5054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«First_Name» «Last_Name»</w:t>
      </w:r>
    </w:p>
    <w:p>
      <w:pPr>
        <w:sectPr>
          <w:pgSz w:w="11900" w:h="16838" w:orient="portrait"/>
          <w:cols w:equalWidth="0" w:num="1">
            <w:col w:w="11240"/>
          </w:cols>
          <w:pgMar w:left="320" w:top="364"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SHARE UNIT AGREEMENT</w:t>
      </w:r>
    </w:p>
    <w:p>
      <w:pPr>
        <w:spacing w:after="0" w:line="207" w:lineRule="exact"/>
        <w:rPr>
          <w:sz w:val="20"/>
          <w:szCs w:val="20"/>
          <w:color w:val="auto"/>
        </w:rPr>
      </w:pPr>
    </w:p>
    <w:p>
      <w:pPr>
        <w:jc w:val="both"/>
        <w:ind w:firstLine="596"/>
        <w:spacing w:after="0" w:line="261" w:lineRule="auto"/>
        <w:rPr>
          <w:sz w:val="20"/>
          <w:szCs w:val="20"/>
          <w:color w:val="auto"/>
        </w:rPr>
      </w:pPr>
      <w:r>
        <w:rPr>
          <w:rFonts w:ascii="Times New Roman" w:cs="Times New Roman" w:eastAsia="Times New Roman" w:hAnsi="Times New Roman"/>
          <w:sz w:val="18"/>
          <w:szCs w:val="18"/>
          <w:color w:val="auto"/>
        </w:rPr>
        <w:t>This RESTRICTED SHARE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the 18th day of September 2026 (the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between HealthStream, Inc., a Tennessee corporation (together with its Subsidiaries and Affiliates,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_________________ (the</w:t>
      </w:r>
    </w:p>
    <w:p>
      <w:pPr>
        <w:jc w:val="both"/>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Capitalized terms not otherwise defined herein shall have the meaning ascribed to such terms in the HealthStream, Inc.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has adopted the Plan, which permits the issuance of Restricted Share Units;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Compensation Committee of the Board of Directors of the Company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has determined that it would be to the advantage and best interest of the Company and its shareholders to grant an award of the RSUs (as defined below) as a “Restricted Share Unit Award” as defined by and pursuant to the terms of the Plan, and pursuant to the terms set forth herein;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Grant of Restricted Share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18675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867535"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Company hereby grants to the Grantee an award (“</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of ______________ Restricted Share Units (“</w:t>
      </w:r>
      <w:r>
        <w:rPr>
          <w:rFonts w:ascii="Times New Roman" w:cs="Times New Roman" w:eastAsia="Times New Roman" w:hAnsi="Times New Roman"/>
          <w:sz w:val="17"/>
          <w:szCs w:val="17"/>
          <w:u w:val="single" w:color="auto"/>
          <w:color w:val="auto"/>
        </w:rPr>
        <w:t>RSUs</w:t>
      </w:r>
      <w:r>
        <w:rPr>
          <w:rFonts w:ascii="Times New Roman" w:cs="Times New Roman" w:eastAsia="Times New Roman" w:hAnsi="Times New Roman"/>
          <w:sz w:val="17"/>
          <w:szCs w:val="17"/>
          <w:color w:val="auto"/>
        </w:rPr>
        <w:t>”) on the terms and</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conditions set forth in this Agreement and as otherwise provided in the Plan. Each RSU shall have a value equal to the Fair Market Value of one Share. A bookkeeping account will be maintained by the Company to keep track of the RSUs.</w:t>
      </w:r>
    </w:p>
    <w:p>
      <w:pPr>
        <w:spacing w:after="0" w:line="181"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1.2 The Grantee’s rights with respect to the Award shall remain forfeitable at all times prior to the dates on which the RSUs shall vest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This Award may not be assigned, alienated, pledged, attached, sold or otherwise transferred or encumbered by Grantee other than by will or the laws of descent and distribution.</w:t>
      </w:r>
    </w:p>
    <w:p>
      <w:pPr>
        <w:spacing w:after="0" w:line="176" w:lineRule="exact"/>
        <w:rPr>
          <w:sz w:val="20"/>
          <w:szCs w:val="20"/>
          <w:color w:val="auto"/>
        </w:rPr>
      </w:pPr>
    </w:p>
    <w:p>
      <w:pPr>
        <w:ind w:left="660"/>
        <w:spacing w:after="0"/>
        <w:tabs>
          <w:tab w:leader="none" w:pos="9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Vesting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-7620</wp:posOffset>
            </wp:positionV>
            <wp:extent cx="11055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Vesting. The RSUs subject to this Award shall vest as follows, subject to the time-based vesting condition set forth in the last sentence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4546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Catch-Up Provision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(all such vesting dates as set forth below, the “</w:t>
      </w:r>
      <w:r>
        <w:rPr>
          <w:rFonts w:ascii="Times New Roman" w:cs="Times New Roman" w:eastAsia="Times New Roman" w:hAnsi="Times New Roman"/>
          <w:sz w:val="18"/>
          <w:szCs w:val="18"/>
          <w:u w:val="single" w:color="auto"/>
          <w:color w:val="auto"/>
        </w:rPr>
        <w:t>Vesting Dates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firstLine="1304"/>
        <w:spacing w:after="0" w:line="312" w:lineRule="auto"/>
        <w:tabs>
          <w:tab w:leader="none" w:pos="164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 to ________ RSUs (25% of the total RSUs) shall vest on ________________, 2028, based on the extent of the satisfaction of the Performance Criteria (as defined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for the period beginning on January 1, 2027 and ending December 31, 2027, as referenced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right="240" w:firstLine="1304"/>
        <w:spacing w:after="0" w:line="282" w:lineRule="auto"/>
        <w:tabs>
          <w:tab w:leader="none" w:pos="16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____________ RSUs (25% of the total RSUs) shall vest on ____________, 2029, based on the extent of the satisfaction of the Performance Criteria for the period beginning on January 1, 2028 and ending December 31, 2028, as referenced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1304"/>
        <w:spacing w:after="0" w:line="282" w:lineRule="auto"/>
        <w:tabs>
          <w:tab w:leader="none" w:pos="17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__________ RSUs (25% of the total RSUs) shall vest on _______________, 2030, based on the extent of the satisfaction of the performance criteria for the period beginning on January 1, 2029 and ending December 31, 2029, as referenced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00" w:firstLine="1304"/>
        <w:spacing w:after="0" w:line="282" w:lineRule="auto"/>
        <w:tabs>
          <w:tab w:leader="none" w:pos="17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 to _________ RSUs (25% of the total RSUs) shall vest on __________, 2031, based on the extent of the satisfaction of the performance criteria for the period beginning on January 1, 2030 and ending December 31, 2030, as referenced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or anything contained herein to the contrary (but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below), this Award shall not become vested as to any additional RSUs following the Grantee’s termination of employment with the Company for any reason and Grantee shall forfeit any unvested RSUs as of the date of such termination of employment.</w:t>
      </w:r>
    </w:p>
    <w:p>
      <w:pPr>
        <w:spacing w:after="0" w:line="176"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2.2</w:t>
        <w:tab/>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-7620</wp:posOffset>
            </wp:positionV>
            <wp:extent cx="9582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205" w:lineRule="exact"/>
        <w:rPr>
          <w:sz w:val="20"/>
          <w:szCs w:val="20"/>
          <w:color w:val="auto"/>
        </w:rPr>
      </w:pPr>
    </w:p>
    <w:p>
      <w:pPr>
        <w:jc w:val="both"/>
        <w:ind w:firstLine="656"/>
        <w:spacing w:after="0" w:line="254" w:lineRule="auto"/>
        <w:tabs>
          <w:tab w:leader="none" w:pos="13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except as may otherwise be determined by the Committee, in the event that there is a Change in Control (as defined in the Plan) that is consummated prior to ____________, 2031, then upon the occurrence of such Change in Control, this Award shall become vested immediately prior to a Change in Control as to 100% of the RSUs otherwise eligible for vesting in (i) the then current Performance Period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which the Vesting Date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has not yet occurred, (ii) the next Subsequent Performance Period for which the Vesting Date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has not yet occurred, and (iii) in the event that the Change in Control has been consummated following the end of a calendar year but prior to the next Vesting Date (i.e., on which vesting would occur based on the performance for such calendar year), then the RSUs will vest for such calendar year concurrently with the consummation of the Change in Control based on the extent of the satisfaction of the performance criteria for such calendar year as referenced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3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herein to the contrary, except as may otherwise be determined by the Committee and except as with regard to vesting that occurs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above, no RSUs shall vest pursuant to this Agreement due to a Change in Control that is consummated prior to ________________, 2031. It is further understood and agreed that, in such circumstance, Grantee will not be entitled to any RSUs that have not vested preceding the occurrence of the Change in Control other than as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above even if such RSUs are subject to the Catch-Up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ind w:right="20" w:firstLine="675"/>
        <w:spacing w:after="0" w:line="254" w:lineRule="auto"/>
        <w:rPr>
          <w:sz w:val="20"/>
          <w:szCs w:val="20"/>
          <w:color w:val="auto"/>
        </w:rPr>
      </w:pPr>
      <w:r>
        <w:rPr>
          <w:rFonts w:ascii="Times New Roman" w:cs="Times New Roman" w:eastAsia="Times New Roman" w:hAnsi="Times New Roman"/>
          <w:sz w:val="18"/>
          <w:szCs w:val="18"/>
          <w:color w:val="auto"/>
        </w:rPr>
        <w:t xml:space="preserve">2.3 Settlement. The Grantee shall be entitled to settlement of the RSUs subject to this Award at the time that such RSUs vest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as applicable. Such settlement shall be made as promptly as practicable thereafter (but in no event after the fifteenth day following the applicable vesting date, or in the case of a Change in Control, the date of the occurrence of the Change in Control). Any settlement of RSUs granted pursuant to this Award shall be made in Shares through the issuance to the Grantee of a stock certificate (or evidence such Shares have been registered in the name of the Grantee with the transfer agent of the Company) for a number of Shares equal to the number of such vested RSUs. The Committee may, in its discretion, provide that the ownership of Shares upon the vesting of the RSUs shall be evidenced by a “book entry” (i.e., a computerized or manual entry) in the records of the Company or its designated agent in the name of the Grantee who has become vested in such Shares. The Grantee will not be entitled to any dividend equivalent or voting rights with regard to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-989330</wp:posOffset>
            </wp:positionV>
            <wp:extent cx="6026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02615" cy="8890"/>
                    </a:xfrm>
                    <a:prstGeom prst="rect">
                      <a:avLst/>
                    </a:prstGeom>
                    <a:noFill/>
                  </pic:spPr>
                </pic:pic>
              </a:graphicData>
            </a:graphic>
          </wp:anchor>
        </w:drawing>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 Withholding Obligations. Prior to the settlement of any RSUs subject to this Award, Grantee shall provide (i) full payment (in cash or by check or by a combination thereof) to satisfy the Withholding Tax Obligation (as defined below) with respect to which the Award or portion thereof shall settle or (ii) subject to compliance with applicable legal requirements, indication that the Grantee elects to tender to the Company Shares owned by the Grantee (or by the Grantee and his or her spouse jointly) and purchased and held for the requisite period of time as may be required to avoid the Company’s incurring an adverse accounting charge, based on the Fair Market Value of such Shares on the payment date necessary to satisfy the Withholding Tax Obligation that would otherwise be required to be paid by the Grantee to the Company pursuant to clause (i)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(iii) notwithstanding the foregoing and unless notice to the contrary is given to the Grantee by the Company, the number of Shares that would otherwise be issued to the Grantee upon settlement of the Award (or portion thereof) reduced by a number of Shares having an aggregate Fair Market Value, on the date of such issuance, equal to the payment to satisfy the Withholding Tax Obligation that would otherwise be required to be made by the Grantee to the Company pursuant to clause (i)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Any social security calculation or other adjustments discovered after the net Share payment described in clause (iii) of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hereof will be settled in cash, not in Shares. For the avoidance of doubt, the Company may satisfy the Grantee’s withholding obligation from the Grantee’s other compensation which may be payable by the Company, including any withholding obligation which may not be satisfied though the procedures identified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For purposes hereof, the “Withholding Tax Obligation” means the minimum amount necessary to satisfy Federal, state, local or foreign withholding tax requirements, if any, in connection with vesting of the Award; provided, however, that, unless otherwise determined by the Committee, the Grantee may elect to withhold an additional amount or additional number of Shares to satisfy an additional amount of withholding taxes up to the maximum individual statutory tax rate in the applicable jurisdiction, but only if such additional withholding, or the discretion to elect such additional withholding, does not result in adverse accounting treatment of this Award to the Company. Vesting of the Award (or portion thereof) will result in taxable compensation reportable on the Grantee’s W-2 in the year of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-2360295</wp:posOffset>
            </wp:positionV>
            <wp:extent cx="12471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line="172" w:lineRule="exact"/>
        <w:rPr>
          <w:sz w:val="20"/>
          <w:szCs w:val="20"/>
          <w:color w:val="auto"/>
        </w:rPr>
      </w:pPr>
    </w:p>
    <w:p>
      <w:pPr>
        <w:ind w:right="180" w:firstLine="656"/>
        <w:spacing w:after="0" w:line="282" w:lineRule="auto"/>
        <w:tabs>
          <w:tab w:leader="none" w:pos="96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Service. Nothing in this Agreement or the Plan shall be interpreted or construed to confer upon the Grantee any right to continue service as an officer or employee of the Company.</w:t>
      </w:r>
    </w:p>
    <w:p>
      <w:pPr>
        <w:spacing w:after="0" w:line="161" w:lineRule="exact"/>
        <w:rPr>
          <w:rFonts w:ascii="Times New Roman" w:cs="Times New Roman" w:eastAsia="Times New Roman" w:hAnsi="Times New Roman"/>
          <w:sz w:val="18"/>
          <w:szCs w:val="18"/>
          <w:color w:val="auto"/>
        </w:rPr>
      </w:pPr>
    </w:p>
    <w:p>
      <w:pPr>
        <w:jc w:val="both"/>
        <w:ind w:right="240" w:firstLine="656"/>
        <w:spacing w:after="0" w:line="266" w:lineRule="auto"/>
        <w:tabs>
          <w:tab w:leader="none" w:pos="9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14.3</w:t>
      </w:r>
      <w:r>
        <w:rPr>
          <w:rFonts w:ascii="Times New Roman" w:cs="Times New Roman" w:eastAsia="Times New Roman" w:hAnsi="Times New Roman"/>
          <w:sz w:val="18"/>
          <w:szCs w:val="18"/>
          <w:color w:val="auto"/>
        </w:rPr>
        <w:t xml:space="preserve"> of the Plan are hereby incorporated by reference, and the RSUs are subject to such provisions. Any determination made by the Committee pursuant to such provisions shall be made in accordance with the provisions of the Plan and shall be final and binding for all purposes of the Plan and this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55" w:lineRule="auto"/>
        <w:tabs>
          <w:tab w:leader="none" w:pos="95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Subject to the Plan.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Award.</w:t>
      </w:r>
    </w:p>
    <w:p>
      <w:pPr>
        <w:spacing w:after="0" w:line="188" w:lineRule="exact"/>
        <w:rPr>
          <w:rFonts w:ascii="Times New Roman" w:cs="Times New Roman" w:eastAsia="Times New Roman" w:hAnsi="Times New Roman"/>
          <w:sz w:val="18"/>
          <w:szCs w:val="18"/>
          <w:color w:val="auto"/>
        </w:rPr>
      </w:pPr>
    </w:p>
    <w:p>
      <w:pPr>
        <w:ind w:right="160" w:firstLine="656"/>
        <w:spacing w:after="0" w:line="266" w:lineRule="auto"/>
        <w:tabs>
          <w:tab w:leader="none" w:pos="96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Agreement. Subject to the restrictions contained in the Plan and applicable law (including compliance with Section 409A of the Code), the Committee may waive any conditions or rights under, amend any terms of, or alter, suspend, discontinue, cancel or terminate, the RSU, prospectively or retroactively.</w:t>
      </w:r>
    </w:p>
    <w:p>
      <w:pPr>
        <w:spacing w:after="0" w:line="175" w:lineRule="exact"/>
        <w:rPr>
          <w:rFonts w:ascii="Times New Roman" w:cs="Times New Roman" w:eastAsia="Times New Roman" w:hAnsi="Times New Roman"/>
          <w:sz w:val="18"/>
          <w:szCs w:val="18"/>
          <w:color w:val="auto"/>
        </w:rPr>
      </w:pPr>
    </w:p>
    <w:p>
      <w:pPr>
        <w:ind w:right="160" w:firstLine="656"/>
        <w:spacing w:after="0" w:line="269" w:lineRule="auto"/>
        <w:tabs>
          <w:tab w:leader="none" w:pos="963"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Notwithstanding anything herein to the contrary, to the maximum extent permitted by applicable law, the settlement of the RSUs to be made to the Grantee pursuant to this Agreement is intended to qualify as a “short-term deferral” pursuant to Section 1.409A-1(b)(4) of the Regulations and this Agreement shall be interpreted consistently therewith. However, in any circumstances where the settlement of the RSUs may not so qualify, the Committee shall administer the grant and settlement of such RSUs in strict compliance with Section 409A of the Code. Further, notwithstanding anything herein to the contrary, to the extent that this Award constitutes deferred compensation for purposes of Section 409A of the Code</w:t>
      </w:r>
    </w:p>
    <w:p>
      <w:pPr>
        <w:spacing w:after="0" w:line="2" w:lineRule="exact"/>
        <w:rPr>
          <w:rFonts w:ascii="Times New Roman" w:cs="Times New Roman" w:eastAsia="Times New Roman" w:hAnsi="Times New Roman"/>
          <w:sz w:val="17"/>
          <w:szCs w:val="17"/>
          <w:color w:val="auto"/>
        </w:rPr>
      </w:pPr>
    </w:p>
    <w:p>
      <w:pPr>
        <w:ind w:right="20" w:firstLine="8"/>
        <w:spacing w:after="0" w:line="251" w:lineRule="auto"/>
        <w:tabs>
          <w:tab w:leader="none" w:pos="2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 payable upon the Grantee’s termination of service shall be issued, unless Grantee’s termination of service constitutes a “separation from service” within the meaning of Section 1.409A-1(h) of the Treasury Regulations and (ii) if at the time of a Grantee’s termination of employment with the Company and all “service recipients” (as defined in the applicable provision of the Treasury Regulations), the Grantee is a “specified employee” as defined in Section 409A of the Code, and the deferral of the commencement of any payments or benefits otherwise payable hereunder as a result of such termination of service is necessary in order to prevent the imposition of any accelerated or additional tax under Section 409A of the Code, then the Company will defer the commencement of the payment of any such payments or benefits hereunder (without any reduction in such payments or benefits ultimately paid or provided to the Grantee) to the minimum extent necessary to satisfy Section 409A of the Code until the date that is six months and one day following the Participant’s termination of employment with the Company (or the earliest date as is permitted under Section 409A of the Code), if such payment or benefit is payable upon a termination of employment. Each payment of RSUs constitutes a “separate payment” for purposes of Section 409A of the Code. Notwithstanding any other provision of this Agreement or the Plan to the contrary, to the extent that this Agreement constitutes deferred compensation for purposes of Section 409A of the Code, a “Change in Control” for purposes of this Agreement shall mean “change in the ownership of the Company,” a “change in the effective control of the Company,” or a “change in the ownership of a substantial portion of the Company’s assets,” as such terms are defined in Section 1.409A-3(i)(5) of the Treasury Regulations. Notwithstanding the foregoing, Company does not warrant that this RSU will qualify for favorable tax treatment under Section 409A of the Code or any other provision of federal, state, local or foreign law. The Company shall not be liable to Grantee for any tax, interest, or penalties that the Grantee might owe as a result of the grant, holding, vesting, exercise, or payment of the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-5241925</wp:posOffset>
            </wp:positionV>
            <wp:extent cx="15297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-4830445</wp:posOffset>
            </wp:positionV>
            <wp:extent cx="6858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-4281805</wp:posOffset>
            </wp:positionV>
            <wp:extent cx="16884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6884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-3184525</wp:posOffset>
            </wp:positionV>
            <wp:extent cx="13709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370965"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-2635885</wp:posOffset>
            </wp:positionV>
            <wp:extent cx="7391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ind w:left="-638" w:right="160" w:firstLine="638"/>
        <w:spacing w:after="0" w:line="282" w:lineRule="auto"/>
        <w:tabs>
          <w:tab w:leader="none" w:pos="3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to Continued Employment. The grant of the RSU shall not be construed as giving the Grantee the right to be retained in the service of the Company, and the Company may at any time dismiss the Grantee from service, free from any liability or any claim under the Plan.</w:t>
      </w:r>
    </w:p>
    <w:p>
      <w:pPr>
        <w:spacing w:after="0" w:line="161" w:lineRule="exact"/>
        <w:rPr>
          <w:rFonts w:ascii="Times New Roman" w:cs="Times New Roman" w:eastAsia="Times New Roman" w:hAnsi="Times New Roman"/>
          <w:sz w:val="18"/>
          <w:szCs w:val="18"/>
          <w:color w:val="auto"/>
        </w:rPr>
      </w:pPr>
    </w:p>
    <w:p>
      <w:pPr>
        <w:ind w:left="-638" w:right="60" w:firstLine="656"/>
        <w:spacing w:after="0" w:line="258" w:lineRule="auto"/>
        <w:tabs>
          <w:tab w:leader="none" w:pos="32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Severability.If any provision of this Agreement is, or becomes, or is deemed to be invalid, illegal, or 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83" w:lineRule="exact"/>
        <w:rPr>
          <w:rFonts w:ascii="Times New Roman" w:cs="Times New Roman" w:eastAsia="Times New Roman" w:hAnsi="Times New Roman"/>
          <w:sz w:val="18"/>
          <w:szCs w:val="18"/>
          <w:color w:val="auto"/>
        </w:rPr>
      </w:pPr>
    </w:p>
    <w:p>
      <w:pPr>
        <w:ind w:left="-638" w:right="220" w:firstLine="656"/>
        <w:spacing w:after="0" w:line="282" w:lineRule="auto"/>
        <w:tabs>
          <w:tab w:leader="none" w:pos="4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161" w:lineRule="exact"/>
        <w:rPr>
          <w:rFonts w:ascii="Times New Roman" w:cs="Times New Roman" w:eastAsia="Times New Roman" w:hAnsi="Times New Roman"/>
          <w:sz w:val="18"/>
          <w:szCs w:val="18"/>
          <w:color w:val="auto"/>
        </w:rPr>
      </w:pPr>
    </w:p>
    <w:p>
      <w:pPr>
        <w:ind w:left="-638" w:firstLine="656"/>
        <w:spacing w:after="0" w:line="266" w:lineRule="auto"/>
        <w:tabs>
          <w:tab w:leader="none" w:pos="40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Successors in Interest.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75" w:lineRule="exact"/>
        <w:rPr>
          <w:rFonts w:ascii="Times New Roman" w:cs="Times New Roman" w:eastAsia="Times New Roman" w:hAnsi="Times New Roman"/>
          <w:sz w:val="18"/>
          <w:szCs w:val="18"/>
          <w:color w:val="auto"/>
        </w:rPr>
      </w:pPr>
    </w:p>
    <w:p>
      <w:pPr>
        <w:ind w:left="-638" w:right="340" w:firstLine="656"/>
        <w:spacing w:after="0" w:line="266" w:lineRule="auto"/>
        <w:tabs>
          <w:tab w:leader="none" w:pos="4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of Disputes.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75" w:lineRule="exact"/>
        <w:rPr>
          <w:rFonts w:ascii="Times New Roman" w:cs="Times New Roman" w:eastAsia="Times New Roman" w:hAnsi="Times New Roman"/>
          <w:sz w:val="18"/>
          <w:szCs w:val="18"/>
          <w:color w:val="auto"/>
        </w:rPr>
      </w:pPr>
    </w:p>
    <w:p>
      <w:pPr>
        <w:ind w:left="-638" w:right="620" w:firstLine="656"/>
        <w:spacing w:after="0" w:line="282" w:lineRule="auto"/>
        <w:tabs>
          <w:tab w:leader="none" w:pos="4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as a Shareholder. Grantee shall not have voting or any other rights as a shareholder of the Company with respect to the RSUs. Grantee will obtain voting and other rights as a shareholder of the Company upon the settlement of the RSUs in Shares.</w:t>
      </w:r>
    </w:p>
    <w:p>
      <w:pPr>
        <w:spacing w:after="0" w:line="377" w:lineRule="exact"/>
        <w:rPr>
          <w:rFonts w:ascii="Times New Roman" w:cs="Times New Roman" w:eastAsia="Times New Roman" w:hAnsi="Times New Roman"/>
          <w:sz w:val="18"/>
          <w:szCs w:val="18"/>
          <w:color w:val="auto"/>
        </w:rPr>
      </w:pPr>
    </w:p>
    <w:p>
      <w:pPr>
        <w:ind w:left="-638" w:right="60" w:firstLine="656"/>
        <w:spacing w:after="0" w:line="253" w:lineRule="auto"/>
        <w:tabs>
          <w:tab w:leader="none" w:pos="4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The Award granted pursuant to this Agreement, and any prior awards granted to Grantee under the Plan, shall be subject to forfeiture, repayment, reimbursement or other recoupment (i) to the extent provided in the Company’s current Compensation Recoupment Policy, as it may be amended from time to time (the “Current Recoupment Policy”), (ii) to the extent that Grantee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“Dodd-Frank Clawback Requirements”) (such policies referenced in clause (i) or this clause (ii), collectively, the “Policies”),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pursuant to the terms of the Policies.</w:t>
      </w:r>
    </w:p>
    <w:p>
      <w:pPr>
        <w:spacing w:after="0" w:line="194" w:lineRule="exact"/>
        <w:rPr>
          <w:rFonts w:ascii="Times New Roman" w:cs="Times New Roman" w:eastAsia="Times New Roman" w:hAnsi="Times New Roman"/>
          <w:sz w:val="18"/>
          <w:szCs w:val="18"/>
          <w:color w:val="auto"/>
        </w:rPr>
      </w:pPr>
    </w:p>
    <w:p>
      <w:pPr>
        <w:ind w:left="-638" w:right="180" w:firstLine="656"/>
        <w:spacing w:after="0" w:line="282" w:lineRule="auto"/>
        <w:tabs>
          <w:tab w:leader="none" w:pos="41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All notices required to be given under this Agreement shall be deemed to be received if delivered or mailed as provided for herein to the parties at the following addresses, or to such other address as either party may provide in writing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-4986020</wp:posOffset>
            </wp:positionV>
            <wp:extent cx="17773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777365" cy="889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-4574540</wp:posOffset>
            </wp:positionV>
            <wp:extent cx="6661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6611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-3751580</wp:posOffset>
            </wp:positionV>
            <wp:extent cx="8343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834390" cy="825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-3340100</wp:posOffset>
            </wp:positionV>
            <wp:extent cx="1104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10426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-2791460</wp:posOffset>
            </wp:positionV>
            <wp:extent cx="1161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-2242820</wp:posOffset>
            </wp:positionV>
            <wp:extent cx="11963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19634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-1694180</wp:posOffset>
            </wp:positionV>
            <wp:extent cx="691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9151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-185420</wp:posOffset>
            </wp:positionV>
            <wp:extent cx="4629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40" w:lineRule="exact"/>
        <w:rPr>
          <w:sz w:val="20"/>
          <w:szCs w:val="20"/>
          <w:color w:val="auto"/>
        </w:rPr>
      </w:pPr>
    </w:p>
    <w:p>
      <w:pPr>
        <w:ind w:left="22"/>
        <w:spacing w:after="0"/>
        <w:tabs>
          <w:tab w:leader="none" w:pos="2022" w:val="left"/>
        </w:tabs>
        <w:rPr>
          <w:sz w:val="20"/>
          <w:szCs w:val="20"/>
          <w:color w:val="auto"/>
        </w:rPr>
      </w:pPr>
      <w:r>
        <w:rPr>
          <w:rFonts w:ascii="Times New Roman" w:cs="Times New Roman" w:eastAsia="Times New Roman" w:hAnsi="Times New Roman"/>
          <w:sz w:val="18"/>
          <w:szCs w:val="18"/>
          <w:i w:val="1"/>
          <w:iCs w:val="1"/>
          <w:color w:val="auto"/>
        </w:rPr>
        <w:t>To the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HealthStream, Inc.</w:t>
      </w:r>
    </w:p>
    <w:p>
      <w:pPr>
        <w:spacing w:after="0" w:line="2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500 11</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Avenue North, Suite 850</w:t>
      </w:r>
    </w:p>
    <w:p>
      <w:pPr>
        <w:spacing w:after="0" w:line="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Nashville TN 37203</w:t>
      </w:r>
    </w:p>
    <w:p>
      <w:pPr>
        <w:sectPr>
          <w:pgSz w:w="11900" w:h="16838" w:orient="portrait"/>
          <w:cols w:equalWidth="0" w:num="1">
            <w:col w:w="10602"/>
          </w:cols>
          <w:pgMar w:left="958" w:top="364" w:right="339" w:bottom="1440" w:gutter="0" w:footer="0" w:header="0"/>
        </w:sectPr>
      </w:pPr>
    </w:p>
    <w:p>
      <w:pPr>
        <w:spacing w:after="0" w:line="205"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7"/>
          <w:szCs w:val="17"/>
          <w:i w:val="1"/>
          <w:iCs w:val="1"/>
          <w:color w:val="auto"/>
        </w:rPr>
        <w:t>To the Grantee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address then maintained with respect to the Grantee in the Company’s records.</w:t>
      </w:r>
    </w:p>
    <w:p>
      <w:pPr>
        <w:spacing w:after="0" w:line="200" w:lineRule="exact"/>
        <w:rPr>
          <w:sz w:val="20"/>
          <w:szCs w:val="20"/>
          <w:color w:val="auto"/>
        </w:rPr>
      </w:pPr>
    </w:p>
    <w:p>
      <w:pPr>
        <w:sectPr>
          <w:pgSz w:w="11900" w:h="16838" w:orient="portrait"/>
          <w:cols w:equalWidth="0" w:num="2">
            <w:col w:w="1142" w:space="400"/>
            <w:col w:w="9060"/>
          </w:cols>
          <w:pgMar w:left="958" w:top="364" w:right="3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jc w:val="center"/>
        <w:ind w:right="598"/>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effective as of the day and year first above written.</w:t>
      </w:r>
    </w:p>
    <w:p>
      <w:pPr>
        <w:spacing w:after="0" w:line="200" w:lineRule="exact"/>
        <w:rPr>
          <w:sz w:val="20"/>
          <w:szCs w:val="20"/>
          <w:color w:val="auto"/>
        </w:rPr>
      </w:pPr>
    </w:p>
    <w:p>
      <w:pPr>
        <w:spacing w:after="0" w:line="249" w:lineRule="exact"/>
        <w:rPr>
          <w:sz w:val="20"/>
          <w:szCs w:val="20"/>
          <w:color w:val="auto"/>
        </w:rPr>
      </w:pPr>
    </w:p>
    <w:p>
      <w:pPr>
        <w:ind w:left="3262"/>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200" w:lineRule="exact"/>
        <w:rPr>
          <w:sz w:val="20"/>
          <w:szCs w:val="20"/>
          <w:color w:val="auto"/>
        </w:rPr>
      </w:pPr>
    </w:p>
    <w:p>
      <w:pPr>
        <w:spacing w:after="0" w:line="245" w:lineRule="exact"/>
        <w:rPr>
          <w:sz w:val="20"/>
          <w:szCs w:val="20"/>
          <w:color w:val="auto"/>
        </w:rPr>
      </w:pPr>
    </w:p>
    <w:p>
      <w:pPr>
        <w:ind w:left="326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2068830</wp:posOffset>
            </wp:positionH>
            <wp:positionV relativeFrom="paragraph">
              <wp:posOffset>17145</wp:posOffset>
            </wp:positionV>
            <wp:extent cx="1645920" cy="505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62"/>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7" w:lineRule="exact"/>
        <w:rPr>
          <w:sz w:val="20"/>
          <w:szCs w:val="20"/>
          <w:color w:val="auto"/>
        </w:rPr>
      </w:pPr>
    </w:p>
    <w:p>
      <w:pPr>
        <w:ind w:left="3262"/>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w:t>
      </w:r>
    </w:p>
    <w:p>
      <w:pPr>
        <w:spacing w:after="0" w:line="27" w:lineRule="exact"/>
        <w:rPr>
          <w:sz w:val="20"/>
          <w:szCs w:val="20"/>
          <w:color w:val="auto"/>
        </w:rPr>
      </w:pPr>
    </w:p>
    <w:p>
      <w:pPr>
        <w:ind w:left="22"/>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228600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2"/>
          </w:cols>
          <w:pgMar w:left="958" w:top="36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Criteria</w:t>
      </w:r>
    </w:p>
    <w:p>
      <w:pPr>
        <w:spacing w:after="0" w:line="229" w:lineRule="exact"/>
        <w:rPr>
          <w:sz w:val="20"/>
          <w:szCs w:val="20"/>
          <w:color w:val="auto"/>
        </w:rPr>
      </w:pPr>
    </w:p>
    <w:p>
      <w:pPr>
        <w:jc w:val="both"/>
        <w:ind w:firstLine="558"/>
        <w:spacing w:after="0" w:line="258" w:lineRule="auto"/>
        <w:rPr>
          <w:sz w:val="20"/>
          <w:szCs w:val="20"/>
          <w:color w:val="auto"/>
        </w:rPr>
      </w:pPr>
      <w:r>
        <w:rPr>
          <w:rFonts w:ascii="Times New Roman" w:cs="Times New Roman" w:eastAsia="Times New Roman" w:hAnsi="Times New Roman"/>
          <w:sz w:val="18"/>
          <w:szCs w:val="18"/>
          <w:color w:val="auto"/>
        </w:rPr>
        <w:t>For purposes of this Award, performance will be measured over the following five performance periods (the “</w:t>
      </w:r>
      <w:r>
        <w:rPr>
          <w:rFonts w:ascii="Times New Roman" w:cs="Times New Roman" w:eastAsia="Times New Roman" w:hAnsi="Times New Roman"/>
          <w:sz w:val="18"/>
          <w:szCs w:val="18"/>
          <w:u w:val="single" w:color="auto"/>
          <w:color w:val="auto"/>
        </w:rPr>
        <w:t>Performance Periods</w:t>
      </w:r>
      <w:r>
        <w:rPr>
          <w:rFonts w:ascii="Times New Roman" w:cs="Times New Roman" w:eastAsia="Times New Roman" w:hAnsi="Times New Roman"/>
          <w:sz w:val="18"/>
          <w:szCs w:val="18"/>
          <w:color w:val="auto"/>
        </w:rPr>
        <w:t>”): (i) the period beginning on January 1, 2027 and ending on December 31, 2027 (the “</w:t>
      </w:r>
      <w:r>
        <w:rPr>
          <w:rFonts w:ascii="Times New Roman" w:cs="Times New Roman" w:eastAsia="Times New Roman" w:hAnsi="Times New Roman"/>
          <w:sz w:val="18"/>
          <w:szCs w:val="18"/>
          <w:u w:val="single" w:color="auto"/>
          <w:color w:val="auto"/>
        </w:rPr>
        <w:t>Initial Performance Period</w:t>
      </w:r>
      <w:r>
        <w:rPr>
          <w:rFonts w:ascii="Times New Roman" w:cs="Times New Roman" w:eastAsia="Times New Roman" w:hAnsi="Times New Roman"/>
          <w:sz w:val="18"/>
          <w:szCs w:val="18"/>
          <w:color w:val="auto"/>
        </w:rPr>
        <w:t>”; all Performance Periods other than the Initial Performance Period, “</w:t>
      </w:r>
      <w:r>
        <w:rPr>
          <w:rFonts w:ascii="Times New Roman" w:cs="Times New Roman" w:eastAsia="Times New Roman" w:hAnsi="Times New Roman"/>
          <w:sz w:val="18"/>
          <w:szCs w:val="18"/>
          <w:u w:val="single" w:color="auto"/>
          <w:color w:val="auto"/>
        </w:rPr>
        <w:t>Subsequent Performance Periods</w:t>
      </w:r>
      <w:r>
        <w:rPr>
          <w:rFonts w:ascii="Times New Roman" w:cs="Times New Roman" w:eastAsia="Times New Roman" w:hAnsi="Times New Roman"/>
          <w:sz w:val="18"/>
          <w:szCs w:val="18"/>
          <w:color w:val="auto"/>
        </w:rPr>
        <w:t>”), (ii) the period beginning on January 1, 2028 and ending on December 31, 2028, (iii) the period beginning on January 1, 2029 and ending on December 31, 2029, and (iv) the period beginning on January 1, 2030 and ending on December 31, 2031. For purposes of this Award, the performance criteria referenced herein for any Performance Period is referred to as the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each of the Performance Periods, the Committee shall determine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the Performance Criteria on an annual basis, and it is anticipated that the Performance Criteria will be based on one or more annual financial performance targets of the Company and/or annual financial performance targets of the business unit over which the Grantee has primary responsibility, which annual financial performance targets may include, among other things, operating income, Adjusted EBITDA and revenue thresholds of the Company and/or the applicable business unit (the “</w:t>
      </w:r>
      <w:r>
        <w:rPr>
          <w:rFonts w:ascii="Times New Roman" w:cs="Times New Roman" w:eastAsia="Times New Roman" w:hAnsi="Times New Roman"/>
          <w:sz w:val="18"/>
          <w:szCs w:val="18"/>
          <w:u w:val="single" w:color="auto"/>
          <w:color w:val="auto"/>
        </w:rPr>
        <w:t>Financial Metric</w:t>
      </w:r>
      <w:r>
        <w:rPr>
          <w:rFonts w:ascii="Times New Roman" w:cs="Times New Roman" w:eastAsia="Times New Roman" w:hAnsi="Times New Roman"/>
          <w:sz w:val="18"/>
          <w:szCs w:val="18"/>
          <w:color w:val="auto"/>
        </w:rPr>
        <w:t>”) as determined by the Committee in connection with the Determination. Determination of the Performance Criteria for the Initial Performance Period shall be determined by the Committee at or near the time this Agreement is approved by the Committee. The Determination of the Performance Criteria for each of the Subsequent Performance Periods shall be determined by the Committee within 90 calendar days following the beginning of each Subsequent Performance Period.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performance achieved in the applicable Performance Period meets or exceeds the established target goal level as established by the Committee, 100% of the RSUs eligible to vest in respect of such Performance Period pursuant to Section 2.1 shall vest and settle pursuant to the terms of this Agreement. If the performance achieved in the applicable Performance Period is less than the established target goal level as established by the Committee, none of the RSUs eligible to vest in respect of such Performance Period pursuant to Section 2.1 shall vest and settle pursuant to the terms of this Agreement. In addition, except as otherwise determined by the Committee, the impact of any acquisitions or divestitures that are pursued or completed during any Performance Period shall be excluded from the calculation of the Financial Metric for such Performance Period pursuant to the terms of this Agreement, including, without limitation, any expenses associated with acquisitions or divestitures pursued or completed during Performance Period and operating income (loss), Adjusted EBITDA and revenue, as applicable, resulting from acquisitions and divestitures completed during such Performance Period.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in connection with making the Determination for each corresponding Subsequent Performance Period, the Committee will establish criteria by which RSUs (if any) that have not vested with respect to the prior year’s Performance Period may vest in part or in full on the Vesting Date for the Subsequent Performance Period to the extent that the Performance Criteria for such Subsequent Performance Period is exceeded by an amount as determined at such time by the Committee in connection with the Determination (the “</w:t>
      </w:r>
      <w:r>
        <w:rPr>
          <w:rFonts w:ascii="Times New Roman" w:cs="Times New Roman" w:eastAsia="Times New Roman" w:hAnsi="Times New Roman"/>
          <w:sz w:val="18"/>
          <w:szCs w:val="18"/>
          <w:u w:val="single" w:color="auto"/>
          <w:color w:val="auto"/>
        </w:rPr>
        <w:t>Catch-Up Provision</w:t>
      </w:r>
      <w:r>
        <w:rPr>
          <w:rFonts w:ascii="Times New Roman" w:cs="Times New Roman" w:eastAsia="Times New Roman" w:hAnsi="Times New Roman"/>
          <w:sz w:val="18"/>
          <w:szCs w:val="18"/>
          <w:color w:val="auto"/>
        </w:rPr>
        <w:t>”); provided, however, that in the event that RSUs do not vest in any calendar year and thus are available to vest in the succeeding calendar year (the “</w:t>
      </w:r>
      <w:r>
        <w:rPr>
          <w:rFonts w:ascii="Times New Roman" w:cs="Times New Roman" w:eastAsia="Times New Roman" w:hAnsi="Times New Roman"/>
          <w:sz w:val="18"/>
          <w:szCs w:val="18"/>
          <w:u w:val="single" w:color="auto"/>
          <w:color w:val="auto"/>
        </w:rPr>
        <w:t>Succeeding Year</w:t>
      </w:r>
      <w:r>
        <w:rPr>
          <w:rFonts w:ascii="Times New Roman" w:cs="Times New Roman" w:eastAsia="Times New Roman" w:hAnsi="Times New Roman"/>
          <w:sz w:val="18"/>
          <w:szCs w:val="18"/>
          <w:color w:val="auto"/>
        </w:rPr>
        <w:t>”) pursuant to the Catch-Up Provision, and subsequently do not vest in such Succeeding Year, then such RSUs will not be eligible to vest in any subsequent calendar year that follows such Succeeding Year.</w:t>
      </w:r>
    </w:p>
    <w:p>
      <w:pPr>
        <w:sectPr>
          <w:pgSz w:w="11900" w:h="16838" w:orient="portrait"/>
          <w:cols w:equalWidth="0" w:num="1">
            <w:col w:w="11240"/>
          </w:cols>
          <w:pgMar w:left="320" w:top="57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692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320" w:type="dxa"/>
            <w:vAlign w:val="bottom"/>
          </w:tcPr>
          <w:p>
            <w:pPr>
              <w:spacing w:after="0"/>
              <w:rPr>
                <w:sz w:val="16"/>
                <w:szCs w:val="16"/>
                <w:color w:val="auto"/>
              </w:rPr>
            </w:pPr>
          </w:p>
        </w:tc>
        <w:tc>
          <w:tcPr>
            <w:tcW w:w="6920" w:type="dxa"/>
            <w:vAlign w:val="bottom"/>
          </w:tcPr>
          <w:p>
            <w:pPr>
              <w:ind w:left="254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320" w:type="dxa"/>
            <w:vAlign w:val="bottom"/>
          </w:tcPr>
          <w:p>
            <w:pPr>
              <w:spacing w:after="0"/>
              <w:rPr>
                <w:sz w:val="20"/>
                <w:szCs w:val="20"/>
                <w:color w:val="auto"/>
              </w:rPr>
            </w:pPr>
          </w:p>
        </w:tc>
        <w:tc>
          <w:tcPr>
            <w:tcW w:w="692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69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300" w:type="dxa"/>
            <w:vAlign w:val="bottom"/>
          </w:tcPr>
          <w:p>
            <w:pPr>
              <w:spacing w:after="0"/>
              <w:rPr>
                <w:sz w:val="16"/>
                <w:szCs w:val="16"/>
                <w:color w:val="auto"/>
              </w:rPr>
            </w:pPr>
          </w:p>
        </w:tc>
        <w:tc>
          <w:tcPr>
            <w:tcW w:w="6940" w:type="dxa"/>
            <w:vAlign w:val="bottom"/>
          </w:tcPr>
          <w:p>
            <w:pPr>
              <w:ind w:left="252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300" w:type="dxa"/>
            <w:vAlign w:val="bottom"/>
          </w:tcPr>
          <w:p>
            <w:pPr>
              <w:spacing w:after="0"/>
              <w:rPr>
                <w:sz w:val="20"/>
                <w:szCs w:val="20"/>
                <w:color w:val="auto"/>
              </w:rPr>
            </w:pPr>
          </w:p>
        </w:tc>
        <w:tc>
          <w:tcPr>
            <w:tcW w:w="69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September 30, 2026,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lowerRoman"/>
      <w:start w:val="1"/>
    </w:lvl>
    <w:lvl w:ilvl="1">
      <w:lvlJc w:val="left"/>
      <w:lvlText w:val="%2."/>
      <w:numFmt w:val="decimal"/>
      <w:start w:val="3"/>
    </w:lvl>
  </w:abstractNum>
  <w:abstractNum w:abstractNumId="16">
    <w:nsid w:val="721DA317"/>
    <w:multiLevelType w:val="hybridMultilevel"/>
    <w:lvl w:ilvl="0">
      <w:lvlJc w:val="left"/>
      <w:lvlText w:val="(%1)"/>
      <w:numFmt w:val="lowerRoman"/>
      <w:start w:val="1"/>
    </w:lvl>
    <w:lvl w:ilvl="1">
      <w:lvlJc w:val="left"/>
      <w:lvlText w:val="%2."/>
      <w:numFmt w:val="decimal"/>
      <w:start w:val="8"/>
    </w:lvl>
  </w:abstractNum>
  <w:abstractNum w:abstractNumId="17">
    <w:nsid w:val="2443A858"/>
    <w:multiLevelType w:val="hybridMultilevel"/>
    <w:lvl w:ilvl="0">
      <w:lvlJc w:val="left"/>
      <w:lvlText w:val="%1."/>
      <w:numFmt w:val="decimal"/>
      <w:start w:val="9"/>
    </w:lvl>
    <w:lvl w:ilvl="1">
      <w:lvlJc w:val="left"/>
      <w:lvlText w:val="%2."/>
      <w:numFmt w:val="decimal"/>
      <w:start w:val="10"/>
    </w:lvl>
  </w:abstractNum>
  <w:abstractNum w:abstractNumId="18">
    <w:nsid w:val="2D1D5AE9"/>
    <w:multiLevelType w:val="hybridMultilevel"/>
    <w:lvl w:ilvl="0">
      <w:lvlJc w:val="left"/>
      <w:lvlText w:val="(%1)"/>
      <w:numFmt w:val="lowerRoman"/>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Roman"/>
      <w:start w:val="1"/>
    </w:lvl>
    <w:lvl w:ilvl="1">
      <w:lvlJc w:val="left"/>
      <w:lvlText w:val="%2."/>
      <w:numFmt w:val="decimal"/>
      <w:start w:val="3"/>
    </w:lvl>
  </w:abstractNum>
  <w:abstractNum w:abstractNumId="21">
    <w:nsid w:val="8EDBDAB"/>
    <w:multiLevelType w:val="hybridMultilevel"/>
    <w:lvl w:ilvl="0">
      <w:lvlJc w:val="left"/>
      <w:lvlText w:val="(%1)"/>
      <w:numFmt w:val="lowerRoman"/>
      <w:start w:val="1"/>
    </w:lvl>
    <w:lvl w:ilvl="1">
      <w:lvlJc w:val="left"/>
      <w:lvlText w:val="%2"/>
      <w:numFmt w:val="decimal"/>
      <w:start w:val="1"/>
    </w:lvl>
  </w:abstractNum>
  <w:abstractNum w:abstractNumId="22">
    <w:nsid w:val="79838CB2"/>
    <w:multiLevelType w:val="hybridMultilevel"/>
    <w:lvl w:ilvl="0">
      <w:lvlJc w:val="left"/>
      <w:lvlText w:val="%1."/>
      <w:numFmt w:val="decimal"/>
      <w:start w:val="8"/>
    </w:lvl>
    <w:lvl w:ilvl="1">
      <w:lvlJc w:val="left"/>
      <w:lvlText w:val="%2."/>
      <w:numFmt w:val="decimal"/>
      <w:start w:val="9"/>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jpe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37" Type="http://schemas.openxmlformats.org/officeDocument/2006/relationships/hyperlink" Target="http://www.sec.gov/Archives/edgar/data/1095565/000143774926030240/ex_1015492.htm" TargetMode="External"/><Relationship Id="rId38" Type="http://schemas.openxmlformats.org/officeDocument/2006/relationships/hyperlink" Target="http://www.sec.gov/Archives/edgar/data/1095565/000143774926030399/ex_1016292.htm" TargetMode="External"/><Relationship Id="rId39" Type="http://schemas.openxmlformats.org/officeDocument/2006/relationships/hyperlink" Target="http://www.sec.gov/Archives/edgar/data/1095565/000143774926030399/ex_10162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2026-11-05T16:01:50Z</dcterms:created>
  <dcterms:modified xsi:type="dcterms:W3CDTF">2026-11-05T16:01:50Z</dcterms:modified>
</cp:coreProperties>
</file>