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No.: 001-8833</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420" w:type="dxa"/>
            <w:vAlign w:val="bottom"/>
            <w:gridSpan w:val="4"/>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626"/>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4640" w:type="dxa"/>
            <w:vAlign w:val="bottom"/>
          </w:tcPr>
          <w:p>
            <w:pPr>
              <w:jc w:val="center"/>
              <w:ind w:left="694"/>
              <w:spacing w:after="0"/>
              <w:rPr>
                <w:sz w:val="20"/>
                <w:szCs w:val="20"/>
                <w:color w:val="auto"/>
              </w:rPr>
            </w:pPr>
            <w:r>
              <w:rPr>
                <w:rFonts w:ascii="Arial" w:cs="Arial" w:eastAsia="Arial" w:hAnsi="Arial"/>
                <w:sz w:val="18"/>
                <w:szCs w:val="18"/>
                <w:b w:val="1"/>
                <w:bCs w:val="1"/>
                <w:color w:val="auto"/>
                <w:w w:val="81"/>
              </w:rPr>
              <w:t>Tennessee</w:t>
            </w:r>
          </w:p>
        </w:tc>
        <w:tc>
          <w:tcPr>
            <w:tcW w:w="678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4640" w:type="dxa"/>
            <w:vAlign w:val="bottom"/>
            <w:tcBorders>
              <w:top w:val="single" w:sz="8" w:color="auto"/>
            </w:tcBorders>
          </w:tcPr>
          <w:p>
            <w:pPr>
              <w:jc w:val="center"/>
              <w:ind w:left="694"/>
              <w:spacing w:after="0"/>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40" w:type="dxa"/>
            <w:vAlign w:val="bottom"/>
          </w:tcPr>
          <w:p>
            <w:pPr>
              <w:jc w:val="center"/>
              <w:ind w:left="694"/>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4640" w:type="dxa"/>
            <w:vAlign w:val="bottom"/>
          </w:tcPr>
          <w:p>
            <w:pPr>
              <w:jc w:val="center"/>
              <w:ind w:left="694"/>
              <w:spacing w:after="0"/>
              <w:rPr>
                <w:sz w:val="20"/>
                <w:szCs w:val="20"/>
                <w:color w:val="auto"/>
              </w:rPr>
            </w:pPr>
            <w:r>
              <w:rPr>
                <w:rFonts w:ascii="Arial" w:cs="Arial" w:eastAsia="Arial" w:hAnsi="Arial"/>
                <w:sz w:val="18"/>
                <w:szCs w:val="18"/>
                <w:b w:val="1"/>
                <w:bCs w:val="1"/>
                <w:color w:val="auto"/>
                <w:w w:val="89"/>
              </w:rPr>
              <w:t>209 10th Avenue South, Suite 450</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4640" w:type="dxa"/>
            <w:vAlign w:val="bottom"/>
          </w:tcPr>
          <w:p>
            <w:pPr>
              <w:jc w:val="center"/>
              <w:ind w:left="694"/>
              <w:spacing w:after="0"/>
              <w:rPr>
                <w:sz w:val="20"/>
                <w:szCs w:val="20"/>
                <w:color w:val="auto"/>
              </w:rPr>
            </w:pPr>
            <w:r>
              <w:rPr>
                <w:rFonts w:ascii="Arial" w:cs="Arial" w:eastAsia="Arial" w:hAnsi="Arial"/>
                <w:sz w:val="18"/>
                <w:szCs w:val="18"/>
                <w:b w:val="1"/>
                <w:bCs w:val="1"/>
                <w:color w:val="auto"/>
                <w:w w:val="85"/>
              </w:rPr>
              <w:t>Nashville, Tennessee</w:t>
            </w:r>
          </w:p>
        </w:tc>
        <w:tc>
          <w:tcPr>
            <w:tcW w:w="6780" w:type="dxa"/>
            <w:vAlign w:val="bottom"/>
            <w:gridSpan w:val="3"/>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4640" w:type="dxa"/>
            <w:vAlign w:val="bottom"/>
            <w:tcBorders>
              <w:top w:val="single" w:sz="8" w:color="auto"/>
            </w:tcBorders>
          </w:tcPr>
          <w:p>
            <w:pPr>
              <w:jc w:val="center"/>
              <w:ind w:left="674"/>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91"/>
        </w:trPr>
        <w:tc>
          <w:tcPr>
            <w:tcW w:w="4640" w:type="dxa"/>
            <w:vAlign w:val="bottom"/>
          </w:tcPr>
          <w:p>
            <w:pPr>
              <w:spacing w:after="0"/>
              <w:rPr>
                <w:sz w:val="24"/>
                <w:szCs w:val="24"/>
                <w:color w:val="auto"/>
              </w:rPr>
            </w:pPr>
          </w:p>
        </w:tc>
        <w:tc>
          <w:tcPr>
            <w:tcW w:w="6780" w:type="dxa"/>
            <w:vAlign w:val="bottom"/>
            <w:gridSpan w:val="3"/>
          </w:tcPr>
          <w:p>
            <w:pPr>
              <w:jc w:val="center"/>
              <w:ind w:right="4530"/>
              <w:spacing w:after="0"/>
              <w:rPr>
                <w:sz w:val="20"/>
                <w:szCs w:val="20"/>
                <w:color w:val="auto"/>
              </w:rPr>
            </w:pPr>
            <w:r>
              <w:rPr>
                <w:rFonts w:ascii="Arial" w:cs="Arial" w:eastAsia="Arial" w:hAnsi="Arial"/>
                <w:sz w:val="18"/>
                <w:szCs w:val="18"/>
                <w:b w:val="1"/>
                <w:bCs w:val="1"/>
                <w:color w:val="auto"/>
                <w:w w:val="90"/>
              </w:rPr>
              <w:t>(615) 301-3100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111760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24" w:lineRule="exact"/>
        <w:rPr>
          <w:sz w:val="20"/>
          <w:szCs w:val="20"/>
          <w:color w:val="auto"/>
        </w:rPr>
      </w:pPr>
    </w:p>
    <w:p>
      <w:pPr>
        <w:ind w:right="2120"/>
        <w:spacing w:after="0" w:line="32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6, 2005, 21,310,990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640" w:type="dxa"/>
            <w:vAlign w:val="bottom"/>
            <w:gridSpan w:val="1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640" w:type="dxa"/>
            <w:vAlign w:val="bottom"/>
            <w:gridSpan w:val="11"/>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w:t>
              </w:r>
            </w:hyperlink>
          </w:p>
        </w:tc>
        <w:tc>
          <w:tcPr>
            <w:tcW w:w="10100" w:type="dxa"/>
            <w:vAlign w:val="bottom"/>
            <w:gridSpan w:val="9"/>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March 31, 2005 (Unaudited) and December 31, 2004</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9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 — Three Months ended March 31, 2005 and 2004</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1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Three Months ended March 31, 2005</w:t>
              </w:r>
            </w:hyperlink>
          </w:p>
        </w:tc>
        <w:tc>
          <w:tcPr>
            <w:tcW w:w="40" w:type="dxa"/>
            <w:vAlign w:val="bottom"/>
            <w:tcBorders>
              <w:top w:val="single" w:sz="8" w:color="0000EE"/>
            </w:tcBorders>
          </w:tcPr>
          <w:p>
            <w:pPr>
              <w:spacing w:after="0"/>
              <w:rPr>
                <w:sz w:val="24"/>
                <w:szCs w:val="24"/>
                <w:color w:val="auto"/>
              </w:rPr>
            </w:pPr>
          </w:p>
        </w:tc>
        <w:tc>
          <w:tcPr>
            <w:tcW w:w="22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2005 and 2004</w:t>
              </w:r>
            </w:hyperlink>
          </w:p>
        </w:tc>
        <w:tc>
          <w:tcPr>
            <w:tcW w:w="2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10100" w:type="dxa"/>
            <w:vAlign w:val="bottom"/>
            <w:gridSpan w:val="9"/>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3.</w:t>
              </w:r>
            </w:hyperlink>
          </w:p>
        </w:tc>
        <w:tc>
          <w:tcPr>
            <w:tcW w:w="6480" w:type="dxa"/>
            <w:vAlign w:val="bottom"/>
            <w:tcBorders>
              <w:top w:val="single" w:sz="8" w:color="0000EE"/>
            </w:tcBorders>
            <w:gridSpan w:val="4"/>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36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4.</w:t>
              </w:r>
            </w:hyperlink>
          </w:p>
        </w:tc>
        <w:tc>
          <w:tcPr>
            <w:tcW w:w="180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4400" w:type="dxa"/>
            <w:vAlign w:val="bottom"/>
          </w:tcPr>
          <w:p>
            <w:pPr>
              <w:spacing w:after="0"/>
              <w:rPr>
                <w:sz w:val="17"/>
                <w:szCs w:val="17"/>
                <w:color w:val="auto"/>
              </w:rPr>
            </w:pPr>
          </w:p>
        </w:tc>
        <w:tc>
          <w:tcPr>
            <w:tcW w:w="4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674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458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6.</w:t>
              </w:r>
            </w:hyperlink>
          </w:p>
        </w:tc>
        <w:tc>
          <w:tcPr>
            <w:tcW w:w="1320" w:type="dxa"/>
            <w:vAlign w:val="bottom"/>
            <w:tcBorders>
              <w:top w:val="single" w:sz="8" w:color="0000EE"/>
            </w:tcBorders>
            <w:gridSpan w:val="3"/>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4880" w:type="dxa"/>
            <w:vAlign w:val="bottom"/>
            <w:gridSpan w:val="2"/>
          </w:tcPr>
          <w:p>
            <w:pPr>
              <w:spacing w:after="0"/>
              <w:rPr>
                <w:sz w:val="24"/>
                <w:szCs w:val="24"/>
                <w:color w:val="auto"/>
              </w:rPr>
            </w:pPr>
          </w:p>
        </w:tc>
        <w:tc>
          <w:tcPr>
            <w:tcW w:w="4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w:t>
              </w:r>
            </w:hyperlink>
          </w:p>
        </w:tc>
        <w:tc>
          <w:tcPr>
            <w:tcW w:w="5580" w:type="dxa"/>
            <w:vAlign w:val="bottom"/>
            <w:gridSpan w:val="3"/>
          </w:tcPr>
          <w:p>
            <w:pPr>
              <w:spacing w:after="0"/>
              <w:rPr>
                <w:sz w:val="24"/>
                <w:szCs w:val="24"/>
                <w:color w:val="auto"/>
              </w:rPr>
            </w:pPr>
          </w:p>
        </w:tc>
        <w:tc>
          <w:tcPr>
            <w:tcW w:w="4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CERTIFICATION OF THE CEO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SECTION 906 CERTIFICATION OF THE CEO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CERTIFICAION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2"/>
              </w:rPr>
              <w:t>(Note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2,198,071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Investments in short term marketable securities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22,991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$214,147 at March 31, 2005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$234,167 at December 31, 2004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4,196,136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600,710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14,597,219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22,473,131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6,862,762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9,142,490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8,600,594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(6,556,173)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(6,281,311)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2,586,317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11,260,467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3,306,688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$6,783,791 at March 31, 2005</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and $6,695,922 at December 31, 2004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2,728,351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31,422,403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28,557,101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6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1,119,859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1,578,355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Registration liabilities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104,889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928,162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4,078,507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3,987,697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8,095,804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6,798,009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200"/>
              <w:spacing w:after="0" w:line="201" w:lineRule="exact"/>
              <w:rPr>
                <w:sz w:val="20"/>
                <w:szCs w:val="20"/>
                <w:color w:val="auto"/>
              </w:rPr>
            </w:pPr>
            <w:r>
              <w:rPr>
                <w:rFonts w:ascii="Arial" w:cs="Arial" w:eastAsia="Arial" w:hAnsi="Arial"/>
                <w:sz w:val="18"/>
                <w:szCs w:val="18"/>
                <w:color w:val="auto"/>
              </w:rPr>
              <w:t>Common stock, no par value, 75,000,000 shares authorized; 21,183,851 and 20,667,515</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shares issued and outstanding at March 31, 2005 and December 31, 2004, respectively</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93,000,958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91,642,383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(69,768,553)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(69,912,719)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23,232,405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21,729,664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31,422,403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28,557,101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5,682,402</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2,035,765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636,518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408,161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 content fees, feature enhancements, and prepaid compensation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1,155,929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5,376,287</w:t>
            </w: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45,947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(468,515)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105,450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144,166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(418,968)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20,685,786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20,446,544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21,772,332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20,446,544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4"/>
                <w:szCs w:val="14"/>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 Deficit</w:t>
            </w:r>
          </w:p>
        </w:tc>
        <w:tc>
          <w:tcPr>
            <w:tcW w:w="1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20,667,515</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$91,642,383</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(69,912,719)</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21,729,664</w:t>
            </w:r>
          </w:p>
        </w:tc>
        <w:tc>
          <w:tcPr>
            <w:tcW w:w="0" w:type="dxa"/>
            <w:vAlign w:val="bottom"/>
          </w:tcPr>
          <w:p>
            <w:pPr>
              <w:spacing w:after="0"/>
              <w:rPr>
                <w:sz w:val="1"/>
                <w:szCs w:val="1"/>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144,166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acquisition</w:t>
            </w:r>
          </w:p>
        </w:tc>
        <w:tc>
          <w:tcPr>
            <w:tcW w:w="2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479,234</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1,303,516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1,303,516</w:t>
            </w:r>
          </w:p>
        </w:tc>
        <w:tc>
          <w:tcPr>
            <w:tcW w:w="0" w:type="dxa"/>
            <w:vAlign w:val="bottom"/>
          </w:tcPr>
          <w:p>
            <w:pPr>
              <w:spacing w:after="0"/>
              <w:rPr>
                <w:sz w:val="1"/>
                <w:szCs w:val="1"/>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2640" w:type="dxa"/>
            <w:vAlign w:val="bottom"/>
            <w:gridSpan w:val="3"/>
          </w:tcPr>
          <w:p>
            <w:pPr>
              <w:jc w:val="right"/>
              <w:ind w:right="200"/>
              <w:spacing w:after="0"/>
              <w:rPr>
                <w:sz w:val="20"/>
                <w:szCs w:val="20"/>
                <w:color w:val="auto"/>
              </w:rPr>
            </w:pPr>
            <w:r>
              <w:rPr>
                <w:rFonts w:ascii="Arial" w:cs="Arial" w:eastAsia="Arial" w:hAnsi="Arial"/>
                <w:sz w:val="18"/>
                <w:szCs w:val="18"/>
                <w:color w:val="auto"/>
              </w:rPr>
              <w:t>37,102</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55,059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55,059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2005</w:t>
            </w:r>
          </w:p>
        </w:tc>
        <w:tc>
          <w:tcPr>
            <w:tcW w:w="1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21,183,851</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93,000,958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(69,768,553)</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23,232,405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60" w:type="dxa"/>
            <w:vAlign w:val="bottom"/>
            <w:gridSpan w:val="9"/>
          </w:tcPr>
          <w:p>
            <w:pPr>
              <w:jc w:val="center"/>
              <w:ind w:left="2650"/>
              <w:spacing w:after="0"/>
              <w:rPr>
                <w:sz w:val="20"/>
                <w:szCs w:val="20"/>
                <w:color w:val="auto"/>
              </w:rPr>
            </w:pPr>
            <w:r>
              <w:rPr>
                <w:rFonts w:ascii="Arial" w:cs="Arial" w:eastAsia="Arial" w:hAnsi="Arial"/>
                <w:sz w:val="18"/>
                <w:szCs w:val="18"/>
                <w:color w:val="auto"/>
                <w:w w:val="88"/>
              </w:rPr>
              <w:t>See accompanying notes to the condensed consolidated financial statements .</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144,166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408,161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 content fees, feature enhancements and prepaid compensation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209,820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&amp; equipment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219,542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74,767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415,446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(321,324)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37,442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234,072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8"/>
                <w:szCs w:val="18"/>
                <w:color w:val="auto"/>
              </w:rPr>
              <w:t>Accrued liabilities and compensation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Registration 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549,269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1,354,223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(9,321,206)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9,275,000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investments in marketable securities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(5,046,120)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(411,254)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(635,584)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1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(1,457,460)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55,059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(17,961)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2,257,372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3,219,807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2,198,071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3,107,120</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incurred</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 of company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1,303,516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Effects of acquisition:</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fair value of tangible assets acquired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Purchase price in excess of net assets acquired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10,599,490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fair value of liabilities assumed</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(648,134)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Stock issued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(1,303,516)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w:t>
            </w:r>
          </w:p>
        </w:tc>
        <w:tc>
          <w:tcPr>
            <w:tcW w:w="1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9,351,150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Less cash acquired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(29,944)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paid for acquisition</w:t>
            </w:r>
          </w:p>
        </w:tc>
        <w:tc>
          <w:tcPr>
            <w:tcW w:w="10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9,321,206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2005 are not necessarily indicative of the results that may be expected for the year ending December 31, 2005.</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2004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2004 (included in the Company’s Annual Report on Form 10-K, filed with the Securities and Exchange Commission).</w:t>
      </w:r>
    </w:p>
    <w:p>
      <w:pPr>
        <w:spacing w:after="0" w:line="1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statement of cash flows for the three months ended March 31, 2004 has been revised to reflect the reclassification of investments in marketable securities for auction rate securities held by the Company on March 31, 2004. We previously classified investments in auction rate securities as cash equivalents due to the short-term nature of their relative auction dates. We modified the statement of cash flows for the three months ended March 31, 2004 to include gross sales of $2.8 million and $2.5 million of purchases related to our investments in marketable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December 2004, the Financial Accounting Standards Board (FASB) issued Statement of Financial Accounting Standards No. 123(R), “Share-Based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Payments.” Statement 123(R) supersedes Accounting Principles Board (APB) Opinion No. 25, “Accounting for Stock Issued to Employees,” and will require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companies to recognize compensation expense, using a fair-value based method, for costs related to share-based payments, including stock options.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2005, the Securities and Exchange Commission amended the effective date of the Statement to begin with the first interim or annual reporting period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fiscal year beginning on or after December 15, 2005. The Company intends to adopt Statement 123(R) in the first quarter of 2006, and to implement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 on a prospective basis. We are currently assessing the impact the Statement will have on our consolidated results of operations.</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December 2004, the FASB issued SFAS No.153, “Exchanges of Nonmonetary Assets,” which amends APB Opinion No. 29. The guidance in APB 29, “Accounting for Nonmonetary Transactions,” is based on the principle that exchanges of nonmonetary assets should be measured based on the fair value of the assets exchanged. The amendment made by Statement 153 eliminates the exception for exchanges of similar productive assets and replaces it with a broader exception for exchanges of nonmonetary assets that do not have commercial substance. The provisions of the statement are effective for exchanges taking place in fiscal periods beginning after June 15, 2005. We do not believe the adoption of this Statement will have any impact on our consolidated financial position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On March 28, 2005, the Company acquired all of the stock of Data Management &amp; Research, Inc. (DMR) for approximately $10.6 million, consisting of</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$9.1 million in cash and 479,234 shares of our common stock. A portion of the common stock, 319,489 shares, will be held in an escrow account for eighteen months, subject to any claims for indemnification pursuant to the stock purchase agreement. The Company also incurred direct, incremental expenses associated with the acquisition of approximately $0.2 million. DMR provides healthcare organizations a wide range of quality and satisfaction surveys, data analyses of survey results, and other research-based measurement tools. The allocation of purchase price is preliminary and may be subject to change as a result of changes in estimates related to the acquired business. The purchase price allocation is disclosed on the statement of cash flows. The Company is currently determining the composition and valuation of indefinite and finite lived intangible assets, therefore amounts recorded for goodwill and intangible assets at March 31, 2005 are subject to change.</w:t>
      </w:r>
    </w:p>
    <w:p>
      <w:pPr>
        <w:spacing w:after="0" w:line="15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recognition for survey related services is determined using the proportional performance method, which is similar to the percentage completion method for service contracts. We recognize survey revenues over the survey cycle period. The length of survey cycles may vary, but typically range from less than one month and up to four months.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DMR have been included in the Company’s statement of operations for the period March 29, 2005 to March 31, 2005.</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(continued)</w:t>
      </w:r>
    </w:p>
    <w:p>
      <w:pPr>
        <w:spacing w:after="0" w:line="18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unaudited results of operations give effect to the operations of DMR as if the acquisition had occurred as of January 1, 2005 and 2004. These unaudited results of operations include certain adjustments arising from the acquisition such as owner compensation and amortization expense. The pro forma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ind w:left="4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90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March 31, 2005</w:t>
            </w:r>
          </w:p>
        </w:tc>
        <w:tc>
          <w:tcPr>
            <w:tcW w:w="1240" w:type="dxa"/>
            <w:vAlign w:val="bottom"/>
            <w:gridSpan w:val="4"/>
          </w:tcPr>
          <w:p>
            <w:pPr>
              <w:ind w:left="220"/>
              <w:spacing w:after="0"/>
              <w:rPr>
                <w:sz w:val="20"/>
                <w:szCs w:val="20"/>
                <w:color w:val="auto"/>
              </w:rPr>
            </w:pPr>
            <w:r>
              <w:rPr>
                <w:rFonts w:ascii="Arial" w:cs="Arial" w:eastAsia="Arial" w:hAnsi="Arial"/>
                <w:sz w:val="14"/>
                <w:szCs w:val="14"/>
                <w:color w:val="auto"/>
              </w:rPr>
              <w:t>March 31, 2004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7,092,605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6,210,326</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our stock-based compensation plans under the intrinsic value-based method of accounting prescribed by Accounting Principles Board Opinion No. 25 “Accounting for Stock Issued to Employees” (APB 25) and related interpretations. APB 25 does not utilize the fair value method, as prescribed by SFAS No. 123, “Accounting for Stock-Based Compensation” (SFAS No. 123) . However, we have disclosed the fair value recognition requirements of SFAS No. 123 and the additional disclosure requirements as specified in SFAS No.148, “Accounting for Stock-Based Compensation-Transition and Disclosure,” which amended SFAS No. 123.</w:t>
      </w:r>
    </w:p>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the alternative method of accounting for stock incentive plans prescribed by SFAS No. 123 had been followed, our net income (loss) and net income (loss) per share would have been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7"/>
          </w:tcPr>
          <w:p>
            <w:pPr>
              <w:jc w:val="right"/>
              <w:ind w:righ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color w:val="auto"/>
              </w:rPr>
              <w:t>March 31, 2005</w:t>
            </w:r>
          </w:p>
        </w:tc>
        <w:tc>
          <w:tcPr>
            <w:tcW w:w="1200" w:type="dxa"/>
            <w:vAlign w:val="bottom"/>
            <w:gridSpan w:val="4"/>
          </w:tcPr>
          <w:p>
            <w:pPr>
              <w:ind w:left="180"/>
              <w:spacing w:after="0"/>
              <w:rPr>
                <w:sz w:val="20"/>
                <w:szCs w:val="20"/>
                <w:color w:val="auto"/>
              </w:rPr>
            </w:pPr>
            <w:r>
              <w:rPr>
                <w:rFonts w:ascii="Arial" w:cs="Arial" w:eastAsia="Arial" w:hAnsi="Arial"/>
                <w:sz w:val="14"/>
                <w:szCs w:val="14"/>
                <w:color w:val="auto"/>
              </w:rPr>
              <w:t>March 31, 2004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144,166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 (loss), net of related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Deduct: Total stock-based employee compensation expense determined under fair value based method for all awards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related tax effects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(85,700)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(115,950)</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 as reported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 pro forma</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 as reported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 – pro forma</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Basic net income (loss) per share is computed by dividing the net income (loss) available to common shareholders for the period by the weighted-average number of common shares outstanding during the period. Diluted net income (loss) per share is computed by dividing the net income (loss) for the period by the weighted average number of common and common equivalent shares outstanding during the period. Common equivalent shares, composed of incremental common shares issuable upon the exercise of stock options and warrants, and escrowed or restricted shares, are included in diluted net income (loss) per share only to the extent these shares are dilutive. The total number of common equivalent shares excluded from the calculations of diluted net loss per share, due to their anti-dilutive effect, was approximately 1,200,000 at March 31, 2005 and 3,400,000 at March 31, 2004.</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 (continued)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(loss) per share for three months ended March 31, 2005 and 2004:</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w w:val="96"/>
              </w:rPr>
              <w:t>March 31, 2005</w:t>
            </w:r>
          </w:p>
        </w:tc>
        <w:tc>
          <w:tcPr>
            <w:tcW w:w="4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March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144,166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(418,968)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20,685,786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20,446,544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Employee stock options and 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1,086,546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21,772,332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20,446,544</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8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We have two reportable segments, services provided to healthcare organizations and professionals (HCO) and services provided to pharmaceutical and medical device companies (PMD). On March 28, 2005, we acquired DMR, a company focused on offering healthcare organizations a wide range of quality and satisfaction surveys, data analyses of survey results, and other research-based measurement tools. Accordingly, DMR is included in our HCO business segment. The acquisition of DMR resulted in an increase of HCO segment assets of approximately $11.2 million at March 31, 2005, and an increase in revenues of approximately $27,000 and decrease in net income of approximately $15,000. The accounting policies of the segments are the same as those described in the summary of significant accounting policies in our Annual Report on Form 10-K for the year ended December 31, 2004. We believe the accounting policies related to DMR are consistent with our accounting policies. We manage and operate our business segments based on the markets they serve and the products and services provided to those markets.</w:t>
      </w:r>
    </w:p>
    <w:p>
      <w:pPr>
        <w:spacing w:after="0" w:line="1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is our business segment information as of and for the three months ended March 31, 2005 and 2004. We measure segment performance based on operating income (loss) before income taxes and prior to the allocation of corporate overhead expenses, interest income, interest expense, and depreciation.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7"/>
          </w:tcPr>
          <w:p>
            <w:pPr>
              <w:jc w:val="right"/>
              <w:ind w:righ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March 31, 2005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March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HCO</w:t>
            </w: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3,966,995</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3,216,744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1,715,407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5,682,402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4,907,772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HCO</w:t>
            </w: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1,585,218</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229,560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(1,768,831)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(1,681,591)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(loss) from operations</w:t>
            </w: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45,947</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(468,515)</w:t>
            </w:r>
          </w:p>
        </w:tc>
        <w:tc>
          <w:tcPr>
            <w:tcW w:w="0" w:type="dxa"/>
            <w:vAlign w:val="bottom"/>
          </w:tcPr>
          <w:p>
            <w:pPr>
              <w:spacing w:after="0"/>
              <w:rPr>
                <w:sz w:val="1"/>
                <w:szCs w:val="1"/>
                <w:color w:val="auto"/>
              </w:rPr>
            </w:pPr>
          </w:p>
        </w:tc>
      </w:tr>
      <w:tr>
        <w:trPr>
          <w:trHeight w:val="20"/>
        </w:trPr>
        <w:tc>
          <w:tcPr>
            <w:tcW w:w="8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60" w:type="dxa"/>
            <w:vAlign w:val="bottom"/>
            <w:gridSpan w:val="2"/>
          </w:tcPr>
          <w:p>
            <w:pPr>
              <w:spacing w:after="0"/>
              <w:rPr>
                <w:sz w:val="20"/>
                <w:szCs w:val="20"/>
                <w:color w:val="auto"/>
              </w:rPr>
            </w:pPr>
            <w:r>
              <w:rPr>
                <w:rFonts w:ascii="Arial" w:cs="Arial" w:eastAsia="Arial" w:hAnsi="Arial"/>
                <w:sz w:val="14"/>
                <w:szCs w:val="14"/>
                <w:color w:val="auto"/>
              </w:rPr>
              <w:t>Segment Assets</w:t>
            </w:r>
          </w:p>
        </w:tc>
        <w:tc>
          <w:tcPr>
            <w:tcW w:w="20" w:type="dxa"/>
            <w:vAlign w:val="bottom"/>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2"/>
              </w:rPr>
              <w:t>March 31, 2005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4"/>
              </w:rPr>
              <w:t>March 31, 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HCO *</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$ 17,693,967</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PMD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4,152,682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4,596,121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9,575,753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18,272,652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$ 31,422,403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$ 28,027,618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jc w:val="both"/>
        <w:ind w:left="460" w:right="30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certain prepaid and other current assets, other assets, certain property and equipment, and intangible assets. Cash and cash equivalents, investments in marketable securities and related interest receivable are not allocated to individual segments.</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account for goodwill under the provisions of SFAS No. 142, “Goodwill and Other Intangible Assets.” 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w:t>
      </w:r>
    </w:p>
    <w:p>
      <w:pPr>
        <w:spacing w:after="0" w:line="1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March 28, 2005, we acquired DMR. We are in the process of performing the purchase price allocation and related evaluation of indefinite and finite lived intangible assets, thus the amount of goodwill recorded at March 31, 2005 related to the acquisition of DMR is preliminary. There were no changes in the carrying amount of goodwill during the three months ended March 31, 2004.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HCO</w:t>
            </w:r>
          </w:p>
        </w:tc>
        <w:tc>
          <w:tcPr>
            <w:tcW w:w="2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PMD</w:t>
            </w:r>
          </w:p>
        </w:tc>
        <w:tc>
          <w:tcPr>
            <w:tcW w:w="4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$ 1,982,961</w:t>
            </w: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$ 1,323,727</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7,953,779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7,953,779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$ 9,936,740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$ 1,323,727</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$ 11,260,467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HCO</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PMD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$ 1,982,961</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$ 1,323,727</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2004</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$ 1,982,961</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$ 1,323,727</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$ 3,306,688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All identifiable intangible assets have been evaluated in accordance with SFAS No. 142 and are considered to have finite useful lives. We are in the process of performing the purchase price allocation and related evaluation of indefinite and finite lived intangible assets associated with the acquisition of DMR, thus the balances recorded at March 31, 2005 are preliminary. Intangible assets with finite lives are being amortized over their estimated useful lives, ranging from one to five years. Amortization of intangible assets was $87,869 and $94,346 for the three months ended March 31, 2005 and 2004,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As of March 31, 2005</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3"/>
              </w:rPr>
              <w:t>As of December 31, 2004</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2"/>
          </w:tcPr>
          <w:p>
            <w:pPr>
              <w:jc w:val="right"/>
              <w:ind w:right="300"/>
              <w:spacing w:after="0" w:line="123" w:lineRule="exact"/>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Gross Amount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Gross Amount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Content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$ 3,500,000</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(3,425,000)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$ 3,500,000</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(3,350,000)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$ 150,000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Customer lists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5,340,000</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(2,943,945)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2,396,055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2,940,000</w:t>
            </w: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(2,940,000)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672,142</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(414,846)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257,296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422,142</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(405,922)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16,220</w:t>
            </w: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$ 9,512,142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(6,783,791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2,728,351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$ 6,862,142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(6,695,922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$ 166,220</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periods and years ending December 31,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2005 through December 31, 2005</w:t>
            </w:r>
          </w:p>
        </w:tc>
        <w:tc>
          <w:tcPr>
            <w:tcW w:w="6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505,481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2006</w:t>
            </w: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563,333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563,333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2008</w:t>
            </w: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500,149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2009 and thereafter</w:t>
            </w: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596,055</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Total</w:t>
            </w:r>
          </w:p>
        </w:tc>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2,728,351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120" w:type="dxa"/>
            <w:vAlign w:val="bottom"/>
            <w:vMerge w:val="restart"/>
          </w:tcPr>
          <w:p>
            <w:pPr>
              <w:jc w:val="right"/>
              <w:ind w:right="46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6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Taxable income for the year is expected to be reduced by available net operating loss carryforwards. Therefore, no income tax provision has been recorded in the Company’s statement of operations for the three months ended March 31, 2005.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COMMERCIAL SUPPORT GRANT</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Commercial support liabilities represent grant funds received from entities supporting educational activities, such as live events, in which we are the accredited provider of the continuing educational activity. The funds are unrestricted, and are primarily used to pay for pass-through expenses associated with the educational activities. The grants will be used to pay for live event pass-through expenses during 2005.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In the opinion of management, the ultimate liability with respect to those proceedings and claims will not materially affect our financial position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29, 2005, we provided notice to the landlord of our Nashville office facility of our intent to exercise our first renewal option. Under the terms of our renewal option, we will continue to occupy our space at terms comparable with our historical rates through April 2010.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important factors, in addition to those discussed elsewhere in this Quarterly Report, could affect our future financial results and could cause actual results to differ materially from those expressed in forward-looking statements contained in this document:</w:t>
      </w:r>
    </w:p>
    <w:p>
      <w:pPr>
        <w:spacing w:after="0" w:line="170" w:lineRule="exact"/>
        <w:rPr>
          <w:sz w:val="20"/>
          <w:szCs w:val="20"/>
          <w:color w:val="auto"/>
        </w:rPr>
      </w:pPr>
    </w:p>
    <w:p>
      <w:pPr>
        <w:ind w:left="1020" w:right="38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implement our growth strategy, as well as manage growth of our operations and infrastructure, including effective identification and integration of acquisitions;</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variability and length of our sales cycle;</w:t>
      </w:r>
    </w:p>
    <w:p>
      <w:pPr>
        <w:spacing w:after="0" w:line="225" w:lineRule="exact"/>
        <w:rPr>
          <w:rFonts w:ascii="Arial" w:cs="Arial" w:eastAsia="Arial" w:hAnsi="Arial"/>
          <w:sz w:val="18"/>
          <w:szCs w:val="18"/>
          <w:color w:val="auto"/>
        </w:rPr>
      </w:pPr>
    </w:p>
    <w:p>
      <w:pPr>
        <w:ind w:left="1020" w:right="56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adequately address our customers’ needs in products and services;</w:t>
      </w:r>
    </w:p>
    <w:p>
      <w:pPr>
        <w:spacing w:after="0" w:line="225" w:lineRule="exact"/>
        <w:rPr>
          <w:rFonts w:ascii="Arial" w:cs="Arial" w:eastAsia="Arial" w:hAnsi="Arial"/>
          <w:sz w:val="18"/>
          <w:szCs w:val="18"/>
          <w:color w:val="auto"/>
        </w:rPr>
      </w:pPr>
    </w:p>
    <w:p>
      <w:pPr>
        <w:ind w:left="1020" w:right="26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pressure on healthcare organizations and pharmaceutical/medical device companies to reduce costs to customers could result in financial pressures on customers to cut back on our services;</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continue our competitive position against current and potential competitors;</w:t>
      </w:r>
    </w:p>
    <w:p>
      <w:pPr>
        <w:spacing w:after="0" w:line="225" w:lineRule="exact"/>
        <w:rPr>
          <w:rFonts w:ascii="Arial" w:cs="Arial" w:eastAsia="Arial" w:hAnsi="Arial"/>
          <w:sz w:val="18"/>
          <w:szCs w:val="18"/>
          <w:color w:val="auto"/>
        </w:rPr>
      </w:pPr>
    </w:p>
    <w:p>
      <w:pPr>
        <w:ind w:left="1020" w:right="22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enhancements to our existing products and services, achieve widespread acceptance of new features, or keep pace with technological developments;</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profitability on a consistent basis;</w:t>
      </w:r>
    </w:p>
    <w:p>
      <w:pPr>
        <w:spacing w:after="0" w:line="225" w:lineRule="exact"/>
        <w:rPr>
          <w:rFonts w:ascii="Arial" w:cs="Arial" w:eastAsia="Arial" w:hAnsi="Arial"/>
          <w:sz w:val="18"/>
          <w:szCs w:val="18"/>
          <w:color w:val="auto"/>
        </w:rPr>
      </w:pPr>
    </w:p>
    <w:p>
      <w:pPr>
        <w:ind w:left="1020" w:right="38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quarterly operating results caused by a variety of factors including the timing of sales, subscription revenue recognition and customer subscription renewals;</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adequately develop and maintain our network infrastructure, computer systems, software and related security;</w:t>
      </w:r>
    </w:p>
    <w:p>
      <w:pPr>
        <w:spacing w:after="0" w:line="225"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 factors detailed in our Annual Report on Form 10-K and other filings with the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Critical Accounting Policies and Estimates</w:t>
      </w:r>
    </w:p>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HealthStream was incorporated in 1990 and began marketing its Internet-based solutions in March 1999. The Company focuses on being a facilitator of training tools for entities in the healthcare industry. Revenues from the healthcare organizations business unit (HCO) are derived from the following categories: provision of services through our Internet-based learning products, courseware subscriptions, workforce development tools and services, maintenance and support of installed learning management products and a variety of other online products. On March 28, 2005, we acquired Data Management &amp; Research, Inc. (DMR), which provides healthcare organizations a wide range of quality and satisfaction surveys, analyses of survey results, and other research-based services.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Accordingly, DMR is included in our HCO business segment. Revenues from the pharmaceutical and medical device company business unit (PMD) are derived from live event development, content development, Web cast events, and other educational and training services, including HospitalDirect.</w:t>
      </w:r>
    </w:p>
    <w:p>
      <w:pPr>
        <w:spacing w:after="0" w:line="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(GAAP). These accounting principles require us to make certain estimates, judgments and assumptions during the preparation of our financial statements. We believe that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170" w:lineRule="exact"/>
        <w:rPr>
          <w:sz w:val="20"/>
          <w:szCs w:val="20"/>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development costs and related capitalization</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many cases, the accounting treatment of a particular transaction is specifically dictated by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2004 filed with the Securities and Exchange Commission, which contains additional information regarding our accounting policies and other disclosures required by GAAP. There have been no changes in our critical accounting policies and estimates from those reported in our Annual Report on Form 10-K for the year ended December 31, 2004.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0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March 28, 2005, the Company acquired all of the stock of Data Management &amp; Research, Inc. (DMR) for approximately $10.6 million, consisting of $9.1 million in cash and 479,234 shares of our common stock. At the closing a portion of the common stock, 319,489 shares, was deposited in an escrow account for eighteen months, subject to any claims for indemnification pursuant to the stock purchase agreement. DMR provides healthcare organizations a wide range of quality and satisfaction surveys, data analyses of survey results, and other research-based measurement tools.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9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our HCO business unit currently consist of the provision of services through our Internet-based HealthStream Learning Center</w:t>
      </w:r>
      <w:r>
        <w:rPr>
          <w:rFonts w:ascii="Arial" w:cs="Arial" w:eastAsia="Arial" w:hAnsi="Arial"/>
          <w:sz w:val="16"/>
          <w:szCs w:val="16"/>
          <w:i w:val="1"/>
          <w:iCs w:val="1"/>
          <w:color w:val="auto"/>
        </w:rPr>
        <w:t xml:space="preserve"> </w:t>
      </w:r>
      <w:r>
        <w:rPr>
          <w:rFonts w:ascii="Arial" w:cs="Arial" w:eastAsia="Arial" w:hAnsi="Arial"/>
          <w:sz w:val="16"/>
          <w:szCs w:val="16"/>
          <w:color w:val="auto"/>
        </w:rPr>
        <w:t>(HLC), authoring tools, maintenance and support services for our installed learning management products, maintenance of content, competency tools, courseware subscriptions (add-on courseware), as well as revenues from survey-related services. Revenues for our PMD business unit consist of live event development, online training and content development, online sales training courses, HospitalDirect, live educational activities for nurses and technicians conducted within healthcare organizations, and continuing education activities at association meetings.</w:t>
      </w:r>
    </w:p>
    <w:p>
      <w:pPr>
        <w:spacing w:after="0" w:line="11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consists primarily of salaries and employee benefits, employee travel and lodging, materials, contract labor, hosting costs,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direct expenses associated with revenues as well as royalties paid by us to content providers based on a percentage of revenues. Personnel costs within cost of revenues are associated with individuals that provide services, handle customer support calls or inquiries, manage our web sites and content delivery, coordinate content maintenance services, and provide training or implementation services.</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primarily of salaries and employee benefits, content acquisition costs before technological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feasibility is achieved, costs associated with the development of content and expenditures associated with maintaining, developing and operating our training delivery and administration platforms. In addition, product development expenses are associated with the development of feature enhancements and new products to the extent that such enhancements don’t expand the anticipated revenues associated with the base product or further extend the life of such product. In accordance with our policy, we capitalize the cost of features and content developed by third parties where the life expectancy is greater than one year and the anticipated cash flows from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content is expected to exceed its respective cost. Personnel costs within product development include our systems team, product managers, and other personnel associated with content and product development.</w:t>
      </w:r>
    </w:p>
    <w:p>
      <w:pPr>
        <w:spacing w:after="0" w:line="143"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consist primarily of salaries, commissions and employee benefits, employee travel and lodging,</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promotions, and related marketing costs. Annually, we host a national users’ group in Nashville known as The Summit. Personnel costs within sales and marketing include our sales and marketing team as well as our account management group. Our account management personnel are involved with the contract renewal process for existing hospital customers, as well as working to ensure our products and services are fully utilized by our customers.</w:t>
      </w:r>
    </w:p>
    <w:p>
      <w:pPr>
        <w:spacing w:after="0" w:line="11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content or license fees, software feature enhancements, and prepaid compensation.</w:t>
      </w:r>
    </w:p>
    <w:p>
      <w:pPr>
        <w:spacing w:after="0" w:line="13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employee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and lodging, facility costs, office expenses, fees for professional services, and other operational expenses. Personnel costs within general and administrative expenses include individuals associated with normal corporate functions (accounting, legal, human resources, administrative and executive management) as well as accreditation professionals.</w:t>
      </w:r>
    </w:p>
    <w:p>
      <w:pPr>
        <w:spacing w:after="0" w:line="16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primary component of other income is interest income related to interest earned on cash, cash equivalents and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securities. The primary component of other expense is interest expense related to capital leases and other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2005, revenues increased $775,000, or 15.8%, to $5.7 million for the three months ended March 31, 2005 from</w:t>
      </w:r>
    </w:p>
    <w:p>
      <w:pPr>
        <w:spacing w:after="0" w:line="4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$4.9 million for the three months ended March 31, 2004. Revenues from our flagship product, the HealthStream Learning Center</w:t>
      </w:r>
      <w:r>
        <w:rPr>
          <w:rFonts w:ascii="Arial" w:cs="Arial" w:eastAsia="Arial" w:hAnsi="Arial"/>
          <w:sz w:val="13"/>
          <w:szCs w:val="13"/>
          <w:color w:val="auto"/>
        </w:rPr>
        <w:t>TM</w:t>
      </w:r>
      <w:r>
        <w:rPr>
          <w:rFonts w:ascii="Arial" w:cs="Arial" w:eastAsia="Arial" w:hAnsi="Arial"/>
          <w:sz w:val="16"/>
          <w:szCs w:val="16"/>
          <w:color w:val="auto"/>
        </w:rPr>
        <w:t>, increased 29% over the prior year quarter, while revenues from live event activities in our PMD unit and maintenance fees associated with our HCO installed learning management products declined over the prior year quarter and partially offset this increase. Our fully implemented subscriber base was approximately 1,084,000 at March 31, 2005. Gross margins (which we define as revenues less cost of revenues divided by revenues) for the first quarter 2005 increased as compared to the first quarter 2004 primarily as a result of increased revenues from the HealthStream Learning Center</w:t>
      </w:r>
      <w:r>
        <w:rPr>
          <w:rFonts w:ascii="Arial" w:cs="Arial" w:eastAsia="Arial" w:hAnsi="Arial"/>
          <w:sz w:val="13"/>
          <w:szCs w:val="13"/>
          <w:color w:val="auto"/>
        </w:rPr>
        <w:t>TM</w:t>
      </w:r>
      <w:r>
        <w:rPr>
          <w:rFonts w:ascii="Arial" w:cs="Arial" w:eastAsia="Arial" w:hAnsi="Arial"/>
          <w:sz w:val="16"/>
          <w:szCs w:val="16"/>
          <w:color w:val="auto"/>
        </w:rPr>
        <w:t>, and were partially offset by increased royalties paid by us. We achieved net income results of $144,000 in the first quarter of 2005, compared to a net loss of $419,000 in the first quarter of 2004. This improvement is primarily related to the increase in revenues, and lower marketing expenses, in part associated with the timing of The Summit, which was split between the first and second quarters during 2004, and will occur during the second quarter of 2005. These favorable improvements were partially offset by increases in sales personnel and related commissions, as well as increased depreciation and amortization expense. Net income (loss) per share improved to earnings of $0.01 per share for the three months ended March 31, 2005 from a loss of $(0.02) per share for the three months ended March 31, 2004.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2005 Compared to Three Months Ended March 31, 2004</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approximately $775,000, or 15.8%, to $5.7 million for the three months ended March 31, 2005 from $4.9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2004. Revenues for 2005 consisted of $4.0 million for HCO and $1.7 million for PMD. In 2004, revenues consisted of $3.2 million for HCO and $1.7 million for PMD. The increase in HCO revenues related primarily to growth in revenues of $650,000 from our Internet-based HLC subscriber base, $160,000 from growth in add-on courseware revenues, and $100,000 from content maintenance services. Our subscriber base increased approximately 30%, to approximately 1,084,000 fully implemented subscribers at March 31, 2005 from approximately 831,000 fully implemented subscribers at March 31, 2004. These HCO revenue increases were partially offset by an anticipated decline in revenues from maintenance and support fees associated with our installed learning management products of approximately $180,000. This decline is consistent with our strategy to transition these customers to our Internet-based learning platform. Revenues from our Internet-based subscription products represented approximately 68% of revenues for the three months ended March 31, 2005 compared to 60% of revenues for the three months ended March 31, 2004. PMD revenues increased slightly over the prior year quarter. Live event revenues declined modestly, while revenues from our online training and content development services experienced an increase over the prior year quarter.</w:t>
      </w:r>
    </w:p>
    <w:p>
      <w:pPr>
        <w:spacing w:after="0" w:line="1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expect continued revenue growth during the second quarter for HCO, primarily associated with our Internet-based subscription products and survey revenues from the DMR acquisition. However, we expect revenues from our Internet-based subscription products to decline as a percentage of revenues as a result of the acquisition of DMR. As we continue to focus on transitioning the customers using our installed learning management products to our Internet-based learning platform, we expect revenues from our installed products to continue to decline during 2005. We expect second quarter revenues for PMD to decline slightly from the levels experienced in the first quarter,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the historical seasonality of this business. We anticipate continued increases in total revenues during the second quarter of 2005.</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approximately $146,000, or 7.7%, to $2.0 million for the three months ended March 31, 2005 from $1.9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2004. Cost of revenues as a percentage of revenues decreased to 35.8% of revenues for the three months ended March 31, 2005 from 38.5% of revenues for the three months ended March 31, 2004. The overall increase in cost of revenues resulted from increases in personnel expenses and royalties paid by us, and was partially offset by declines in contract labor and materials associated with declines in live event revenues.</w:t>
      </w:r>
    </w:p>
    <w:p>
      <w:pPr>
        <w:spacing w:after="0" w:line="1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Cost of revenues for HCO increased approximately $300,000 and approximated 23.7% and 20.3% of revenues for the three months ended March 31, 2005 and 2004, respectively. Cost of revenues for HCO increased due to increased personnel expense and contract labor associated with content maintenance, as well as an increase in the percentage royalties paid by us to content partners. Cost of revenues for PMD declined $150,000 as compared to the prior year period and approximated 54.9% and 64.5% of revenues for the three months ended March 31, 2005 and 2004, respectively. Cost of revenues for PMD decreased as a result of lower personnel expenses and lower direct costs associated with the declines in live event revenues. We expect quarter-to-quarter fluctuations in cost of revenues for PMD due to the seasonality in live event and association activities and the variability related to our content development services.</w:t>
      </w:r>
    </w:p>
    <w:p>
      <w:pPr>
        <w:spacing w:after="0" w:line="14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(which we define as revenues less cost of revenues divided by revenues) improved to approximately 64.2%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2005 from 61.5% for the three months ended March 31, 2004. The improvement is a result of the change in revenue mix and related cost of revenues discussed above. Gross margins for HCO were 76.3% and 79.7% for the three months ended March 31, 2005 and 2004, respectively. Gross margins for PMD were 45.1% and 35.5% for the three months ended March 31, 2005 and 2004, respectively.</w:t>
      </w:r>
    </w:p>
    <w:p>
      <w:pPr>
        <w:spacing w:after="0" w:line="14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were comparable between periods, and approximated $637,000 and $647,000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2005 and 2004, respectively. Product development expenses as a percentage of revenues decreased to 11.2% of revenues for the three months ended March 31, 2005 from 13.2% for the three months ended March 31, 2004. The decrease is a result of the increases in revenues.</w:t>
      </w:r>
    </w:p>
    <w:p>
      <w:pPr>
        <w:spacing w:after="0" w:line="10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Product development expenses for HCO decreased approximately $57,000 as compared to the prior year period and approximated 12.0% and 16.5% of revenues for the three months ended March 31, 2005 and 2004, respectively. The decrease for HCO is a result of lower personnel expenses. Product development expenses for PMD increased slightly as compared to the prior year period and approximated 5.9% and 4.9% of revenues for the three months ended March 31, 2005 and 2004, respectively. The unallocated corporate portion of our product development expenses was comparable between periods.</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were comparable between periods, approximating $1.2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2005 and 2004. Sales and marketing expenses approximated 20.9% and 23.6% of revenues for the three months ended March 31, 2005 and 2004, respectively. Sales and marketing expenses for HCO were comparable between periods and approximated 20.6% and 25.5% of revenues for the three months ended March 31, 2005 and 2004, respectively. HCO experienced increases in sales and account management personnel expenses and commissions. These increases were partially offset by lower marketing expenses associated with our annual e-Learning Summit. The Summit event was split between the first and second quarter’s of 2004, but will occur during the second quarter of 2005. Sales and marketing expenses for PMD increased slightly, and approximated 18.5% and 16.5% of revenues for the three months ended March 31, 2005 and 2004, respectively. The increase is associated with increased personnel expenses and commissions and was partially offset by lower marketing expenses.</w:t>
      </w:r>
    </w:p>
    <w:p>
      <w:pPr>
        <w:spacing w:after="0" w:line="13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$130,000, or 26.7%, to $618,000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2005 from $490,000 for the three months ended March 31, 2004. The increase is associated with depreciation of property and equipment and amortization of content and feature enhancements.</w:t>
      </w:r>
    </w:p>
    <w:p>
      <w:pPr>
        <w:spacing w:after="0" w:line="14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Other General and Administrative. </w:t>
      </w:r>
      <w:r>
        <w:rPr>
          <w:rFonts w:ascii="Arial" w:cs="Arial" w:eastAsia="Arial" w:hAnsi="Arial"/>
          <w:sz w:val="16"/>
          <w:szCs w:val="16"/>
          <w:color w:val="auto"/>
        </w:rPr>
        <w:t>Other general and administrative expenses were comparable between periods, approximating $1.2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2005 and 2004. Other general and administrative expenses as a percentage of revenues decreased to 20.3% for the three months ended March 31, 2005 from 24.3% for the three months ended March 31, 2004. The percentage decrease is a result of the increases in revenues.</w:t>
      </w:r>
    </w:p>
    <w:p>
      <w:pPr>
        <w:spacing w:after="0" w:line="10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color w:val="auto"/>
        </w:rPr>
        <w:t xml:space="preserve">Other Income/Expense. </w:t>
      </w:r>
      <w:r>
        <w:rPr>
          <w:rFonts w:ascii="Arial" w:cs="Arial" w:eastAsia="Arial" w:hAnsi="Arial"/>
          <w:sz w:val="16"/>
          <w:szCs w:val="16"/>
          <w:color w:val="auto"/>
        </w:rPr>
        <w:t>Other income/expense increased approximately $49,000, or 98.2%, to $98,000 for the three months ended March 31, 2005 from</w:t>
      </w:r>
      <w:r>
        <w:rPr>
          <w:rFonts w:ascii="Arial" w:cs="Arial" w:eastAsia="Arial" w:hAnsi="Arial"/>
          <w:sz w:val="16"/>
          <w:szCs w:val="16"/>
          <w:i w:val="1"/>
          <w:iCs w:val="1"/>
          <w:color w:val="auto"/>
        </w:rPr>
        <w:t xml:space="preserve"> </w:t>
      </w:r>
      <w:r>
        <w:rPr>
          <w:rFonts w:ascii="Arial" w:cs="Arial" w:eastAsia="Arial" w:hAnsi="Arial"/>
          <w:sz w:val="16"/>
          <w:szCs w:val="16"/>
          <w:color w:val="auto"/>
        </w:rPr>
        <w:t>$49,000 for the three months ended March 31, 2004. The increase resulted from interest income on investments in marketable securities.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was $144,000 for the three months ended March 31, 2005 compared to a net loss of $419,000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2004. This improvement is a result of the factors mentioned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inception, we have financed our operations largely through proceeds from our initial public offering, private placements of equity securities, loans from related parties and, to an increasing extent, from revenues generated from the sale of our products and services.</w:t>
      </w:r>
    </w:p>
    <w:p>
      <w:pPr>
        <w:spacing w:after="0" w:line="13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Net cash provided by operating activities was approximately $1.4 million during the three months ended March 31, 2005 compared to $158,000 used in operating activities during the three months ended March 31, 2004. The improvement over the prior year was primarily related to the improvement from a net loss in 2004 to net income in 2005, receipts from commercial support grants, an increase in accounts payable and a decline in accounts receivable (net of acquired balances from DMR). These cash increases were partially offset by the purchases of content and other prepaid assets. Days sales outstanding, or the number of days it takes to collect accounts receivable, increased compared to the prior year, approximating 61 days for the three months ended March 31, 2005 compared to 55 days for the three months ended March 31, 2004. The increase in days sales outstanding is primarily a result of the acquired balances from DMR and slower collections from our PMD customers. The Company calculates days sales outstanding by dividing the accounts receivable balance (excluding unbilled and other receivables) by average daily revenues for the period. During the three months ended March 31, 2004, the primary uses of cash in operating activities were to fund operations and the purchases of content and other prepaid assets.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approximately $1.5 million during the three months ended March 31, 2005 compared to approximately $63,000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provided by investing activities during the three months ended March 31, 2004. The primary uses of cash during the three months ended March 31, 2005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cash paid in connection with the acquisition of DMR of $9.3 million, $1.0 million in purchases of investments in marketable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$411,000 of property and equipment acquisitions. These uses of cash were offset by $9.3 million of proceeds from the sale and maturity of investments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Property and equipment acquisitions related to hardware and software to support the growth of our product infrastructure, primarily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Internet-based learning platform. During the three months ended March 31, 2004, we received proceeds of $5.7 million from the maturity of investments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marketable securities, offset by $5.0 million in purchases of investments in marketable securities and $636,000 in property and equipment acquisitions.</w:t>
      </w:r>
    </w:p>
    <w:p>
      <w:pPr>
        <w:spacing w:after="0" w:line="18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Cash provided by financing activities was approximately $44,000 for the three months ended March 31, 2005 while $18,000 was used in financing activities during the three months ended March 31, 2004. Cash provided by financing activities during 2005 consisted of proceeds from the exercise of stock options, which were partially offset by payments under capital lease obligations. Cash used in financing activities during the first quarter of 2004 consisted primarily of payments under capital lease obligations.</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March 31, 2005, our primary source of liquidity was $8.1 million of cash and cash equivalents, restricted cash, investments in marketable securities, and interest receivable. We have no bank credit facility or other indebtedness other than capital lease obligations. As of April 30, 2005, we had cash and cash equivalents, restricted cash, investments in marketable securities, and interest receivable of approximately $7.7 million.</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existing cash and cash equivalents, restricted cash, and related interest receivable will be sufficient to meet anticipated cash needs for working capital, new product development and capital expenditures for at least the next 12 months. Failure to generate sufficient cash flow from operations or raise additional capital when required during or following that period in sufficient amounts and on terms acceptable to us could harm our business, financial condition and results of operations. Our growth strategy may also include acquiring companies that complement our products and services. We anticipate that these acquisitions, if any, will be effected through a combination of stock and cash consideration. The issuance of stock would have a dilutive effect and could adversely affect our stock price.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content and capital expenditures will range between $2.5 and $3.0 million for the remainder of 2005.</w:t>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strategic alliances have typically provided for payments to content and distribution partners and development partners based on revenues, and we expect to continue similar arrangements in the future. We have capital lease obligations and operating lease commitments for our operating facilities in Nashville, TN, Franklin, TN, and Denver, CO, and a closed facility in Dallas, TX.</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future anticipated payments for commitments and other contractual obligations are outlined below:</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color w:val="auto"/>
              </w:rPr>
              <w:t>Payments due by period</w:t>
            </w:r>
          </w:p>
        </w:tc>
        <w:tc>
          <w:tcPr>
            <w:tcW w:w="1120" w:type="dxa"/>
            <w:vAlign w:val="bottom"/>
            <w:gridSpan w:val="3"/>
            <w:vMerge w:val="restart"/>
          </w:tcPr>
          <w:p>
            <w:pPr>
              <w:jc w:val="right"/>
              <w:ind w:right="480"/>
              <w:spacing w:after="0"/>
              <w:rPr>
                <w:sz w:val="20"/>
                <w:szCs w:val="20"/>
                <w:color w:val="auto"/>
              </w:rPr>
            </w:pPr>
            <w:r>
              <w:rPr>
                <w:rFonts w:ascii="Arial" w:cs="Arial" w:eastAsia="Arial" w:hAnsi="Arial"/>
                <w:sz w:val="14"/>
                <w:szCs w:val="14"/>
                <w:color w:val="auto"/>
                <w:w w:val="98"/>
              </w:rPr>
              <w:t>More than</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00" w:type="dxa"/>
            <w:vAlign w:val="bottom"/>
            <w:gridSpan w:val="4"/>
          </w:tcPr>
          <w:p>
            <w:pPr>
              <w:ind w:left="1740"/>
              <w:spacing w:after="0"/>
              <w:rPr>
                <w:sz w:val="20"/>
                <w:szCs w:val="20"/>
                <w:color w:val="auto"/>
              </w:rPr>
            </w:pPr>
            <w:r>
              <w:rPr>
                <w:rFonts w:ascii="Arial" w:cs="Arial" w:eastAsia="Arial" w:hAnsi="Arial"/>
                <w:sz w:val="14"/>
                <w:szCs w:val="14"/>
                <w:color w:val="auto"/>
              </w:rPr>
              <w:t>Less than 1 year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w w:val="95"/>
              </w:rPr>
              <w:t>1-3 years</w:t>
            </w:r>
          </w:p>
        </w:tc>
        <w:tc>
          <w:tcPr>
            <w:tcW w:w="1120" w:type="dxa"/>
            <w:vAlign w:val="bottom"/>
            <w:gridSpan w:val="3"/>
          </w:tcPr>
          <w:p>
            <w:pPr>
              <w:ind w:left="80"/>
              <w:spacing w:after="0"/>
              <w:rPr>
                <w:sz w:val="20"/>
                <w:szCs w:val="20"/>
                <w:color w:val="auto"/>
              </w:rPr>
            </w:pPr>
            <w:r>
              <w:rPr>
                <w:rFonts w:ascii="Arial" w:cs="Arial" w:eastAsia="Arial" w:hAnsi="Arial"/>
                <w:sz w:val="14"/>
                <w:szCs w:val="14"/>
                <w:color w:val="auto"/>
              </w:rPr>
              <w:t>3-5 years</w:t>
            </w:r>
          </w:p>
        </w:tc>
        <w:tc>
          <w:tcPr>
            <w:tcW w:w="1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color w:val="auto"/>
                <w:w w:val="91"/>
              </w:rPr>
              <w:t>5 years</w:t>
            </w:r>
          </w:p>
        </w:tc>
        <w:tc>
          <w:tcPr>
            <w:tcW w:w="10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9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leases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619,963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830,124</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758,559</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22,631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2,231,277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101,250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contractual obligations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987,940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1,069,062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758,559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22,631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2,838,192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Purchase commitments include minimum purchases for copy center services. Other contractual obligations consist of fixed commitments resulting from agreements with various business partners.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exposed to market risk from changes in interest rates. We do not have any commodity price risk. As of March 31, 2005, we had no outstanding indebtedness other than approximately $155,000 of capital lease obligations. Accordingly, we are not exposed to significant market risk. We are exposed to market risk with respect to the cash and cash equivalents and marketable securities in which we invest. At April 30, 2005, we had approximately $7.7 million of cash and cash equivalents, restricted cash, investments in marketable securities, and accrued interest that was invested in a combination of short term investments. Current investment rates of return approximate 2-3%. Assuming a 2.5% rate of return on $5.7 million of investments, a hypothetical 10% decrease in interest rates would decrease interest income and decrease net income on an annualized basis by approximately $14,000.</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manage our investment risk by investing in corporate debt securities, foreign corporate debt and secured corporate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We also require that all securities must mature within 24 months from the original settlement date, the average portfolio shall not exceed 18 months, and the greater of 10% or $5.0 million shall mature within 90 days. Further, our investment policy also limits concentration exposure and other potential risk areas.</w:t>
      </w:r>
    </w:p>
    <w:p>
      <w:pPr>
        <w:spacing w:after="0" w:line="13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effectively and timely provide them with material information relating to HealthStream required to be disclosed in the reports it files or submits under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01"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225"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225"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32.2 –</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Arthur E.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May 13, 2005</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HEALTHSTREAM, INC.</w:t>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19" w:right="1440" w:bottom="1440" w:gutter="0" w:footer="0" w:header="0"/>
        </w:sectPr>
      </w:pPr>
    </w:p>
    <w:bookmarkStart w:id="20" w:name="page21"/>
    <w:bookmarkEnd w:id="20"/>
    <w:p>
      <w:pPr>
        <w:ind w:left="3580"/>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A. Frist, Jr., certify that:</w:t>
      </w:r>
    </w:p>
    <w:p>
      <w:pPr>
        <w:spacing w:after="0" w:line="201"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9" w:lineRule="exact"/>
        <w:rPr>
          <w:sz w:val="20"/>
          <w:szCs w:val="20"/>
          <w:color w:val="auto"/>
        </w:rPr>
      </w:pPr>
    </w:p>
    <w:p>
      <w:pPr>
        <w:ind w:right="1879" w:firstLine="8"/>
        <w:spacing w:after="0" w:line="273"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87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right="1779" w:firstLine="8"/>
        <w:spacing w:after="0" w:line="273"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87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13, 2005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A. FRIST, JR.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A. Frist, Jr.</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5080" w:space="720"/>
            <w:col w:w="4419"/>
          </w:cols>
          <w:pgMar w:left="240" w:top="541" w:right="1440" w:bottom="1440" w:gutter="0" w:footer="0" w:header="0"/>
          <w:type w:val="continuous"/>
        </w:sectPr>
      </w:pPr>
    </w:p>
    <w:bookmarkStart w:id="21" w:name="page22"/>
    <w:bookmarkEnd w:id="21"/>
    <w:p>
      <w:pPr>
        <w:ind w:left="3580"/>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Arthur E. Newman, certify that:</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9" w:lineRule="exact"/>
        <w:rPr>
          <w:sz w:val="20"/>
          <w:szCs w:val="20"/>
          <w:color w:val="auto"/>
        </w:rPr>
      </w:pPr>
    </w:p>
    <w:p>
      <w:pPr>
        <w:ind w:right="1879" w:firstLine="8"/>
        <w:spacing w:after="0" w:line="273" w:lineRule="auto"/>
        <w:tabs>
          <w:tab w:leader="none" w:pos="31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879" w:firstLine="8"/>
        <w:spacing w:after="0" w:line="23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right="1779" w:firstLine="8"/>
        <w:spacing w:after="0" w:line="273" w:lineRule="auto"/>
        <w:tabs>
          <w:tab w:leader="none" w:pos="31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879" w:firstLine="8"/>
        <w:spacing w:after="0" w:line="237"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13,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E. Newman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3">
            <w:col w:w="540" w:space="200"/>
            <w:col w:w="4560" w:space="720"/>
            <w:col w:w="4199"/>
          </w:cols>
          <w:pgMar w:left="240" w:top="541" w:right="1440" w:bottom="1440" w:gutter="0" w:footer="0" w:header="0"/>
          <w:type w:val="continuous"/>
        </w:sectPr>
      </w:pPr>
    </w:p>
    <w:bookmarkStart w:id="22" w:name="page23"/>
    <w:bookmarkEnd w:id="22"/>
    <w:p>
      <w:pPr>
        <w:ind w:left="3580"/>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HealthStream, Inc. (the "Company") on Form 10-Q for the period ending March 31, 2005,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210" w:lineRule="exact"/>
        <w:rPr>
          <w:sz w:val="20"/>
          <w:szCs w:val="20"/>
          <w:color w:val="auto"/>
        </w:rPr>
      </w:pPr>
    </w:p>
    <w:p>
      <w:pPr>
        <w:ind w:left="1280" w:right="18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Frist, Jr. Chief Executive Officer May 13, 2005</w:t>
      </w:r>
    </w:p>
    <w:p>
      <w:pPr>
        <w:sectPr>
          <w:pgSz w:w="11900" w:h="16838" w:orient="portrait"/>
          <w:cols w:equalWidth="0" w:num="1">
            <w:col w:w="10219"/>
          </w:cols>
          <w:pgMar w:left="240" w:top="541" w:right="1440" w:bottom="1440" w:gutter="0" w:footer="0" w:header="0"/>
        </w:sectPr>
      </w:pPr>
    </w:p>
    <w:bookmarkStart w:id="23" w:name="page24"/>
    <w:bookmarkEnd w:id="23"/>
    <w:p>
      <w:pPr>
        <w:ind w:left="358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connection with the Quarterly Report of HealthStream, Inc. (the "Company") on Form 10-Q for the period ending March 31, 2005, as filed with the Securities and Exchange Commission on the date hereof (the "Report"), Arthur E. Newman, Chief Financial Officer of the Company certifies, pursuant to 18 U.S.C. Section 1350, as adopted pursuant to Section 906 of the Sarbanes-Oxley Act of 2002, that:</w:t>
      </w:r>
    </w:p>
    <w:p>
      <w:pPr>
        <w:spacing w:after="0" w:line="185" w:lineRule="exact"/>
        <w:rPr>
          <w:sz w:val="20"/>
          <w:szCs w:val="20"/>
          <w:color w:val="auto"/>
        </w:rPr>
      </w:pPr>
    </w:p>
    <w:p>
      <w:pPr>
        <w:ind w:left="1280" w:right="18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Arthur E. Newman</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 May 13, 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2019-12-15T00:38:42Z</dcterms:created>
  <dcterms:modified xsi:type="dcterms:W3CDTF">2019-12-15T00:38:42Z</dcterms:modified>
</cp:coreProperties>
</file>