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Quarterly Report pursuant to Section 13 or 15(d) of the Securities Exchange Act</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of 1934</w:t>
      </w: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Commission File No.: 000-27701</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52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20" w:type="dxa"/>
            <w:vAlign w:val="bottom"/>
            <w:gridSpan w:val="6"/>
          </w:tcPr>
          <w:p>
            <w:pPr>
              <w:jc w:val="center"/>
              <w:ind w:right="2100"/>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520" w:type="dxa"/>
            <w:vAlign w:val="bottom"/>
            <w:gridSpan w:val="6"/>
          </w:tcPr>
          <w:p>
            <w:pPr>
              <w:jc w:val="center"/>
              <w:ind w:right="208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2"/>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2680" w:type="dxa"/>
            <w:vAlign w:val="bottom"/>
            <w:gridSpan w:val="2"/>
          </w:tcPr>
          <w:p>
            <w:pPr>
              <w:spacing w:after="0"/>
              <w:rPr>
                <w:sz w:val="24"/>
                <w:szCs w:val="24"/>
                <w:color w:val="auto"/>
              </w:rPr>
            </w:pPr>
          </w:p>
        </w:tc>
        <w:tc>
          <w:tcPr>
            <w:tcW w:w="42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62-1443555</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500" w:type="dxa"/>
            <w:vAlign w:val="bottom"/>
            <w:gridSpan w:val="5"/>
          </w:tcPr>
          <w:p>
            <w:pPr>
              <w:jc w:val="center"/>
              <w:ind w:right="1467"/>
              <w:spacing w:after="0"/>
              <w:rPr>
                <w:sz w:val="20"/>
                <w:szCs w:val="20"/>
                <w:color w:val="auto"/>
              </w:rPr>
            </w:pPr>
            <w:r>
              <w:rPr>
                <w:rFonts w:ascii="Arial" w:cs="Arial" w:eastAsia="Arial" w:hAnsi="Arial"/>
                <w:sz w:val="18"/>
                <w:szCs w:val="18"/>
                <w:color w:val="auto"/>
                <w:w w:val="92"/>
              </w:rPr>
              <w:t>(State or other jurisdiction of</w:t>
            </w:r>
          </w:p>
        </w:tc>
        <w:tc>
          <w:tcPr>
            <w:tcW w:w="4240" w:type="dxa"/>
            <w:vAlign w:val="bottom"/>
            <w:gridSpan w:val="5"/>
          </w:tcPr>
          <w:p>
            <w:pPr>
              <w:jc w:val="center"/>
              <w:ind w:left="15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500" w:type="dxa"/>
            <w:vAlign w:val="bottom"/>
            <w:gridSpan w:val="5"/>
          </w:tcPr>
          <w:p>
            <w:pPr>
              <w:jc w:val="center"/>
              <w:ind w:right="1467"/>
              <w:spacing w:after="0"/>
              <w:rPr>
                <w:sz w:val="20"/>
                <w:szCs w:val="20"/>
                <w:color w:val="auto"/>
              </w:rPr>
            </w:pPr>
            <w:r>
              <w:rPr>
                <w:rFonts w:ascii="Arial" w:cs="Arial" w:eastAsia="Arial" w:hAnsi="Arial"/>
                <w:sz w:val="18"/>
                <w:szCs w:val="18"/>
                <w:color w:val="auto"/>
                <w:w w:val="92"/>
              </w:rPr>
              <w:t>incorporation or organization)</w:t>
            </w: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4"/>
        </w:trPr>
        <w:tc>
          <w:tcPr>
            <w:tcW w:w="4500" w:type="dxa"/>
            <w:vAlign w:val="bottom"/>
            <w:gridSpan w:val="5"/>
          </w:tcPr>
          <w:p>
            <w:pPr>
              <w:jc w:val="center"/>
              <w:ind w:right="1467"/>
              <w:spacing w:after="0"/>
              <w:rPr>
                <w:sz w:val="20"/>
                <w:szCs w:val="20"/>
                <w:color w:val="auto"/>
              </w:rPr>
            </w:pPr>
            <w:r>
              <w:rPr>
                <w:rFonts w:ascii="Arial" w:cs="Arial" w:eastAsia="Arial" w:hAnsi="Arial"/>
                <w:sz w:val="18"/>
                <w:szCs w:val="18"/>
                <w:b w:val="1"/>
                <w:bCs w:val="1"/>
                <w:color w:val="auto"/>
                <w:w w:val="89"/>
              </w:rPr>
              <w:t>209 10th Avenue South, Suite 450</w:t>
            </w: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156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85"/>
              </w:rPr>
              <w:t>Nashville, Tennessee</w:t>
            </w:r>
          </w:p>
        </w:tc>
        <w:tc>
          <w:tcPr>
            <w:tcW w:w="2280" w:type="dxa"/>
            <w:vAlign w:val="bottom"/>
          </w:tcPr>
          <w:p>
            <w:pPr>
              <w:spacing w:after="0"/>
              <w:rPr>
                <w:sz w:val="16"/>
                <w:szCs w:val="16"/>
                <w:color w:val="auto"/>
              </w:rPr>
            </w:pPr>
          </w:p>
        </w:tc>
        <w:tc>
          <w:tcPr>
            <w:tcW w:w="2700" w:type="dxa"/>
            <w:vAlign w:val="bottom"/>
            <w:gridSpan w:val="2"/>
          </w:tcPr>
          <w:p>
            <w:pPr>
              <w:spacing w:after="0"/>
              <w:rPr>
                <w:sz w:val="16"/>
                <w:szCs w:val="16"/>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87"/>
              </w:rPr>
              <w:t>37203</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4500" w:type="dxa"/>
            <w:vAlign w:val="bottom"/>
            <w:gridSpan w:val="5"/>
          </w:tcPr>
          <w:p>
            <w:pPr>
              <w:jc w:val="center"/>
              <w:ind w:right="1487"/>
              <w:spacing w:after="0"/>
              <w:rPr>
                <w:sz w:val="20"/>
                <w:szCs w:val="20"/>
                <w:color w:val="auto"/>
              </w:rPr>
            </w:pPr>
            <w:r>
              <w:rPr>
                <w:rFonts w:ascii="Arial" w:cs="Arial" w:eastAsia="Arial" w:hAnsi="Arial"/>
                <w:sz w:val="18"/>
                <w:szCs w:val="18"/>
                <w:color w:val="auto"/>
                <w:w w:val="92"/>
              </w:rPr>
              <w:t>(Address of principal executive offices)</w:t>
            </w:r>
          </w:p>
        </w:tc>
        <w:tc>
          <w:tcPr>
            <w:tcW w:w="250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(615) 301-3100</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240"/>
          </w:cols>
          <w:pgMar w:left="240" w:top="122" w:right="41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0"/>
          <w:szCs w:val="20"/>
          <w:color w:val="auto"/>
        </w:rPr>
      </w:pPr>
    </w:p>
    <w:p>
      <w:pPr>
        <w:sectPr>
          <w:pgSz w:w="11900" w:h="16838" w:orient="portrait"/>
          <w:cols w:equalWidth="0" w:num="2">
            <w:col w:w="7860" w:space="720"/>
            <w:col w:w="2660"/>
          </w:cols>
          <w:pgMar w:left="240" w:top="122" w:right="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39" w:lineRule="exact"/>
        <w:rPr>
          <w:sz w:val="20"/>
          <w:szCs w:val="20"/>
          <w:color w:val="auto"/>
        </w:rPr>
      </w:pPr>
    </w:p>
    <w:p>
      <w:pPr>
        <w:sectPr>
          <w:pgSz w:w="11900" w:h="16838" w:orient="portrait"/>
          <w:cols w:equalWidth="0" w:num="2">
            <w:col w:w="7860" w:space="720"/>
            <w:col w:w="2660"/>
          </w:cols>
          <w:pgMar w:left="240" w:top="122" w:right="419" w:bottom="1440" w:gutter="0" w:footer="0" w:header="0"/>
          <w:type w:val="continuous"/>
        </w:sectPr>
      </w:pPr>
    </w:p>
    <w:p>
      <w:pPr>
        <w:ind w:right="20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6, 2008, 21,528,728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2" w:right="4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1"/>
        </w:trPr>
        <w:tc>
          <w:tcPr>
            <w:tcW w:w="10640" w:type="dxa"/>
            <w:vAlign w:val="bottom"/>
            <w:gridSpan w:val="2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10640" w:type="dxa"/>
            <w:vAlign w:val="bottom"/>
            <w:gridSpan w:val="20"/>
            <w:vMerge w:val="continue"/>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 June 30, 2008 (Unaudited) and December 31, 2007</w:t>
              </w:r>
            </w:hyperlink>
          </w:p>
        </w:tc>
        <w:tc>
          <w:tcPr>
            <w:tcW w:w="3540" w:type="dxa"/>
            <w:vAlign w:val="bottom"/>
            <w:gridSpan w:val="5"/>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 Three Months ended June 30, 2008 and 2007</w:t>
              </w:r>
            </w:hyperlink>
          </w:p>
        </w:tc>
        <w:tc>
          <w:tcPr>
            <w:tcW w:w="2580" w:type="dxa"/>
            <w:vAlign w:val="bottom"/>
            <w:gridSpan w:val="3"/>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(Unaudited) — Six Months ended June 30, 2008 and 2007</w:t>
              </w:r>
            </w:hyperlink>
          </w:p>
        </w:tc>
        <w:tc>
          <w:tcPr>
            <w:tcW w:w="2760" w:type="dxa"/>
            <w:vAlign w:val="bottom"/>
            <w:gridSpan w:val="4"/>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 of Shareholders’ Equity (Unaudited) — Six Months ended June 30, 2008</w:t>
              </w:r>
            </w:hyperlink>
          </w:p>
        </w:tc>
        <w:tc>
          <w:tcPr>
            <w:tcW w:w="2560" w:type="dxa"/>
            <w:vAlign w:val="bottom"/>
            <w:gridSpan w:val="2"/>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(Unaudited) — Six Months ended June 30, 2008 and 2007</w:t>
              </w:r>
            </w:hyperlink>
          </w:p>
        </w:tc>
        <w:tc>
          <w:tcPr>
            <w:tcW w:w="24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620" w:type="dxa"/>
            <w:vAlign w:val="bottom"/>
            <w:gridSpan w:val="6"/>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064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4T. Controls and Procedures</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2420" w:type="dxa"/>
            <w:vAlign w:val="bottom"/>
            <w:tcBorders>
              <w:top w:val="single" w:sz="8" w:color="0000EE"/>
            </w:tcBorders>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 Other Information</w:t>
              </w:r>
            </w:hyperlink>
          </w:p>
        </w:tc>
        <w:tc>
          <w:tcPr>
            <w:tcW w:w="8220" w:type="dxa"/>
            <w:vAlign w:val="bottom"/>
            <w:gridSpan w:val="13"/>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2. Unregistered Sales of Equity Securities and Use of Proceeds</w:t>
              </w:r>
            </w:hyperlink>
          </w:p>
        </w:tc>
        <w:tc>
          <w:tcPr>
            <w:tcW w:w="5720" w:type="dxa"/>
            <w:vAlign w:val="bottom"/>
            <w:gridSpan w:val="8"/>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064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 Submission of Matters to a Vote of Security Holders</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4320" w:type="dxa"/>
            <w:vAlign w:val="bottom"/>
            <w:tcBorders>
              <w:top w:val="single" w:sz="8" w:color="0000EE"/>
            </w:tcBorders>
            <w:gridSpan w:val="1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 Exhibits</w:t>
              </w:r>
            </w:hyperlink>
          </w:p>
        </w:tc>
        <w:tc>
          <w:tcPr>
            <w:tcW w:w="6320" w:type="dxa"/>
            <w:vAlign w:val="bottom"/>
            <w:gridSpan w:val="9"/>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w:t>
              </w:r>
            </w:hyperlink>
          </w:p>
        </w:tc>
        <w:tc>
          <w:tcPr>
            <w:tcW w:w="9480" w:type="dxa"/>
            <w:vAlign w:val="bottom"/>
            <w:gridSpan w:val="16"/>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EX-31.1 Section 302 Certification of the CEO</w:t>
            </w:r>
          </w:p>
        </w:tc>
        <w:tc>
          <w:tcPr>
            <w:tcW w:w="732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EX-31.2 Section 302 Certification of the CFO</w:t>
            </w:r>
          </w:p>
        </w:tc>
        <w:tc>
          <w:tcPr>
            <w:tcW w:w="734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EX-32.1 Section 906 Certification of the CEO</w:t>
            </w:r>
          </w:p>
        </w:tc>
        <w:tc>
          <w:tcPr>
            <w:tcW w:w="732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9"/>
          </w:tcPr>
          <w:p>
            <w:pPr>
              <w:spacing w:after="0" w:line="196" w:lineRule="exact"/>
              <w:rPr>
                <w:sz w:val="20"/>
                <w:szCs w:val="20"/>
                <w:color w:val="auto"/>
              </w:rPr>
            </w:pPr>
            <w:r>
              <w:rPr>
                <w:rFonts w:ascii="Arial" w:cs="Arial" w:eastAsia="Arial" w:hAnsi="Arial"/>
                <w:sz w:val="18"/>
                <w:szCs w:val="18"/>
                <w:color w:val="0000EE"/>
              </w:rPr>
              <w:t>EX-32.2 Section 906 Certification of the CFO</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68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70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88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5,646,055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97,685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$74,627 and $72,895 at June 30, 2008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December 31, 2007,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6,887,912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8,668,093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1,508,387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360,312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688,447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1,494,786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16,694,967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15,678,408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12,158,981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11,812,721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1,763,167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1,567,627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15,489,775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15,211,122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(11,861,736)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(10,827,932)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3,808,039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4,383,190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Capitalized software feature enhancements, net of accumulated amortization of $2,004,335 and $1,453,720 at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2008 and December 31, 2007,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4,197,572</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21,146,864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 net of accumulated amortization of $9,175,883 and $8,682,555 at June 30, 2008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2007,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5,211,259</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1,629,550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221,739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52,909,990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53,361,457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651,074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3,045,836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743,415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Registration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94,165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533,638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10,240,721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9,492,970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715,344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16,077,707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16,584,312</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Long term debt, less current portion</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671,191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no par value, 75,000,000 shares authorized; 22,074,521 and 22,315,485 shares issued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outstanding at June 30, 2008 and December 31, 2007,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96,749,881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97,126,520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(60,607,777)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(61,412,902)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36,142,104</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35,713,618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52,909,990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016"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16"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13,012,995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12,046,568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4,862,638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4,359,246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1,330,530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1,100,228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2,694,108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2,820,633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518,498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690,374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2,192,591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2,160,257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12,288,739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11,638,611</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724,256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40,089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(16,904)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747,411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739,441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424,709</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21,961,252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21,970,364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22,578,825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22,781,562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24,434,695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20,147,907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9,390,411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7,274,260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2,614,963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2,178,879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5,251,096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4,555,060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1,040,022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1,414,925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1,221,654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3,955,072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3,768,541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23,666,489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19,830,886</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768,206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86,218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(41,299)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(20,862)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813,125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805,125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469,258</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22,024,098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21,953,075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22,652,960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22,692,328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02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2"/>
                <w:szCs w:val="12"/>
                <w:color w:val="auto"/>
              </w:rPr>
            </w:pPr>
          </w:p>
        </w:tc>
        <w:tc>
          <w:tcPr>
            <w:tcW w:w="9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22,315,485</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$97,126,520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(61,412,902)</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35,713,618</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805,125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805,125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426,112</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426,112</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53,108</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130,911</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(324,000)</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(999,978)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(999,978)</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29,928</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66,316</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66,316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22,074,521</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96,749,881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(60,607,777)</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36,142,104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500" w:type="dxa"/>
            <w:vAlign w:val="bottom"/>
            <w:gridSpan w:val="5"/>
          </w:tcPr>
          <w:p>
            <w:pPr>
              <w:jc w:val="center"/>
              <w:ind w:left="2810"/>
              <w:spacing w:after="0"/>
              <w:rPr>
                <w:sz w:val="20"/>
                <w:szCs w:val="20"/>
                <w:color w:val="auto"/>
              </w:rPr>
            </w:pPr>
            <w:r>
              <w:rPr>
                <w:rFonts w:ascii="Arial" w:cs="Arial" w:eastAsia="Arial" w:hAnsi="Arial"/>
                <w:sz w:val="18"/>
                <w:szCs w:val="18"/>
                <w:color w:val="auto"/>
                <w:w w:val="88"/>
              </w:rPr>
              <w:t>See accompanying notes to the condensed consolidated financial statements.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20" w:type="dxa"/>
            <w:vAlign w:val="bottom"/>
          </w:tcPr>
          <w:p>
            <w:pPr>
              <w:jc w:val="right"/>
              <w:ind w:right="574"/>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805,125</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469,258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1,040,022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1,414,925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Stock 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426,112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15,605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excluding effects of 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Accounts and unbilled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1,302,992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(84,181)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development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(67,698)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(517,903)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w w:val="91"/>
              </w:rPr>
              <w:t>(1,090,843)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(447,890)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Registration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86,922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Commercial support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268,588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747,751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4,063,959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2,901,277</w:t>
            </w:r>
          </w:p>
        </w:tc>
        <w:tc>
          <w:tcPr>
            <w:tcW w:w="0" w:type="dxa"/>
            <w:vAlign w:val="bottom"/>
          </w:tcPr>
          <w:p>
            <w:pPr>
              <w:spacing w:after="0"/>
              <w:rPr>
                <w:sz w:val="1"/>
                <w:szCs w:val="1"/>
                <w:color w:val="auto"/>
              </w:rPr>
            </w:pPr>
          </w:p>
        </w:tc>
      </w:tr>
      <w:tr>
        <w:trPr>
          <w:trHeight w:val="439"/>
        </w:trPr>
        <w:tc>
          <w:tcPr>
            <w:tcW w:w="8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Acquisition,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(11,953,378)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Proceeds from maturities and sales of investments in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in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(289,542)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(480,477)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(779,213)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(12,070,920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66,316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130,911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Payments on promissory note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(351,200)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(84,087)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(999,978)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Payments under revolving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1"/>
              </w:rPr>
              <w:t>(1,238,037)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0"/>
        </w:trPr>
        <w:tc>
          <w:tcPr>
            <w:tcW w:w="8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7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2,046,709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(9,176,655)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3,599,346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10,725,780</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5,646,055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six months ended June 30, 2008 are not necessarily indicative of the results that may be expected for the year ending December 31, 2008.</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balance sheet at December 31, 2007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2007 (included in the Company’s Annual Report on Form 10-K, filed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September 20, 2006, the Financial Accounting Standards Board (“FASB”) issued Statement of Financial Accounting Standards (“SFAS”) No. 157, “Fair Value Measurements” (“SFAS No. 157”). SFAS No. 157 defines fair value, establishes a framework for measuring fair value in accordance with accounting principles generally accepted in the United States, and expands disclosures about fair value measurements. On February 12, 2008, the FASB issued FASB Staff Position SFAS No. 157-2, “Effective Date of FASB Statement No. 157” (“FSP 157-2”). FSP 157-2 amended SFAS No. 157, to delay the effective date of SFAS No. 157 for all nonfinancial assets and nonfinancial liabilities, except those that are recognized or disclosed at fair value in the financial statements on a recurring basis (that is, at least annually). FSP 157-2 defers the effective date of SFAS No. 157 to fiscal years beginning after November 15, 2008, and interim periods within those fiscal years for items within the scope of FSP 157-2. The Company became subject to the remaining provisions of SFAS No. 157 on January 1, 2008. The adoption of SFAS No. 157 did not have any impact on our financial condition, results of operations, or cash flow.</w:t>
      </w:r>
    </w:p>
    <w:p>
      <w:pPr>
        <w:spacing w:after="0" w:line="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(“SFAS No. 159”). This new standard provides companies with an option to report selected financial assets and liabilities at fair value. Generally accepted accounting principles have required different measurement attributes for different assets and liabilities that can create artificial volatility in earnings. The FASB believes that SFAS No. 159 helps to mitigate this type of accounting-induced volatility by enabling companies to report related assets and liabilities at fair value, which would likely reduce the need for companies to comply with detailed rules for hedge accounting. SFAS No. 159 also establishes presentation and disclosure requirements designed to facilitate comparisons between companies that choose different measurement attributes for similar types of assets and liabilities. The new Statement does not eliminate disclosure requirements included in other accounting standards, including requirements for disclosures about fair value measurements included in SFAS No. 157 and SFAS No. 107, “Disclosures about Fair Value of Financial Instruments.” The Company adopted SFAS No. 159 on January 1, 2008. Because the Company did not elect the fair value option, the adoption of SFAS No. 159 did not have any impact on our financial condition, results of operations, or cash flow.</w:t>
      </w:r>
    </w:p>
    <w:p>
      <w:pPr>
        <w:spacing w:after="0" w:line="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2007, the FASB issued SFAS No. 141(R), “Business Combinations” (“SFAS No. 141(R)”). SFAS No. 141(R) establishes principles and requirements for how an acquirer recognizes and measures in its financial statements the identifiable assets acquired, the liabilities assumed, any noncontrolling interest in the acquiree and the goodwill acquired. SFAS No. 141(R) changes the accounting for acquisition-related restructuring cost accruals and the recognition of changes in the acquirer’s income tax valuation allowance, and no longer permits the capitalization of certain acquisition costs. In addition the Statement establishes disclosure requirements to enable the evaluation of the nature and financial effects of the business combination. This Statement is effective beginning January 1, 2009 for the Company. Management is currently evaluating the impact that adoption of this new standard will have on the Company’s financial position, results of operations, and cash flows.</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Statements—an amendment of Accounting Research Bulletin No. 51” (“SFAS No. 160”). SFAS No.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SFAS No. 160 also establishes disclosure requirements that clearly identify and distinguish between the interests of the parent and the interests of the noncontrolling owners. This statement is effective beginning January 1, 2009 for the Company. Management is currently evaluating the impact that adoption of this new standard will have on the Company’s financial position, results of operations, and cash flows.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Income taxes are accounted for under the provisions of SFAS No. 109, “Accounting for Income Taxes” (“SFAS No. 109”). Under SFAS No. 109,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Under the provisions of SFAS No. 109,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SFAS No. 109 identifies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Management’s estimate of future taxable income is performed during the fourth quarter in connection with the Company’s annual budget process. Management also reviews the realizability of deferred tax assets each period based on the above criteria and has established a valuation allowance for the portion of its net deferred tax assets that are not more likely than not expected to be realized.</w:t>
      </w:r>
    </w:p>
    <w:p>
      <w:pPr>
        <w:spacing w:after="0" w:line="6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effective tax rate for the three and six months ended June 30, 2008 and June 30, 2007 is substantially less than the statutory rate because a significant portion of our taxable income has been offset through utilization of our net operating loss carryforwards. The utilization of NOL carryforwards for the six months ended June 30, 2008 resulted in a reduction of the valuation allowance of approximately $453,000. The Company’s effective tax rate could change in the future based on our projections of taxable income, changes in federal or state tax rates, or changes in state apportionment factors, as well as changes in the valuation allowance applied to the Company’s deferred tax assets.</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accounts for income tax uncertainties under the provisions of FASB Interpretation No. 48, “Accounting for Uncertainty in Income Taxes — an interpretation of FASB Statement No. 109” (“FIN 48”). As of June 30, 2008 and December 31, 2007, the Company’s condensed consolidated balance sheets did not reflect a liability for uncertain tax positions, nor any accrued penalties or interest associated with income tax uncertainties. The Company is subject to income taxation at the federal and various state levels. The Company is subject to U.S. federal tax examinations for tax years through 2007, subject to the statute of limitations. The Company has no income tax examinations in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Company maintains two stock incentive plans and an Employee Stock Purchase Plan. We account for our stock based compensation plans under the provisions of SFAS No. 123(R), “Share-Based Payments,” which requires companies to recognize compensation expense, using a fair-value based method, for costs related to share-based payments, including stock options. We use the Black Scholes option pricing model for calculating the fair value of awards issued under our stock based compensation plans. During the six months ended June 30, 2008 we granted 498,000 stock options with a weighted average grant date fair value of $1.69. During the six months ended June, 2007, we granted 490,000 stock options with a weighted average grant date fair value of $2.46. The fair value of stock based awards granted during the six months ended June 30, 2008 and 2007 was estimated using the Black Scholes option pricing model, with the assumptions as follows:</w:t>
      </w:r>
    </w:p>
    <w:p>
      <w:pPr>
        <w:spacing w:after="0" w:line="173" w:lineRule="exact"/>
        <w:rPr>
          <w:sz w:val="20"/>
          <w:szCs w:val="20"/>
          <w:color w:val="auto"/>
        </w:rPr>
      </w:pPr>
    </w:p>
    <w:p>
      <w:pPr>
        <w:jc w:val="center"/>
        <w:ind w:left="8620"/>
        <w:spacing w:after="0"/>
        <w:rPr>
          <w:sz w:val="20"/>
          <w:szCs w:val="20"/>
          <w:color w:val="auto"/>
        </w:rPr>
      </w:pPr>
      <w:r>
        <w:rPr>
          <w:rFonts w:ascii="Arial" w:cs="Arial" w:eastAsia="Arial" w:hAnsi="Arial"/>
          <w:sz w:val="14"/>
          <w:szCs w:val="14"/>
          <w:color w:val="auto"/>
        </w:rPr>
        <w:t>Six Months Ended</w:t>
      </w:r>
    </w:p>
    <w:p>
      <w:pPr>
        <w:jc w:val="center"/>
        <w:ind w:left="862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37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2008</w:t>
            </w:r>
          </w:p>
        </w:tc>
        <w:tc>
          <w:tcPr>
            <w:tcW w:w="7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2"/>
                <w:szCs w:val="12"/>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2.63 - 3.56%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4.45 - 4.80%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940" w:type="dxa"/>
            <w:vAlign w:val="bottom"/>
            <w:gridSpan w:val="2"/>
          </w:tcPr>
          <w:p>
            <w:pPr>
              <w:jc w:val="center"/>
              <w:ind w:left="5070"/>
              <w:spacing w:after="0"/>
              <w:rPr>
                <w:sz w:val="20"/>
                <w:szCs w:val="20"/>
                <w:color w:val="auto"/>
              </w:rPr>
            </w:pPr>
            <w:r>
              <w:rPr>
                <w:rFonts w:ascii="Arial" w:cs="Arial" w:eastAsia="Arial" w:hAnsi="Arial"/>
                <w:sz w:val="18"/>
                <w:szCs w:val="18"/>
                <w:color w:val="auto"/>
                <w:w w:val="92"/>
              </w:rPr>
              <w:t>0.0%</w:t>
            </w:r>
          </w:p>
        </w:tc>
        <w:tc>
          <w:tcPr>
            <w:tcW w:w="700" w:type="dxa"/>
            <w:vAlign w:val="bottom"/>
          </w:tcPr>
          <w:p>
            <w:pPr>
              <w:spacing w:after="0"/>
              <w:rPr>
                <w:sz w:val="18"/>
                <w:szCs w:val="18"/>
                <w:color w:val="auto"/>
              </w:rPr>
            </w:pPr>
          </w:p>
        </w:tc>
        <w:tc>
          <w:tcPr>
            <w:tcW w:w="900" w:type="dxa"/>
            <w:vAlign w:val="bottom"/>
          </w:tcPr>
          <w:p>
            <w:pPr>
              <w:jc w:val="center"/>
              <w:ind w:left="33"/>
              <w:spacing w:after="0"/>
              <w:rPr>
                <w:sz w:val="20"/>
                <w:szCs w:val="20"/>
                <w:color w:val="auto"/>
              </w:rPr>
            </w:pPr>
            <w:r>
              <w:rPr>
                <w:rFonts w:ascii="Arial" w:cs="Arial" w:eastAsia="Arial" w:hAnsi="Arial"/>
                <w:sz w:val="18"/>
                <w:szCs w:val="18"/>
                <w:color w:val="auto"/>
                <w:w w:val="92"/>
              </w:rPr>
              <w:t>0.0%</w:t>
            </w: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940" w:type="dxa"/>
            <w:vAlign w:val="bottom"/>
            <w:gridSpan w:val="2"/>
            <w:shd w:val="clear" w:color="auto" w:fill="CCEEFF"/>
          </w:tcPr>
          <w:p>
            <w:pPr>
              <w:jc w:val="center"/>
              <w:ind w:left="5070"/>
              <w:spacing w:after="0"/>
              <w:rPr>
                <w:sz w:val="20"/>
                <w:szCs w:val="20"/>
                <w:color w:val="auto"/>
              </w:rPr>
            </w:pPr>
            <w:r>
              <w:rPr>
                <w:rFonts w:ascii="Arial" w:cs="Arial" w:eastAsia="Arial" w:hAnsi="Arial"/>
                <w:sz w:val="18"/>
                <w:szCs w:val="18"/>
                <w:color w:val="auto"/>
                <w:w w:val="94"/>
              </w:rPr>
              <w:t>5 - 8</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5 - 8</w:t>
            </w: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5940" w:type="dxa"/>
            <w:vAlign w:val="bottom"/>
            <w:gridSpan w:val="2"/>
          </w:tcPr>
          <w:p>
            <w:pPr>
              <w:jc w:val="center"/>
              <w:ind w:left="5090"/>
              <w:spacing w:after="0"/>
              <w:rPr>
                <w:sz w:val="20"/>
                <w:szCs w:val="20"/>
                <w:color w:val="auto"/>
              </w:rPr>
            </w:pPr>
            <w:r>
              <w:rPr>
                <w:rFonts w:ascii="Arial" w:cs="Arial" w:eastAsia="Arial" w:hAnsi="Arial"/>
                <w:sz w:val="18"/>
                <w:szCs w:val="18"/>
                <w:color w:val="auto"/>
                <w:w w:val="92"/>
              </w:rPr>
              <w:t>0-20%</w:t>
            </w:r>
          </w:p>
        </w:tc>
        <w:tc>
          <w:tcPr>
            <w:tcW w:w="700" w:type="dxa"/>
            <w:vAlign w:val="bottom"/>
          </w:tcPr>
          <w:p>
            <w:pPr>
              <w:spacing w:after="0"/>
              <w:rPr>
                <w:sz w:val="18"/>
                <w:szCs w:val="18"/>
                <w:color w:val="auto"/>
              </w:rPr>
            </w:pPr>
          </w:p>
        </w:tc>
        <w:tc>
          <w:tcPr>
            <w:tcW w:w="900" w:type="dxa"/>
            <w:vAlign w:val="bottom"/>
          </w:tcPr>
          <w:p>
            <w:pPr>
              <w:jc w:val="center"/>
              <w:ind w:left="13"/>
              <w:spacing w:after="0"/>
              <w:rPr>
                <w:sz w:val="20"/>
                <w:szCs w:val="20"/>
                <w:color w:val="auto"/>
              </w:rPr>
            </w:pPr>
            <w:r>
              <w:rPr>
                <w:rFonts w:ascii="Arial" w:cs="Arial" w:eastAsia="Arial" w:hAnsi="Arial"/>
                <w:sz w:val="18"/>
                <w:szCs w:val="18"/>
                <w:color w:val="auto"/>
                <w:w w:val="92"/>
              </w:rPr>
              <w:t>0-30%</w:t>
            </w: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940" w:type="dxa"/>
            <w:vAlign w:val="bottom"/>
            <w:gridSpan w:val="2"/>
            <w:shd w:val="clear" w:color="auto" w:fill="CCEEFF"/>
          </w:tcPr>
          <w:p>
            <w:pPr>
              <w:jc w:val="center"/>
              <w:ind w:left="5070"/>
              <w:spacing w:after="0"/>
              <w:rPr>
                <w:sz w:val="20"/>
                <w:szCs w:val="20"/>
                <w:color w:val="auto"/>
              </w:rPr>
            </w:pPr>
            <w:r>
              <w:rPr>
                <w:rFonts w:ascii="Arial" w:cs="Arial" w:eastAsia="Arial" w:hAnsi="Arial"/>
                <w:sz w:val="18"/>
                <w:szCs w:val="18"/>
                <w:color w:val="auto"/>
                <w:w w:val="94"/>
              </w:rPr>
              <w:t>65%</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75%</w:t>
            </w:r>
          </w:p>
        </w:tc>
        <w:tc>
          <w:tcPr>
            <w:tcW w:w="160" w:type="dxa"/>
            <w:vAlign w:val="bottom"/>
            <w:shd w:val="clear" w:color="auto" w:fill="CCEEFF"/>
          </w:tcPr>
          <w:p>
            <w:pPr>
              <w:spacing w:after="0"/>
              <w:rPr>
                <w:sz w:val="18"/>
                <w:szCs w:val="18"/>
                <w:color w:val="auto"/>
              </w:rPr>
            </w:pPr>
          </w:p>
        </w:tc>
      </w:tr>
      <w:tr>
        <w:trPr>
          <w:trHeight w:val="405"/>
        </w:trPr>
        <w:tc>
          <w:tcPr>
            <w:tcW w:w="3720" w:type="dxa"/>
            <w:vAlign w:val="bottom"/>
          </w:tcPr>
          <w:p>
            <w:pPr>
              <w:spacing w:after="0"/>
              <w:rPr>
                <w:sz w:val="24"/>
                <w:szCs w:val="24"/>
                <w:color w:val="auto"/>
              </w:rPr>
            </w:pPr>
          </w:p>
        </w:tc>
        <w:tc>
          <w:tcPr>
            <w:tcW w:w="5060" w:type="dxa"/>
            <w:vAlign w:val="bottom"/>
          </w:tcPr>
          <w:p>
            <w:pPr>
              <w:jc w:val="right"/>
              <w:ind w:right="2930"/>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 (continued)</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stock based compensation expense recorded for the three and six months ended June 30, 2008 and 2007, which is recorded in our statements of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ind w:left="3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400"/>
              <w:spacing w:after="0"/>
              <w:rPr>
                <w:sz w:val="20"/>
                <w:szCs w:val="20"/>
                <w:color w:val="auto"/>
              </w:rPr>
            </w:pPr>
            <w:r>
              <w:rPr>
                <w:rFonts w:ascii="Arial" w:cs="Arial" w:eastAsia="Arial" w:hAnsi="Arial"/>
                <w:sz w:val="14"/>
                <w:szCs w:val="14"/>
                <w:color w:val="auto"/>
              </w:rPr>
              <w:t>Six Months Ended</w:t>
            </w:r>
          </w:p>
        </w:tc>
      </w:tr>
      <w:tr>
        <w:trPr>
          <w:trHeight w:val="167"/>
        </w:trPr>
        <w:tc>
          <w:tcPr>
            <w:tcW w:w="5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96"/>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96"/>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2008</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12,750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23,549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27,552</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Product development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40,072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51,948</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73,319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90,800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52,536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105,824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88,668</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164,745</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219,401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223,420</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280,546</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273,177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340,949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426,112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487,566</w:t>
            </w:r>
          </w:p>
        </w:tc>
      </w:tr>
      <w:tr>
        <w:trPr>
          <w:trHeight w:val="20"/>
        </w:trPr>
        <w:tc>
          <w:tcPr>
            <w:tcW w:w="5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March 12, 2007, the Company acquired all of the stock of The Jackson Organization, Research Consultants, Inc. (“TJO”). TJO provides healthcare organizations a wide range of quality and satisfaction surveys, data analyses of survey results, and other research-based measurement tools. Consideration paid to the sellers of TJO included approximately $11.5 million in cash and 252,616 shares of our common stock. The Company also incurred direct, incremental expenses associated with the acquisition of approximately $689,000. All of the shares of common stock issued in the acquisition are being held in an escrow account for eighteen months from the acquisition date, subject to any claims for indemnification pursuant to the stock purchase agreement. Of the cash consideration portion, approximately $750,000 is being held in escrow pending satisfaction of certain items pursuant to the stock purchase agreement. There have been no claims against the stock escrow and cash escrow accounts as of June 30, 2008. The results of operations for TJO have been included in the Company’s statement of operations beginning March 12, 2007.</w:t>
      </w:r>
    </w:p>
    <w:p>
      <w:pPr>
        <w:spacing w:after="0" w:line="7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following unaudited combined results of operations give effect to the operations of TJO as if the acquisition had occurred as of January 1, 2007. These unaudited combined results of operations include certain adjustments arising from the acquisition such as adjustment for TJO shareholder compensation, amortization of intangible assets, elimination of acquisition costs incurred by TJO, and the elimination of interest income associated with cash paid for TJO by the Company. The pro forma combined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040" w:type="dxa"/>
            <w:vAlign w:val="bottom"/>
            <w:gridSpan w:val="4"/>
          </w:tcPr>
          <w:p>
            <w:pPr>
              <w:ind w:left="2900"/>
              <w:spacing w:after="0"/>
              <w:rPr>
                <w:sz w:val="20"/>
                <w:szCs w:val="20"/>
                <w:color w:val="auto"/>
              </w:rPr>
            </w:pPr>
            <w:r>
              <w:rPr>
                <w:rFonts w:ascii="Arial" w:cs="Arial" w:eastAsia="Arial" w:hAnsi="Arial"/>
                <w:sz w:val="14"/>
                <w:szCs w:val="14"/>
                <w:color w:val="auto"/>
                <w:w w:val="98"/>
              </w:rPr>
              <w:t>Six Months Ended</w:t>
            </w:r>
          </w:p>
        </w:tc>
        <w:tc>
          <w:tcPr>
            <w:tcW w:w="0" w:type="dxa"/>
            <w:vAlign w:val="bottom"/>
          </w:tcPr>
          <w:p>
            <w:pPr>
              <w:spacing w:after="0"/>
              <w:rPr>
                <w:sz w:val="1"/>
                <w:szCs w:val="1"/>
                <w:color w:val="auto"/>
              </w:rPr>
            </w:pPr>
          </w:p>
        </w:tc>
      </w:tr>
      <w:tr>
        <w:trPr>
          <w:trHeight w:val="167"/>
        </w:trPr>
        <w:tc>
          <w:tcPr>
            <w:tcW w:w="45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0"/>
              </w:rPr>
              <w:t>June 30, 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22,698,046</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Basic</w:t>
            </w:r>
          </w:p>
        </w:tc>
        <w:tc>
          <w:tcPr>
            <w:tcW w:w="3020" w:type="dxa"/>
            <w:vAlign w:val="bottom"/>
            <w:gridSpan w:val="2"/>
          </w:tcPr>
          <w:p>
            <w:pPr>
              <w:ind w:left="29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SHARE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2.0 million and 1.8 million for the three and six months ended June 30, 2008, respectively, and approximately 2.2 million and 1.9 million for the three and six months ended June 30, 2007,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SHARE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share for three and six months ended June 30, 2008 and 2007: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6"/>
          </w:tcPr>
          <w:p>
            <w:pPr>
              <w:ind w:left="5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w w:val="93"/>
              </w:rPr>
              <w:t>June 30,</w:t>
            </w:r>
          </w:p>
        </w:tc>
        <w:tc>
          <w:tcPr>
            <w:tcW w:w="8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color w:val="auto"/>
                <w:w w:val="93"/>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2007</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739,441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424,709</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805,125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469,258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21,961,252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21,970,364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22,024,098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21,953,075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Employee stock options and escrowed shares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617,573</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811,198</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628,862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739,253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22,578,825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22,781,562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22,652,960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22,692,328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provide our services to healthcare organizations, pharmaceutical and medical device companies, and other members within the healthcare industry. Our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our Annual Report on Form 10-K for the year ended December 31, 2007.</w:t>
      </w:r>
    </w:p>
    <w:p>
      <w:pPr>
        <w:spacing w:after="0" w:line="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measure segment performance based on operating income (loss) before income taxes and prior to the allocation of certain corporate overhead expenses, interest income, interest expense, and depreciation. We have revised our measure of segment performance and are now allocating building and utility expenses to Learning, which had previously been included in Unallocated. We have also restated historical periods for both Learning and Unallocated to reflect the allocation of these corporate overhead expenses. The following is our business segment information as of and for the three and six months ended June 30, 2008 and 2007.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00" w:type="dxa"/>
            <w:vAlign w:val="bottom"/>
            <w:gridSpan w:val="7"/>
          </w:tcPr>
          <w:p>
            <w:pPr>
              <w:jc w:val="center"/>
              <w:ind w:right="78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w w:val="85"/>
              </w:rPr>
              <w:t>June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color w:val="auto"/>
                <w:w w:val="89"/>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2008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8,172,642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6,497,960</w:t>
            </w:r>
          </w:p>
        </w:tc>
        <w:tc>
          <w:tcPr>
            <w:tcW w:w="220" w:type="dxa"/>
            <w:vAlign w:val="bottom"/>
          </w:tcPr>
          <w:p>
            <w:pPr>
              <w:spacing w:after="0"/>
              <w:rPr>
                <w:sz w:val="18"/>
                <w:szCs w:val="18"/>
                <w:color w:val="auto"/>
              </w:rPr>
            </w:pPr>
          </w:p>
        </w:tc>
        <w:tc>
          <w:tcPr>
            <w:tcW w:w="1380" w:type="dxa"/>
            <w:vAlign w:val="bottom"/>
            <w:gridSpan w:val="6"/>
          </w:tcPr>
          <w:p>
            <w:pPr>
              <w:jc w:val="right"/>
              <w:ind w:right="60"/>
              <w:spacing w:after="0"/>
              <w:rPr>
                <w:sz w:val="20"/>
                <w:szCs w:val="20"/>
                <w:color w:val="auto"/>
              </w:rPr>
            </w:pPr>
            <w:r>
              <w:rPr>
                <w:rFonts w:ascii="Arial" w:cs="Arial" w:eastAsia="Arial" w:hAnsi="Arial"/>
                <w:sz w:val="18"/>
                <w:szCs w:val="18"/>
                <w:color w:val="auto"/>
              </w:rPr>
              <w:t>$15,669,348</w:t>
            </w:r>
          </w:p>
        </w:tc>
        <w:tc>
          <w:tcPr>
            <w:tcW w:w="1580" w:type="dxa"/>
            <w:vAlign w:val="bottom"/>
            <w:gridSpan w:val="5"/>
          </w:tcPr>
          <w:p>
            <w:pPr>
              <w:jc w:val="right"/>
              <w:ind w:right="100"/>
              <w:spacing w:after="0"/>
              <w:rPr>
                <w:sz w:val="20"/>
                <w:szCs w:val="20"/>
                <w:color w:val="auto"/>
              </w:rPr>
            </w:pPr>
            <w:r>
              <w:rPr>
                <w:rFonts w:ascii="Arial" w:cs="Arial" w:eastAsia="Arial" w:hAnsi="Arial"/>
                <w:sz w:val="18"/>
                <w:szCs w:val="18"/>
                <w:color w:val="auto"/>
              </w:rPr>
              <w:t>$12,976,519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4,480,353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5,548,608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8,765,347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7,171,388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13,012,995</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12,046,568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24,434,695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20,147,907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1,665,897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560,484</w:t>
            </w:r>
          </w:p>
        </w:tc>
        <w:tc>
          <w:tcPr>
            <w:tcW w:w="2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3,325,529</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1,968,507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972,534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1,564,405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1,001,478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1,521,423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(1,914,175)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(1,716,932)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3"/>
              </w:rPr>
              <w:t>(3,558,801)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(3,172,909)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724,256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407,957</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768,206</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color w:val="auto"/>
                <w:w w:val="94"/>
              </w:rPr>
              <w:t>June 30, 2008</w:t>
            </w:r>
          </w:p>
        </w:tc>
        <w:tc>
          <w:tcPr>
            <w:tcW w:w="3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5"/>
          </w:tcPr>
          <w:p>
            <w:pPr>
              <w:jc w:val="right"/>
              <w:ind w:right="188"/>
              <w:spacing w:after="0"/>
              <w:rPr>
                <w:sz w:val="20"/>
                <w:szCs w:val="20"/>
                <w:color w:val="auto"/>
              </w:rPr>
            </w:pPr>
            <w:r>
              <w:rPr>
                <w:rFonts w:ascii="Arial" w:cs="Arial" w:eastAsia="Arial" w:hAnsi="Arial"/>
                <w:sz w:val="18"/>
                <w:szCs w:val="18"/>
                <w:color w:val="auto"/>
              </w:rPr>
              <w:t>$15,241,897</w:t>
            </w:r>
          </w:p>
        </w:tc>
        <w:tc>
          <w:tcPr>
            <w:tcW w:w="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17,270,540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88"/>
              <w:spacing w:after="0"/>
              <w:rPr>
                <w:sz w:val="20"/>
                <w:szCs w:val="20"/>
                <w:color w:val="auto"/>
              </w:rPr>
            </w:pPr>
            <w:r>
              <w:rPr>
                <w:rFonts w:ascii="Arial" w:cs="Arial" w:eastAsia="Arial" w:hAnsi="Arial"/>
                <w:sz w:val="18"/>
                <w:szCs w:val="18"/>
                <w:color w:val="auto"/>
              </w:rPr>
              <w:t>26,053,572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26,284,097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188"/>
              <w:spacing w:after="0"/>
              <w:rPr>
                <w:sz w:val="20"/>
                <w:szCs w:val="20"/>
                <w:color w:val="auto"/>
              </w:rPr>
            </w:pPr>
            <w:r>
              <w:rPr>
                <w:rFonts w:ascii="Arial" w:cs="Arial" w:eastAsia="Arial" w:hAnsi="Arial"/>
                <w:sz w:val="18"/>
                <w:szCs w:val="18"/>
                <w:color w:val="auto"/>
                <w:w w:val="97"/>
              </w:rPr>
              <w:t>11,614,521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9,806,820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8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52,909,990</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8"/>
        <w:spacing w:after="0" w:line="286" w:lineRule="auto"/>
        <w:tabs>
          <w:tab w:leader="none" w:pos="135"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goodwill, intangible assets, capitalized software feature enhancements, restricted cash, prepaid and other current assets, other assets, and certain property and equipment. Cash and cash equivalents are not allocated to individual segments, and are included within Unallocated. A significant portion of property and equipment assets are included within Unallocated.</w:t>
      </w:r>
    </w:p>
    <w:p>
      <w:pPr>
        <w:sectPr>
          <w:pgSz w:w="11900" w:h="16838" w:orient="portrait"/>
          <w:cols w:equalWidth="0" w:num="1">
            <w:col w:w="11420"/>
          </w:cols>
          <w:pgMar w:left="240" w:top="41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account for goodwill under the provisions of SFAS No. 142, “Goodwill and Other Intangible Assets” (“SFAS No. 142”). We test goodwill for impairment using a discounted cash flow model. We perform our annual impairment evaluation of goodwill during the fourth quarter of each year and as changes in facts and circumstances indicate impairment exists.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impairment charges, which could adversely impact our operating results for the period in which such a determination is made.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Learning</w:t>
            </w:r>
          </w:p>
        </w:tc>
        <w:tc>
          <w:tcPr>
            <w:tcW w:w="640" w:type="dxa"/>
            <w:vAlign w:val="bottom"/>
          </w:tcPr>
          <w:p>
            <w:pPr>
              <w:spacing w:after="0"/>
              <w:rPr>
                <w:sz w:val="15"/>
                <w:szCs w:val="15"/>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Research</w:t>
            </w:r>
          </w:p>
        </w:tc>
        <w:tc>
          <w:tcPr>
            <w:tcW w:w="660" w:type="dxa"/>
            <w:vAlign w:val="bottom"/>
          </w:tcPr>
          <w:p>
            <w:pPr>
              <w:spacing w:after="0"/>
              <w:rPr>
                <w:sz w:val="15"/>
                <w:szCs w:val="15"/>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$ 3,306,688</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$17,840,176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$21,146,864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$ 3,306,688</w:t>
            </w:r>
          </w:p>
        </w:tc>
        <w:tc>
          <w:tcPr>
            <w:tcW w:w="6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17,840,176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21,146,864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identifiable intangible assets have been evaluated in accordance with SFAS No. 142 and are considered to have finite useful lives. Intangible assets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finite lives are being amortized over their estimated useful lives, ranging from one to eight years. Amortization of intangible assets was $236,719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$330,208 for the three months ended June 30, 2008 and 2007, respectively, and $493,328 and $498,789 for the six months ended June 30, 2008 and 2007,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As of June 30, 2008</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w w:val="99"/>
              </w:rPr>
              <w:t>As of December 31, 2007</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6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rPr>
              <w:t>Accumulated</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560"/>
              <w:spacing w:after="0" w:line="123" w:lineRule="exact"/>
              <w:rPr>
                <w:sz w:val="20"/>
                <w:szCs w:val="20"/>
                <w:color w:val="auto"/>
              </w:rPr>
            </w:pPr>
            <w:r>
              <w:rPr>
                <w:rFonts w:ascii="Arial" w:cs="Arial" w:eastAsia="Arial" w:hAnsi="Arial"/>
                <w:sz w:val="14"/>
                <w:szCs w:val="14"/>
                <w:color w:val="auto"/>
              </w:rPr>
              <w:t>Accumulated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Gross Amount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560" w:type="dxa"/>
            <w:vAlign w:val="bottom"/>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Net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Gross 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9,915,000</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(4,906,162)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$ 5,008,838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9,915,000</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(4,470,224)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$ 5,444,776</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Content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3,500,000</w:t>
            </w:r>
          </w:p>
        </w:tc>
        <w:tc>
          <w:tcPr>
            <w:tcW w:w="20" w:type="dxa"/>
            <w:vAlign w:val="bottom"/>
          </w:tcPr>
          <w:p>
            <w:pPr>
              <w:spacing w:after="0"/>
              <w:rPr>
                <w:sz w:val="18"/>
                <w:szCs w:val="18"/>
                <w:color w:val="auto"/>
              </w:rPr>
            </w:pP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(3,500,000)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3,500,000</w:t>
            </w:r>
          </w:p>
        </w:tc>
        <w:tc>
          <w:tcPr>
            <w:tcW w:w="1940" w:type="dxa"/>
            <w:vAlign w:val="bottom"/>
            <w:gridSpan w:val="3"/>
          </w:tcPr>
          <w:p>
            <w:pPr>
              <w:jc w:val="right"/>
              <w:ind w:right="440"/>
              <w:spacing w:after="0"/>
              <w:rPr>
                <w:sz w:val="20"/>
                <w:szCs w:val="20"/>
                <w:color w:val="auto"/>
              </w:rPr>
            </w:pPr>
            <w:r>
              <w:rPr>
                <w:rFonts w:ascii="Arial" w:cs="Arial" w:eastAsia="Arial" w:hAnsi="Arial"/>
                <w:sz w:val="18"/>
                <w:szCs w:val="18"/>
                <w:color w:val="auto"/>
              </w:rPr>
              <w:t>(3,500,000)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972,142</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(769,721)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202,421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972,142</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(712,331)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259,811</w:t>
            </w:r>
          </w:p>
        </w:tc>
      </w:tr>
      <w:tr>
        <w:trPr>
          <w:trHeight w:val="223"/>
        </w:trPr>
        <w:tc>
          <w:tcPr>
            <w:tcW w:w="31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14,387,142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(9,175,883</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$ 5,211,259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14,387,142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(8,682,555</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$ 5,704,587</w:t>
            </w:r>
          </w:p>
        </w:tc>
        <w:tc>
          <w:tcPr>
            <w:tcW w:w="10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Estimated amortization expense for the periods and years ending December 31, is as follows: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July 1, 2008 through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473,438</w:t>
            </w:r>
          </w:p>
        </w:tc>
      </w:tr>
      <w:tr>
        <w:trPr>
          <w:trHeight w:val="216"/>
        </w:trPr>
        <w:tc>
          <w:tcPr>
            <w:tcW w:w="14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946,875</w:t>
            </w:r>
          </w:p>
        </w:tc>
      </w:tr>
      <w:tr>
        <w:trPr>
          <w:trHeight w:val="216"/>
        </w:trPr>
        <w:tc>
          <w:tcPr>
            <w:tcW w:w="144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946,875</w:t>
            </w:r>
          </w:p>
        </w:tc>
      </w:tr>
      <w:tr>
        <w:trPr>
          <w:trHeight w:val="216"/>
        </w:trPr>
        <w:tc>
          <w:tcPr>
            <w:tcW w:w="14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886,794</w:t>
            </w:r>
          </w:p>
        </w:tc>
      </w:tr>
      <w:tr>
        <w:trPr>
          <w:trHeight w:val="216"/>
        </w:trPr>
        <w:tc>
          <w:tcPr>
            <w:tcW w:w="144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871,875</w:t>
            </w:r>
          </w:p>
        </w:tc>
      </w:tr>
      <w:tr>
        <w:trPr>
          <w:trHeight w:val="216"/>
        </w:trPr>
        <w:tc>
          <w:tcPr>
            <w:tcW w:w="14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2013 and thereafter</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1,085,402</w:t>
            </w:r>
          </w:p>
        </w:tc>
      </w:tr>
      <w:tr>
        <w:trPr>
          <w:trHeight w:val="27"/>
        </w:trPr>
        <w:tc>
          <w:tcPr>
            <w:tcW w:w="14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5,211,259</w:t>
            </w:r>
          </w:p>
        </w:tc>
      </w:tr>
      <w:tr>
        <w:trPr>
          <w:trHeight w:val="20"/>
        </w:trPr>
        <w:tc>
          <w:tcPr>
            <w:tcW w:w="14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As of June 30, 2008, the Company’s debt outstanding consisted of a promissory note with a remaining balance due of $1.4 million. The promissory note is being repaid on a monthly basis through June 2010. The note bears interest at an annual rate of 2.32% and is unsecured. The Company may not prepay the loan without consent from the lender, and if a prepayment request is granted by the lender, a prepayment fee may be assessed.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following important factors, in addition to those discussed elsewhere in this Quarterly Report and in our Annual Report on Form 10-K, could affect our future financial results and could cause actual results to differ materially from those expressed in forward-looking statements contained in this document:</w:t>
      </w:r>
    </w:p>
    <w:p>
      <w:pPr>
        <w:spacing w:after="0" w:line="16"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effectively implement our growth strategy, as well as manage growth of our operations and infrastructure;</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fluctuation in quarterly operating results caused by a variety of factors including the timing of sales, revenue recognition, customer renewals, and customer scheduling and acceptance;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variability and length of our sales cycle;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maintain and continue our competitive position against current and potential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obtain proper distribution rights from content partners to support growth in courseware subscriptions;</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develop enhancements to our existing products and services, achieve widespread acceptance of new features, or keep pace with technological developments;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loss of a significant customer and concentration of a significant portion of our revenue with a relatively small number of customers;</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accurately forecast results of operations due to certain revenue components being subject to significant fluctuations and an increase in the percentage of our business subject to renewal;</w:t>
      </w:r>
    </w:p>
    <w:p>
      <w:pPr>
        <w:spacing w:after="0" w:line="75" w:lineRule="exact"/>
        <w:rPr>
          <w:rFonts w:ascii="Arial" w:cs="Arial" w:eastAsia="Arial" w:hAnsi="Arial"/>
          <w:sz w:val="18"/>
          <w:szCs w:val="18"/>
          <w:b w:val="1"/>
          <w:bCs w:val="1"/>
          <w:color w:val="auto"/>
        </w:rPr>
      </w:pPr>
    </w:p>
    <w:p>
      <w:pPr>
        <w:ind w:left="660" w:right="86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address and resolve in a timely manner any customer concerns with the new version of our HealthStream Learning Center</w:t>
      </w:r>
      <w:r>
        <w:rPr>
          <w:rFonts w:ascii="Arial" w:cs="Arial" w:eastAsia="Arial" w:hAnsi="Arial"/>
          <w:sz w:val="15"/>
          <w:szCs w:val="15"/>
          <w:color w:val="auto"/>
        </w:rPr>
        <w:t>®</w:t>
      </w:r>
      <w:r>
        <w:rPr>
          <w:rFonts w:ascii="Arial" w:cs="Arial" w:eastAsia="Arial" w:hAnsi="Arial"/>
          <w:sz w:val="18"/>
          <w:szCs w:val="18"/>
          <w:color w:val="auto"/>
        </w:rPr>
        <w:t xml:space="preserve"> (HLC) platform;</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adequately address our customers’ needs regarding their use of our products 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adequately maintain our network infrastructure, computer systems, software and related security;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protect our intellectual property;</w:t>
      </w:r>
    </w:p>
    <w:p>
      <w:pPr>
        <w:spacing w:after="0" w:line="130"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other risk factors detailed in our Annual Report on Form 10-K for the year ended December 31, 2007, and our other filings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HealthStream’s services are focused on the professionals who work within healthcare organizations, and include the delivery of education and training products and services (“HealthStream Learning”), as well as survey and research services (“HealthStream Research”). HealthStream Learning products and services are used by healthcare organizations to meet a broad range of their training and assessment needs, while HealthStream Research products and services provide our customers valuable insight into measuring quality and satisfaction of physicians, patients, employees, and members of the community. Across both our HealthStream Learning and HealthStream Research segments, HealthStream’s customers include over 2,400 healthcare organization facilities (predominately acute-care facilities) throughout the United States.</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provide HealthStream Learning products and services to over 1,700 healthcare facilities. The Company’s flagship learning product is the HLC, our proprietary, Internet-based learning platform. We deliver educational and training courseware to our customers through the HLC platform. HealthStream Learning products and services are focused on education and training initiatives designed to reach hospital-based healthcare professionals, as well as physicians and medical device and pharmaceutical device industry sales representatives. We offer a variety of online educational and training courseware and also provide traditional seminar and paper-based educational activities. We also deliver Internet-based medical device training within hospitals through our HospitalDirect</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provide HealthStream Research products and services to over 1,100 healthcare facilities. These products include quality and satisfaction surveys, data analyses of survey results, and other research-based measurement tools focused on patients, physicians, employees, and members of the community. HealthStream Research services are designed to provide customers thorough analyses that provide insightful recommendations for change; to provide benchmarking capability using our comprehensive databases; and to provide consulting services to identify solutions for our customers based on their survey results. As a certified vendor designated by the Centers for Medicare &amp; Medicaid Services, we offer our customers CAHPS</w:t>
      </w:r>
      <w:r>
        <w:rPr>
          <w:rFonts w:ascii="Arial" w:cs="Arial" w:eastAsia="Arial" w:hAnsi="Arial"/>
          <w:sz w:val="15"/>
          <w:szCs w:val="15"/>
          <w:color w:val="auto"/>
        </w:rPr>
        <w:t>®</w:t>
      </w:r>
      <w:r>
        <w:rPr>
          <w:rFonts w:ascii="Arial" w:cs="Arial" w:eastAsia="Arial" w:hAnsi="Arial"/>
          <w:sz w:val="18"/>
          <w:szCs w:val="18"/>
          <w:color w:val="auto"/>
        </w:rPr>
        <w:t xml:space="preserve"> (Consumer Assessment of Health Plan Survey) Hospital Survey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second quarter of 2008 include:</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of $13.0 million in the second quarter of 2008, up 8% over the second quarter of 2007</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of $739,000 in the second quarter of 2008, up from $425,000 in the second quarter of 2007</w:t>
      </w:r>
    </w:p>
    <w:p>
      <w:pPr>
        <w:spacing w:after="0" w:line="130"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1,639,000 healthcare professional subscribers fully implemented on our Internet-based learning network at June 30, 2008, up from 1,422,000 at June 30, 2007</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Approximately $1.0 million invested in our stock repurchase plan during the second quarter of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Accrual for service interruptions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2007 filed with the Securities and Exchange Commission, which contains additional information regarding our accounting policies and other disclosures required by US GAAP. There have been no changes in our critical accounting policies and estimates from those reported in our Annual Report on Form 10-K for the year ended December 31,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our HealthStream Learning business segment consist of the provision of services through our Internet-based HLC, authoring tools, a</w:t>
      </w:r>
      <w:r>
        <w:rPr>
          <w:rFonts w:ascii="Arial" w:cs="Arial" w:eastAsia="Arial" w:hAnsi="Arial"/>
          <w:sz w:val="17"/>
          <w:szCs w:val="17"/>
          <w:i w:val="1"/>
          <w:iCs w:val="1"/>
          <w:color w:val="auto"/>
        </w:rPr>
        <w:t xml:space="preserve"> </w:t>
      </w:r>
      <w:r>
        <w:rPr>
          <w:rFonts w:ascii="Arial" w:cs="Arial" w:eastAsia="Arial" w:hAnsi="Arial"/>
          <w:sz w:val="17"/>
          <w:szCs w:val="17"/>
          <w:color w:val="auto"/>
        </w:rPr>
        <w:t>variety of courseware subscriptions (add-on courseware), implementation and consulting services, maintenance of 3</w:t>
      </w:r>
      <w:r>
        <w:rPr>
          <w:rFonts w:ascii="Arial" w:cs="Arial" w:eastAsia="Arial" w:hAnsi="Arial"/>
          <w:sz w:val="14"/>
          <w:szCs w:val="14"/>
          <w:color w:val="auto"/>
        </w:rPr>
        <w:t>rd</w:t>
      </w:r>
      <w:r>
        <w:rPr>
          <w:rFonts w:ascii="Arial" w:cs="Arial" w:eastAsia="Arial" w:hAnsi="Arial"/>
          <w:sz w:val="17"/>
          <w:szCs w:val="17"/>
          <w:color w:val="auto"/>
        </w:rPr>
        <w:t xml:space="preserve"> party content, live event development, online training and content development, online sales training courses (RepDirect™), live educational activities for nurses and other professionals conducted within healthcare organizations, continuing education activities at association meetings, and HospitalDirect</w:t>
      </w:r>
      <w:r>
        <w:rPr>
          <w:rFonts w:ascii="Arial" w:cs="Arial" w:eastAsia="Arial" w:hAnsi="Arial"/>
          <w:sz w:val="14"/>
          <w:szCs w:val="14"/>
          <w:color w:val="auto"/>
        </w:rPr>
        <w:t>®</w:t>
      </w:r>
      <w:r>
        <w:rPr>
          <w:rFonts w:ascii="Arial" w:cs="Arial" w:eastAsia="Arial" w:hAnsi="Arial"/>
          <w:sz w:val="17"/>
          <w:szCs w:val="17"/>
          <w:color w:val="auto"/>
        </w:rPr>
        <w:t>. Revenues for our HealthStream Research business segment consist of quality and satisfaction surveys, data analyses of survey results, and other research-based measurement tools focused on physicians, patients, employees, and other members of the community.</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consists primarily of salaries and employee benefits, stock 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employee travel and lodging, materials, outsourced phone survey support, contract labor, hosting costs, and other direct expenses associated with revenues as well as royalties paid by us to content providers based on a percentage of revenues. Personnel costs</w:t>
      </w:r>
    </w:p>
    <w:p>
      <w:pPr>
        <w:sectPr>
          <w:pgSz w:w="11900" w:h="16838" w:orient="portrait"/>
          <w:cols w:equalWidth="0" w:num="1">
            <w:col w:w="11380"/>
          </w:cols>
          <w:pgMar w:left="240" w:top="419" w:right="279" w:bottom="1440" w:gutter="0" w:footer="0" w:header="0"/>
        </w:sectPr>
      </w:pP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stock based compensation, content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team, product managers, and other personnel associated with content and product development and product portfolio management.</w:t>
      </w:r>
    </w:p>
    <w:p>
      <w:pPr>
        <w:spacing w:after="0" w:line="64"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consist primarily of salaries, commissions and employee benefits, stock 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travel and lodging, advertising, trade shows, promotions, and related marketing costs. Annually, we host a national customer conference in Nashville known as “The Summit,” the costs of which are included in sales and marketing expenses. Personnel costs within sales and marketing include our sales and marketing team and strategic account management, as well as our account management group. Our account management personnel work to help our customers effectively utilize our products and provide consulting services to identify solutions for our customers based on their use of our products.</w:t>
      </w:r>
    </w:p>
    <w:p>
      <w:pPr>
        <w:spacing w:after="0" w:line="5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feature enhancements.</w:t>
      </w:r>
    </w:p>
    <w:p>
      <w:pPr>
        <w:spacing w:after="0" w:line="6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Other Income/Expense.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a promissory note, capital leases and our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2008 Compared to Three Months Ended June 30, 2007</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approximately $966,000, or 8.0%, to $13.0 million for the three months ended June 30, 2008 from $12.0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2007. Revenues for 2008 consisted of $8.2 million, or 63% of total revenue, for HealthStream Learning and $4.8 million, or 37% of total revenue, for HealthStream Research. In 2007, revenues consisted of $6.5 million, or 54% of total revenue, for HealthStream Learning and $5.5 million, or 46% of total revenue, for HealthStream Research.</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HealthStream Learning revenue growth of $1.7 million, or 25.8%, over the prior year quarter included $1.6 million from our Internet-based subscription learning products, which includes revenue increases from the HLC of $900,000 and $666,000 from increased courseware subscriptions and online training services. Revenues from these products collectively increased 30% over the prior year second quarter and approximated $6.8 million for the second quarter of 2008. This revenue growth is a result of both increased HLC subscribers and sales of add-on courseware subscriptions. The remaining revenue growth came from implementation, development, and consulting services which increased $481,000 over the prior year second quarter. These revenue increases were partially offset by a revenue decrease from live events business, study guides and association activities, which collectively declined $328,000 from the prior year second quarter, primarily due to decreasing demand for such services.</w:t>
      </w:r>
    </w:p>
    <w:p>
      <w:pPr>
        <w:spacing w:after="0" w:line="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HealthStream Research revenue for the second quarter of 2008 decreased approximately $708,000, or 12.8%, when compared to the second quarter of 2007. Revenue mix changes over the prior year included an increase of $232,000 from patient surveys, but was more than offset by revenue declines of $333,000 from employee surveys, $325,000 from community surveys, and $282,000 from physician surveys. These revenue decreases resulted from fewer survey projects being performed and completed during the second quarter of 2008 as compared to the prior year second quarter. This is due in part to a few of our larger customers electing to delay their surveys, and one customer electing not to conduct an interim survey which was conducted in the second quarter of 2007.</w:t>
      </w:r>
    </w:p>
    <w:p>
      <w:pPr>
        <w:spacing w:after="0" w:line="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expect revenues for the third quarter of 2008 to range between $13.0 and $13.5 million, an increase of approximately 10 to 14 percent over the prior year third quarter. We expect revenues from HealthStream Learning to increase between 13 and 16 percent over the prior year third quarter resulting from growth in our HLC subscriber base and add-on courseware subscriptions. These expected revenue increases are anticipated to be partially offset by continued declines in several of our project-based products such as live events and study guides. We expect revenues from HealthStream Research to increase between seven and 10 percent compared to the prior year third quarter.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$503,000, or 11.5%, to $4.9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2008 from $4.4 million for the three months ended June 30, 2007. Cost of revenues as a percentage of revenues increased to 37.4% of revenues for the three months ended June 30, 2008 from 36.2% of revenues for the three months ended June 30, 2007. Cost of revenues for HealthStream Learning increased approximately $484,000 to $2.8 million and approximated 33.7% and 34.9% of revenues for the three months ended June 30, 2008 and 2007, respectively. The expense increase was primarily associated with increased royalties paid by us resulting from growth in courseware subscription revenues as well as increased costs to support the revenue growth in implementation, development, and consulting services. These expense increases were partially offset by lower expenses associated with declines in live event, study guides, and association revenues. Cost of revenues for HealthStream Research increased approximately $20,000 to $2.1 million and approximated 43.6% and 37.7% of revenues for the three months ended June 30, 2008 and 2007, respectively. The increase in cost of revenues as a percentage of revenues for HealthStream Research resulted primarily from lower revenues from our higher margin surveys when compared to the prior year quarter.</w:t>
      </w:r>
    </w:p>
    <w:p>
      <w:pPr>
        <w:spacing w:after="0" w:line="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Gross Margin (excluding depreciation and amortization). </w:t>
      </w:r>
      <w:r>
        <w:rPr>
          <w:rFonts w:ascii="Arial" w:cs="Arial" w:eastAsia="Arial" w:hAnsi="Arial"/>
          <w:sz w:val="16"/>
          <w:szCs w:val="16"/>
          <w:color w:val="auto"/>
        </w:rPr>
        <w:t>Gross margin (which we define as revenues less cost of revenues divided by revenues) declined to</w:t>
      </w:r>
      <w:r>
        <w:rPr>
          <w:rFonts w:ascii="Arial" w:cs="Arial" w:eastAsia="Arial" w:hAnsi="Arial"/>
          <w:sz w:val="16"/>
          <w:szCs w:val="16"/>
          <w:i w:val="1"/>
          <w:iCs w:val="1"/>
          <w:color w:val="auto"/>
        </w:rPr>
        <w:t xml:space="preserve"> </w:t>
      </w:r>
      <w:r>
        <w:rPr>
          <w:rFonts w:ascii="Arial" w:cs="Arial" w:eastAsia="Arial" w:hAnsi="Arial"/>
          <w:sz w:val="16"/>
          <w:szCs w:val="16"/>
          <w:color w:val="auto"/>
        </w:rPr>
        <w:t>62.6% for the three months ended June 30, 2008 from 63.8% for the three months ended June 30, 2007. This decline is primarily a result of the change in revenue mix and related cost of revenues for HealthStream Research discussed above. Gross margins for HealthStream Learning were 66.3% and 65.1% for the three months ended June 30, 2008 and 2007, respectively. This slight increase is primarily a result of higher subscription based revenues over the prior year quarter. Gross margins for HealthStream Research were 56.4% and 62.3% for the three months ended June 30, 2008 and 2007, respectively. The gross margin decline for HealthStream Research resulted from the change in survey revenue mix and related cost of revenues mentioned above. We expect gross margins for the third quarter of 2008 to be down slightly compared to the prior year third quarter.</w:t>
      </w:r>
    </w:p>
    <w:p>
      <w:pPr>
        <w:spacing w:after="0" w:line="5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$230,000, or 20.9%, to $1.3 million for the three months ended June 30, 2008</w:t>
      </w:r>
      <w:r>
        <w:rPr>
          <w:rFonts w:ascii="Arial" w:cs="Arial" w:eastAsia="Arial" w:hAnsi="Arial"/>
          <w:sz w:val="17"/>
          <w:szCs w:val="17"/>
          <w:i w:val="1"/>
          <w:iCs w:val="1"/>
          <w:color w:val="auto"/>
        </w:rPr>
        <w:t xml:space="preserve"> </w:t>
      </w:r>
      <w:r>
        <w:rPr>
          <w:rFonts w:ascii="Arial" w:cs="Arial" w:eastAsia="Arial" w:hAnsi="Arial"/>
          <w:sz w:val="17"/>
          <w:szCs w:val="17"/>
          <w:color w:val="auto"/>
        </w:rPr>
        <w:t>from $1.1 million for the three months ended June 30, 2007. Product development expenses as a percentage of revenues increased to 10.2% of revenues for the three months ended June 30, 2008 compared to 9.1% of revenues for the three months ended June 30, 2007. The increase in both amount and as a percentage of revenues primarily resulted from increased maintenance and support costs of our HealthStream Learning products, as well as a reclassification of personnel within HealthStream Research to product development from general and administrative expense.</w:t>
      </w:r>
    </w:p>
    <w:p>
      <w:pPr>
        <w:spacing w:after="0" w:line="6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Product development expenses for HealthStream Learning increased approximately $140,000 and approximated 13.3% and 14.5% of revenues for the three months ended June 30, 2008 and 2007, respectively. This expense increase is associated with maintenance and support of our learning platform products. Product development expenses for HealthStream Research increased approximately $117,000 and approximated 5.1% and 2.3% of revenues for the three months ended June 30, 2008 and 2007, respectively. This expense increase relates primarily to a reallocation of personnel from general and administrative expense compared to the prior year quarter. We expect product development expenses for the third quarter of 2008 to increase in amount and as a percentage of revenues over the prior year third quarter consistent with the factors previously discussed.</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decreased approximately $127,000, or 4.5%, to $2.7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2008 from $2.8 million for the three months ended June 30, 2007. Approximately $421,000 of the decrease is due to the timing of our Annual Summit, which occurred during the second quarter of 2007 and will occur during the third quarter of 2008. The expense decrease was partially offset by incremental personnel and related expenses from both the HealthStream Learning and HealthStream Research sales teams. Sales and marketing expenses approximated 20.7% and 23.4% of revenues for the three months ended June 30, 2008 and 2007, respectively.</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Sales and marketing expenses for HealthStream Learning decreased $233,000 and approximated 21.7% and 30.9% of revenues for the three months ended June 30, 2008 and 2007, respectively. This expense decrease primarily resulted from the timing of our Annual Summit, and was partially offset by additional sales personnel and related expenses. Sales and marketing expenses for HealthStream Research increased approximately $80,000, and approximated 17.5% and 13.9% of revenues for the three months ended June 30, 2008 and 2007, respectively. This increase resulted primarily from additional sales personnel and related expenses. We expect sales and marketing expenses for the third quarter of 2008 to increase in amount and as a percentage of revenues over the prior year third quarter. We expect that this expense increase will primarily result from the cost of our Annual Summit and to a lesser extent from new sales personnel hired during late 2007 and early 2008.</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$11,000, and approximated $1.2 million for both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2008 and 2007. Depreciation, which is included in the unallocated corporate function, increased $42,000 resulting from capital expenditures during 2007 and the first half of 2008. Amortization expense decreased $32,000, primarily due to lower amortization of intangible assets. Amortization for HealthStream Learning increased $53,000, and approximated 5.4% and 6.0% of revenues for the three months ended June 30, 2008 and 2007, respectively. This increase is associated with capitalized software feature enhancements associated with our platform products. Amortization for HealthStream Research decreased $85,000 and approximated 5.1% and 6.0% of revenues for the three months ended June 30, 2008 and 2007, respectively. This decrease is primarily associated with lower amortization of</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TJO intangible assets resulting from a reduction in the carrying value of such assets upon completion of the valuation analysis. We expect depreciation and amortization for the third quarter of 2008 be comparable to the prior year third quarter.</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$32,000, or 1.5%, and approximated $2.2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three months ended June 30, 2008 and 2007. Other general and administrative expenses as a percentage of revenues decreased to 16.8% for the three months ended June 30, 2008 from 17.9% for the three months ended June 30, 2007. The percentage decrease is a result of the revenue increases mentioned above.</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Other general and administrative expenses for HealthStream Learning increased $126,000 compared to the prior year quarter primarily due to increased personnel expenses. Other general and administrative expenses for HealthStream Research decreased approximately $248,000 from the prior year quarter, primarily resulting from combining certain functions at the corporate level, the reallocation of certain personnel to product development, as well as reductions in other expenses. The unallocated corporate portion of other general and administrative expenses increased $155,000 over the prior year quarter resulting from increased recruiting costs, professional fees, and various other corporate expenses. We expect other general and administrative expenses for the third quarter of 2008 to increase in amount, but decrease as a percentage of revenues when compared to the prior year third quarter.</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income (expense) increased approximately $1,600 or 7.6%, to $23,000 for the three months ended June 30, 2008 from</w:t>
      </w:r>
    </w:p>
    <w:p>
      <w:pPr>
        <w:spacing w:after="0" w:line="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$22,000 for the three months ended June 30, 2007. Interest income increased modestly due to higher invested balances compared to the prior year second quarter, and was partially offset by increased interest expense associated with a promissory note.</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Company’s income tax provision primarily consists of the alternative minimum tax. Taxable income for 2008 is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substantially offset by the utilization of our net operating loss (“NOL”) carryforwards.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approximately $739,000 for the three months ended June 30, 2008, up from $425,000 for the three months ended June 30,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share during the third quarter of 2008 is expected to range between $0.03 and $0.04 per diluted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2008 Compared to Six Months Ended June 30, 2007</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$4.3 million, or 21.3%, to $24.4 million for the six months ended June 30, 2008 from $20.1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2007. Revenues for 2008 consisted of $15.7 million for HealthStream Learning and $8.8 million for HealthStream Research. In 2007, revenues consisted of $13.0 million for HealthStream Learning and $7.1 million for HealthStream Research. HealthStream Learning experienced growth in revenues from our HLC subscriber base of $1.8 million, increased add-on courseware subscriptions of $1.2 million, and $783,000 from implementation, development, and consulting services. This revenue growth was partially offset by a decline in revenues from live events, study guides, and associations of $1.1 million, primarily due to decreasing demand for these services. HealthStream Research revenue growth resulted primarily from the TJO acquisition, but was partially offset by lower revenues from physician, employee, and community surveys which was due to certain large customers electing to delay projects and in some cases other customers electing not to conduct the same surveys as they had in the prior year.</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$2.1 million, or 29.1%, to $9.4 million for the six</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2008 from $7.3 million for the six months ended June 30, 2007. Cost of revenues as a percentage of revenue approximated 38.4%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 of revenues for the six months ended June 30, 2008 and 2007, respectively. Cost of revenues for HealthStream Learning increased $761,000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approximated 33.2% and 34.3% of revenues for the six months ended June 30, 2008 and 2007, respectively. This expense increase resulted primarily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royalties paid by us associated with the increase in courseware subscription revenues as well as increased personnel and related expenses, but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lower costs associated with live events, study guides and association projects. Cost of revenues for HealthStream Research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and approximated 47.7% and 39.4% of revenues for the six months ended June 30, 2008 and 2007, respectively. The primary expense increases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from personnel associated with the TJO acquisition. The decrease as a percentage of revenues resulted primarily from the project mix and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revenues when compared to the prior year.</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Gross Margin (excluding depreciation and amortization). </w:t>
      </w:r>
      <w:r>
        <w:rPr>
          <w:rFonts w:ascii="Arial" w:cs="Arial" w:eastAsia="Arial" w:hAnsi="Arial"/>
          <w:sz w:val="18"/>
          <w:szCs w:val="18"/>
          <w:color w:val="auto"/>
        </w:rPr>
        <w:t>Gross margin (which we define as revenues less cost of revenues divided by revenues) was 61.6%</w:t>
      </w:r>
      <w:r>
        <w:rPr>
          <w:rFonts w:ascii="Arial" w:cs="Arial" w:eastAsia="Arial" w:hAnsi="Arial"/>
          <w:sz w:val="18"/>
          <w:szCs w:val="18"/>
          <w:i w:val="1"/>
          <w:iCs w:val="1"/>
          <w:color w:val="auto"/>
        </w:rPr>
        <w:t xml:space="preserve"> </w:t>
      </w:r>
      <w:r>
        <w:rPr>
          <w:rFonts w:ascii="Arial" w:cs="Arial" w:eastAsia="Arial" w:hAnsi="Arial"/>
          <w:sz w:val="18"/>
          <w:szCs w:val="18"/>
          <w:color w:val="auto"/>
        </w:rPr>
        <w:t>and 63.9% for the six months ended June 30, 2008 and 2007, respectively. Gross margins for HealthStream Learning were 66.8% and 65.7% for the six months ended June 30, 2008 and 2007, respectively. This improvement resulted from the change in revenue mix and related cost of revenues discussed above. Gross margins for HealthStream Research were 52.3% and 60.6% for the six months ended June 30, 2008 and 2007, respectively. This decrease resulted from lower revenues from our higher margin surveys.</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$436,000, or 20.0%, to $2.6 million for the six months ended June 30, 2008</w:t>
      </w:r>
      <w:r>
        <w:rPr>
          <w:rFonts w:ascii="Arial" w:cs="Arial" w:eastAsia="Arial" w:hAnsi="Arial"/>
          <w:sz w:val="18"/>
          <w:szCs w:val="18"/>
          <w:i w:val="1"/>
          <w:iCs w:val="1"/>
          <w:color w:val="auto"/>
        </w:rPr>
        <w:t xml:space="preserve"> </w:t>
      </w:r>
      <w:r>
        <w:rPr>
          <w:rFonts w:ascii="Arial" w:cs="Arial" w:eastAsia="Arial" w:hAnsi="Arial"/>
          <w:sz w:val="18"/>
          <w:szCs w:val="18"/>
          <w:color w:val="auto"/>
        </w:rPr>
        <w:t>from $2.2 million for the six months ended June 30, 2007. Product development expenses as a percentage of revenues was 10.7% and 10.8% of revenues for the six months ended June 30, 2008 and 2007, respectively. Product development expenses for HealthStream Learning increased $257,000 and approximated 13.6% and 14.4% of revenues for the six months ended June 30, 2008 and 2007, respectively. The increase resulted from additional personnel and contract labor associated with the development and maintenance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learning products. Product development expenses for HealthStream Research increased $237,000 and approximated 5.6% and 3.5% of revenues for the six months ended June 30, 2008 and 2007, respectively, primarily due to additional personnel and a reallocation of personnel from general and administrative expense to product development.</w:t>
      </w:r>
    </w:p>
    <w:p>
      <w:pPr>
        <w:spacing w:after="0" w:line="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approximately $696,000, or 15.3%, to $5.3 million for the six months ended June 30, 2008</w:t>
      </w:r>
      <w:r>
        <w:rPr>
          <w:rFonts w:ascii="Arial" w:cs="Arial" w:eastAsia="Arial" w:hAnsi="Arial"/>
          <w:sz w:val="16"/>
          <w:szCs w:val="16"/>
          <w:i w:val="1"/>
          <w:iCs w:val="1"/>
          <w:color w:val="auto"/>
        </w:rPr>
        <w:t xml:space="preserve"> </w:t>
      </w:r>
      <w:r>
        <w:rPr>
          <w:rFonts w:ascii="Arial" w:cs="Arial" w:eastAsia="Arial" w:hAnsi="Arial"/>
          <w:sz w:val="16"/>
          <w:szCs w:val="16"/>
          <w:color w:val="auto"/>
        </w:rPr>
        <w:t>from $4.6 million for the six months ended June 30, 2007. This increase is primarily associated with additional personnel and related expenses resulting from both the TJO acquisition as well as additional personnel for both HealthStream Learning and HealthStream Research sales teams. These expense increases were partially offset by lower marketing spending, including lower expenses associated with our Annual Summit. As a percentage of revenues, sales and marketing expenses decreased to 21.5% of revenues for the six months ended June 30, 2008 from 22.6% of revenues for the six months ended June 30, 2007.</w:t>
      </w:r>
    </w:p>
    <w:p>
      <w:pPr>
        <w:spacing w:after="0" w:line="5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Sales and marketing expenses for HealthStream Learning increased $28,000 and approximated 21.6% and 25.8% of revenues for the six months ended June 30, 2008 and 2007, respectively. HealthStream Learning experienced an expense increase associated with additional sales personnel and related expenses, but was substantially offset by lower marketing expenses associated with our Annual Learning Summit, which occurred during the second quarter of 2007, but will occur during the third quarter of 2008. Sales and marketing expenses for HealthStream Research increased $618,000 and approximated 20.0% and 15.8% of revenues for the six months ended June 30, 2008 and 2007, respectively. This expense increase is associated with both the TJO acquisition and new sales personnel and related expenses.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approximately $401,000, or 19.5%, to $2.5 million for the six months ended</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June 30, 2008 from $2.1 million for the six months ended June 30, 2007. Depreciation increases of $208,000 primarily resulted from new capital expenditures and from assets acquired in the TJO acquisition. Amortization increases of $193,000 resulted from capitalized software feature enhancements and TJO intangible asset amortization. Amortization for HealthStream Learning increased $180,000, or 24.9%, and approximated 5.8% and 5.6% of revenues for the six months ended June 30, 2008 and 2007, respectively. This increase is primarily associated with amortization of capitalized software feature enhancements associated with the HLC platform and other content assets. Amortization for HealthStream Research increased $12,000, or 2.4%, and approximated 5.8% and 7.0% of revenues for the six months ended June 30, 2008 and 2007, respectively. Depreciation expense, which is included in the unallocated corporate function, increased $208,000 over the prior year.</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Other General and Administrative. </w:t>
      </w:r>
      <w:r>
        <w:rPr>
          <w:rFonts w:ascii="Arial" w:cs="Arial" w:eastAsia="Arial" w:hAnsi="Arial"/>
          <w:sz w:val="16"/>
          <w:szCs w:val="16"/>
          <w:color w:val="auto"/>
        </w:rPr>
        <w:t>Other general and administrative expenses increased approximately $187,000, or 4.9%, to $4.0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2008 from $3.8 million for the six months ended June 30, 2007. This increase primarily resulted from the full year impact of the TJO acquisition, including rent and other office related expenses, as well as increases in other expenses, which were partially offset by lower stock based compensation expense and contract labor. Other general and administrative expenses as a percentage of revenues decreased to 16.8% for the six months ended June 30, 2008 from 18.7% for the six months ended June 30, 2007. Other general and administrative expenses for HealthStream Learning increased $110,000 over the prior year primarily due to increased personnel expenses. Other general and administrative expenses for HealthStream Research decreased $109,000 from the prior year, primarily resulting from lower contract labor and personnel expenses which resulted from combining certain functions at the corporate level, in addition to the reallocation of certain personnel to product development. Other general and administrative expenses for the unallocated corporate functions increased $185,000 over the prior year and was associated with increases in professional fees, recruiting, and certain expenses to support the overall growth of the company, but was partially offset by lower stock based compensation expense.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(expense) decreased approximately $116,000, or 72.1%, to $45,000 for the six months ended June 30, 2008 from</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$161,000 for the six months ended June 30, 2007. Interest income from cash and investments in marketable securities decreased $96,000 resulting from lower cash and investments balances, while interest expense increased $20,000 associated with a promissory note.</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the six months ended June 30, 2008 is associated with federal alternative minimum tax. Our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for the six months ended June 30, 2008 is substantially less than the statutory tax rate since taxable income is expected to be substantially offset by the utilization of our NOL carryforwards. We expect any additional taxable income for the remainder of 2008 will be substantially offset by the utilization of our NOL carryforwards.</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$805,000 for the six months ended June 30, 2008 up from $469,000 for the six months ended June 30, 2007. This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is a result of the factors mentioned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provided by operating activities was approximately $4.1 million during the six months ended June 30, 2008 compared to $2.9 million during the six months ended June 30, 2007. Our primary sources of cash were generated from receipts from the sales of our products and services. Our days sales outstanding (which we calculate by dividing the accounts receivable balance, excluding unbilled and other receivables, by average daily revenues for the quarter) approximated 48 days for the second quarter of 2008 compared to 57 days for the second quarter of 2007. This improvement was a result of improved collections from customers during the current year quarter. The primary uses of cash to fund our operations for the quarter ended June 30, 2008 included personnel expenses, sales commissions, royalty payments,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payments for contract labor and other direct expenses associated with delivery of our products and services, and general corporate expenses, as well as payments associated with content development.</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approximated $779,000 for the six months ended June 30, 2008 compared to $12.1 million during the six months ended June 30, 2007. The primary uses of cash for the six months ended June 30, 2008 were associated with property and equipment purchases of $480,000 and capitalized software feature enhancements of $290,000. In addition we paid $9,000 associated with the valuation of acquired intangible assets associated with the TJO acquisition.</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used in financing activities was approximately $1.2 million and $7,000 for the six months ended June 30, 2008 and 2007, respectively. The primary uses of cash for the six months ended June 30, 2008 related to purchases of common stock pursuant to our stock repurchase plan and payments under a promissory note and capital lease obligations. The primary source of cash was from our Employee Stock Purchase Plan and the exercise of stock options.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Our working capital improved to approximately $617,000 at June 30, 2008 from a deficit of $906,000 at December 31, 2007. Current assets increased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$1.0 million during 2008 resulting from increases in cash balances generated from cash receipts from customers which were primarily used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 operations while reducing current liabilities that existed at December 31, 2007. In addition, cash balances were used to repurchase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million of our common stock pursuant to our stock repurchase plan. Current liabilities decreased approximately $507,000 during 2008 resulting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payments to vendors. As of June 30, 2008 our primary source of liquidity was $5.8 million of cash and cash equivalents, restricted cash, and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receivable. We also have a $15.0 million revolving credit facility loan agreement, all of which was available at June 30, 2008. Subsequent to June 30, 2008,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as of August 6, 2008, we have used approximately $1.4 million for purchases of common stock pursuant to our stock repurchase plan.</w:t>
      </w:r>
    </w:p>
    <w:p>
      <w:pPr>
        <w:spacing w:after="0" w:line="10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are actively reviewing possible acquisitions and other business ventures that complement our products and services. We anticipate that future acquisitions or other business ventures, if any, would be effected through a combination of stock and cash consideration. We may need to raise additional capital through the issuance of equity or debt securities and/or borrowings under our revolving credit facility, or another facility, to finance any future acquisitions or other business ventures. The issuance of our stock as consideration for an acquisition or other business venture would have a dilutive effect and could adversely affect our stock price. There can be no assurance that additional sources of financing will be available to us on acceptable terms, or at all, to consummate any acquisitions or other business ventures. Failure to generate sufficient cash flow from operations or raise additional capital when required in sufficient amounts and on terms acceptable to us could adversely affect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expect that our capital expenditures, software feature enhancements, and content purchases will approximate $4.5 million for 2008. We expect to fund these capital expenditures with existing cash and investments, from cash generated from operations, and if necessary from our revolving credit facility.</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strategic alliances have typically provided for payments to content partners based on revenues and development partners and other parties based on services rendered. We expect to continue similar arrangements in the future. We have commitments under capital lease obligations for computer hardware and operating lease commitments for our operating facilities in Nashville, TN, Laurel, MD, and Franklin, TN. We also have scheduled monthly payments due under a promissory note.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are exposed to market risk from changes in interest rates. We do not have any foreign currency exchange rate risk or commodity price risk. As of June 30, 2008, our outstanding indebtedness included a promissory note of approximately $1.4 million and approximately $73,000 of capital lease obligations. We may become subject to interest rate market risk associated with borrowings under our revolving credit facility, which bears interest at a variable rate based on the 30 Day LIBOR Rate plus 150 basis points. We are also exposed to market risk with respect to our cash balances. At June 30, 2008, the Company had cash and cash equivalents, restricted cash, and related interest receivable totaling approximately $5.8 million. Current investment rates of return approximate 2.0%</w:t>
      </w:r>
    </w:p>
    <w:p>
      <w:pPr>
        <w:spacing w:after="0" w:line="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 3.0%. Assuming a 2.5% rate of return on $5.8 million, a hypothetical 10% decrease in interest rates would decrease interest income and decrease net income on an annualized basis by approximately $14,500.</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A2/A or better and A1/P1 or better for commercial paper. The Company also requires that all securities must mature within 24 months from the original settlement date, the average portfolio shall not exceed 18 months, and the greater of 10% or $5.0 million shall mature within 90 days.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Further, the Company’s investment policy also limits concentration exposure and other potential risk areas. As of June 30, 2008, we maintained no investments in marketable securities.</w:t>
      </w:r>
    </w:p>
    <w:p>
      <w:pPr>
        <w:spacing w:after="0" w:line="6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Board of Directors authorized the Company to purchase up to $3,000,000 of its common stock through September 20, 2008. The table below sets forth activity under the stock repurchase plan for the quarter ended June 30, 2008: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color w:val="auto"/>
                <w:w w:val="93"/>
              </w:rPr>
              <w:t>(d)</w:t>
            </w: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(c)</w:t>
            </w:r>
          </w:p>
        </w:tc>
        <w:tc>
          <w:tcPr>
            <w:tcW w:w="30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Maximum number (or</w:t>
            </w: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3"/>
              </w:rPr>
              <w:t>(a)</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Total number of shares (or</w:t>
            </w:r>
          </w:p>
        </w:tc>
        <w:tc>
          <w:tcPr>
            <w:tcW w:w="30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approximate dollar value) of</w:t>
            </w: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3"/>
              </w:rPr>
              <w:t>Total number of</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3"/>
              </w:rPr>
              <w:t>(b)</w:t>
            </w:r>
          </w:p>
        </w:tc>
        <w:tc>
          <w:tcPr>
            <w:tcW w:w="300" w:type="dxa"/>
            <w:vAlign w:val="bottom"/>
          </w:tcPr>
          <w:p>
            <w:pPr>
              <w:spacing w:after="0"/>
              <w:rPr>
                <w:sz w:val="12"/>
                <w:szCs w:val="12"/>
                <w:color w:val="auto"/>
              </w:rPr>
            </w:pPr>
          </w:p>
        </w:tc>
        <w:tc>
          <w:tcPr>
            <w:tcW w:w="19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units) purchased as part of</w:t>
            </w:r>
          </w:p>
        </w:tc>
        <w:tc>
          <w:tcPr>
            <w:tcW w:w="30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shares (or units) that may yet</w:t>
            </w: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0"/>
              </w:rPr>
              <w:t>shares (or units)</w:t>
            </w:r>
          </w:p>
        </w:tc>
        <w:tc>
          <w:tcPr>
            <w:tcW w:w="280" w:type="dxa"/>
            <w:vAlign w:val="bottom"/>
          </w:tcPr>
          <w:p>
            <w:pPr>
              <w:spacing w:after="0"/>
              <w:rPr>
                <w:sz w:val="12"/>
                <w:szCs w:val="12"/>
                <w:color w:val="auto"/>
              </w:rPr>
            </w:pP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Average price paid per share</w:t>
            </w:r>
          </w:p>
        </w:tc>
        <w:tc>
          <w:tcPr>
            <w:tcW w:w="300" w:type="dxa"/>
            <w:vAlign w:val="bottom"/>
          </w:tcPr>
          <w:p>
            <w:pPr>
              <w:spacing w:after="0"/>
              <w:rPr>
                <w:sz w:val="12"/>
                <w:szCs w:val="12"/>
                <w:color w:val="auto"/>
              </w:rPr>
            </w:pPr>
          </w:p>
        </w:tc>
        <w:tc>
          <w:tcPr>
            <w:tcW w:w="19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3"/>
              </w:rPr>
              <w:t>publicly announced plans or</w:t>
            </w:r>
          </w:p>
        </w:tc>
        <w:tc>
          <w:tcPr>
            <w:tcW w:w="30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be purchased under the plans</w:t>
            </w:r>
          </w:p>
        </w:tc>
      </w:tr>
      <w:tr>
        <w:trPr>
          <w:trHeight w:val="167"/>
        </w:trPr>
        <w:tc>
          <w:tcPr>
            <w:tcW w:w="20" w:type="dxa"/>
            <w:vAlign w:val="bottom"/>
          </w:tcPr>
          <w:p>
            <w:pPr>
              <w:spacing w:after="0"/>
              <w:rPr>
                <w:sz w:val="14"/>
                <w:szCs w:val="14"/>
                <w:color w:val="auto"/>
              </w:rPr>
            </w:pPr>
          </w:p>
        </w:tc>
        <w:tc>
          <w:tcPr>
            <w:tcW w:w="302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rPr>
              <w:t>Period</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color w:val="auto"/>
                <w:w w:val="88"/>
              </w:rPr>
              <w:t>purchased</w:t>
            </w:r>
          </w:p>
        </w:tc>
        <w:tc>
          <w:tcPr>
            <w:tcW w:w="28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(or unit)</w:t>
            </w:r>
            <w:r>
              <w:rPr>
                <w:rFonts w:ascii="Arial" w:cs="Arial" w:eastAsia="Arial" w:hAnsi="Arial"/>
                <w:sz w:val="12"/>
                <w:szCs w:val="12"/>
                <w:color w:val="auto"/>
                <w:w w:val="98"/>
              </w:rPr>
              <w:t>(1)</w:t>
            </w: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700"/>
              <w:spacing w:after="0"/>
              <w:rPr>
                <w:sz w:val="20"/>
                <w:szCs w:val="20"/>
                <w:color w:val="auto"/>
              </w:rPr>
            </w:pPr>
            <w:r>
              <w:rPr>
                <w:rFonts w:ascii="Arial" w:cs="Arial" w:eastAsia="Arial" w:hAnsi="Arial"/>
                <w:sz w:val="14"/>
                <w:szCs w:val="14"/>
                <w:color w:val="auto"/>
                <w:w w:val="91"/>
              </w:rPr>
              <w:t>programs</w:t>
            </w: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4"/>
                <w:szCs w:val="14"/>
                <w:color w:val="auto"/>
                <w:w w:val="92"/>
              </w:rPr>
              <w:t>or programs</w:t>
            </w: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Month #1 (April 1 — April 30)</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9,600</w:t>
            </w:r>
          </w:p>
        </w:tc>
        <w:tc>
          <w:tcPr>
            <w:tcW w:w="38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$2.67</w:t>
            </w:r>
          </w:p>
        </w:tc>
        <w:tc>
          <w:tcPr>
            <w:tcW w:w="22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9,600</w:t>
            </w:r>
          </w:p>
        </w:tc>
        <w:tc>
          <w:tcPr>
            <w:tcW w:w="246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$2,893,339</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Month #2 (May 1 — May 31)</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314,400</w:t>
            </w:r>
          </w:p>
        </w:tc>
        <w:tc>
          <w:tcPr>
            <w:tcW w:w="380" w:type="dxa"/>
            <w:vAlign w:val="bottom"/>
          </w:tcPr>
          <w:p>
            <w:pPr>
              <w:spacing w:after="0"/>
              <w:rPr>
                <w:sz w:val="18"/>
                <w:szCs w:val="18"/>
                <w:color w:val="auto"/>
              </w:rPr>
            </w:pPr>
          </w:p>
        </w:tc>
        <w:tc>
          <w:tcPr>
            <w:tcW w:w="2000" w:type="dxa"/>
            <w:vAlign w:val="bottom"/>
            <w:gridSpan w:val="4"/>
          </w:tcPr>
          <w:p>
            <w:pPr>
              <w:jc w:val="right"/>
              <w:ind w:right="700"/>
              <w:spacing w:after="0"/>
              <w:rPr>
                <w:sz w:val="20"/>
                <w:szCs w:val="20"/>
                <w:color w:val="auto"/>
              </w:rPr>
            </w:pPr>
            <w:r>
              <w:rPr>
                <w:rFonts w:ascii="Arial" w:cs="Arial" w:eastAsia="Arial" w:hAnsi="Arial"/>
                <w:sz w:val="18"/>
                <w:szCs w:val="18"/>
                <w:color w:val="auto"/>
              </w:rPr>
              <w:t>3.07</w:t>
            </w:r>
          </w:p>
        </w:tc>
        <w:tc>
          <w:tcPr>
            <w:tcW w:w="2260" w:type="dxa"/>
            <w:vAlign w:val="bottom"/>
            <w:gridSpan w:val="4"/>
          </w:tcPr>
          <w:p>
            <w:pPr>
              <w:jc w:val="right"/>
              <w:ind w:right="680"/>
              <w:spacing w:after="0"/>
              <w:rPr>
                <w:sz w:val="20"/>
                <w:szCs w:val="20"/>
                <w:color w:val="auto"/>
              </w:rPr>
            </w:pPr>
            <w:r>
              <w:rPr>
                <w:rFonts w:ascii="Arial" w:cs="Arial" w:eastAsia="Arial" w:hAnsi="Arial"/>
                <w:sz w:val="18"/>
                <w:szCs w:val="18"/>
                <w:color w:val="auto"/>
              </w:rPr>
              <w:t>314,400</w:t>
            </w:r>
          </w:p>
        </w:tc>
        <w:tc>
          <w:tcPr>
            <w:tcW w:w="2460" w:type="dxa"/>
            <w:vAlign w:val="bottom"/>
            <w:gridSpan w:val="4"/>
          </w:tcPr>
          <w:p>
            <w:pPr>
              <w:jc w:val="right"/>
              <w:ind w:right="720"/>
              <w:spacing w:after="0"/>
              <w:rPr>
                <w:sz w:val="20"/>
                <w:szCs w:val="20"/>
                <w:color w:val="auto"/>
              </w:rPr>
            </w:pPr>
            <w:r>
              <w:rPr>
                <w:rFonts w:ascii="Arial" w:cs="Arial" w:eastAsia="Arial" w:hAnsi="Arial"/>
                <w:sz w:val="18"/>
                <w:szCs w:val="18"/>
                <w:color w:val="auto"/>
              </w:rPr>
              <w:t>1,919,239</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Month #3 (June 1 — June 30)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6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1,919,239</w:t>
            </w:r>
          </w:p>
        </w:tc>
      </w:tr>
      <w:tr>
        <w:trPr>
          <w:trHeight w:val="223"/>
        </w:trPr>
        <w:tc>
          <w:tcPr>
            <w:tcW w:w="3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324,000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3.06</w:t>
            </w:r>
          </w:p>
        </w:tc>
        <w:tc>
          <w:tcPr>
            <w:tcW w:w="70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324,000</w:t>
            </w:r>
          </w:p>
        </w:tc>
        <w:tc>
          <w:tcPr>
            <w:tcW w:w="6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1,919,239</w:t>
            </w:r>
          </w:p>
        </w:tc>
        <w:tc>
          <w:tcPr>
            <w:tcW w:w="7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20" w:right="3020" w:hanging="5612"/>
        <w:spacing w:after="0" w:line="496"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weighted average price paid per share of common stock does not include the cost of broker commissions.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May 29, 2008, the Company held its Annual Meeting of Shareholders. At the Annual Meeting, the shareholders of the Company elected the following persons as Class II directors to serve until the Annual Meeting of Shareholders in 2011 and until such time as their respective successors are duly elected and qualified, with the number of votes cast for, or withheld as set forth opposite their names.</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Votes</w:t>
            </w:r>
          </w:p>
        </w:tc>
      </w:tr>
      <w:tr>
        <w:trPr>
          <w:trHeight w:val="123"/>
        </w:trPr>
        <w:tc>
          <w:tcPr>
            <w:tcW w:w="4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20" w:type="dxa"/>
            <w:vAlign w:val="bottom"/>
          </w:tcPr>
          <w:p>
            <w:pPr>
              <w:jc w:val="center"/>
              <w:spacing w:after="0" w:line="123" w:lineRule="exact"/>
              <w:rPr>
                <w:sz w:val="20"/>
                <w:szCs w:val="20"/>
                <w:color w:val="auto"/>
              </w:rPr>
            </w:pPr>
            <w:r>
              <w:rPr>
                <w:rFonts w:ascii="Arial" w:cs="Arial" w:eastAsia="Arial" w:hAnsi="Arial"/>
                <w:sz w:val="14"/>
                <w:szCs w:val="14"/>
                <w:color w:val="auto"/>
                <w:w w:val="95"/>
              </w:rPr>
              <w:t>Withheld</w:t>
            </w:r>
          </w:p>
        </w:tc>
      </w:tr>
      <w:tr>
        <w:trPr>
          <w:trHeight w:val="167"/>
        </w:trPr>
        <w:tc>
          <w:tcPr>
            <w:tcW w:w="4960" w:type="dxa"/>
            <w:vAlign w:val="bottom"/>
            <w:tcBorders>
              <w:bottom w:val="single" w:sz="8" w:color="auto"/>
            </w:tcBorders>
          </w:tcPr>
          <w:p>
            <w:pPr>
              <w:ind w:left="2220"/>
              <w:spacing w:after="0"/>
              <w:rPr>
                <w:sz w:val="20"/>
                <w:szCs w:val="20"/>
                <w:color w:val="auto"/>
              </w:rPr>
            </w:pPr>
            <w:r>
              <w:rPr>
                <w:rFonts w:ascii="Arial" w:cs="Arial" w:eastAsia="Arial" w:hAnsi="Arial"/>
                <w:sz w:val="14"/>
                <w:szCs w:val="14"/>
                <w:color w:val="auto"/>
              </w:rPr>
              <w:t>Nominee</w:t>
            </w:r>
          </w:p>
        </w:tc>
        <w:tc>
          <w:tcPr>
            <w:tcW w:w="3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32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Authority/Abstained</w:t>
            </w: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 McLaren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18,772,817</w:t>
            </w:r>
          </w:p>
        </w:tc>
        <w:tc>
          <w:tcPr>
            <w:tcW w:w="2040" w:type="dxa"/>
            <w:vAlign w:val="bottom"/>
            <w:gridSpan w:val="2"/>
            <w:shd w:val="clear" w:color="auto" w:fill="CCEEFF"/>
          </w:tcPr>
          <w:p>
            <w:pPr>
              <w:jc w:val="center"/>
              <w:ind w:left="234"/>
              <w:spacing w:after="0"/>
              <w:rPr>
                <w:sz w:val="20"/>
                <w:szCs w:val="20"/>
                <w:color w:val="auto"/>
              </w:rPr>
            </w:pPr>
            <w:r>
              <w:rPr>
                <w:rFonts w:ascii="Arial" w:cs="Arial" w:eastAsia="Arial" w:hAnsi="Arial"/>
                <w:sz w:val="18"/>
                <w:szCs w:val="18"/>
                <w:color w:val="auto"/>
                <w:w w:val="89"/>
              </w:rPr>
              <w:t>2,015,374</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Linda Rebrovick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18,772,717</w:t>
            </w:r>
          </w:p>
        </w:tc>
        <w:tc>
          <w:tcPr>
            <w:tcW w:w="204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2,015,474</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Shmerling</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18,772,417</w:t>
            </w:r>
          </w:p>
        </w:tc>
        <w:tc>
          <w:tcPr>
            <w:tcW w:w="2040" w:type="dxa"/>
            <w:vAlign w:val="bottom"/>
            <w:gridSpan w:val="2"/>
            <w:shd w:val="clear" w:color="auto" w:fill="CCEEFF"/>
          </w:tcPr>
          <w:p>
            <w:pPr>
              <w:jc w:val="center"/>
              <w:ind w:left="234"/>
              <w:spacing w:after="0"/>
              <w:rPr>
                <w:sz w:val="20"/>
                <w:szCs w:val="20"/>
                <w:color w:val="auto"/>
              </w:rPr>
            </w:pPr>
            <w:r>
              <w:rPr>
                <w:rFonts w:ascii="Arial" w:cs="Arial" w:eastAsia="Arial" w:hAnsi="Arial"/>
                <w:sz w:val="18"/>
                <w:szCs w:val="18"/>
                <w:color w:val="auto"/>
                <w:w w:val="89"/>
              </w:rPr>
              <w:t>2,015,774</w:t>
            </w: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shareholders of the Company ratified the appointment of Ernst and Young LLP to serve as the Company’s independent registered public accounting firm for the fiscal year ending December 31, 2008, with the number of votes cast for, against, or withheld as set forth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Votes</w:t>
      </w:r>
    </w:p>
    <w:p>
      <w:pPr>
        <w:spacing w:after="0" w:line="6" w:lineRule="exact"/>
        <w:rPr>
          <w:sz w:val="20"/>
          <w:szCs w:val="20"/>
          <w:color w:val="auto"/>
        </w:rPr>
      </w:pPr>
    </w:p>
    <w:tbl>
      <w:tblPr>
        <w:tblLayout w:type="fixed"/>
        <w:tblInd w:w="1440" w:type="dxa"/>
        <w:tblCellMar>
          <w:top w:w="0" w:type="dxa"/>
          <w:left w:w="0" w:type="dxa"/>
          <w:bottom w:w="0" w:type="dxa"/>
          <w:right w:w="0" w:type="dxa"/>
        </w:tblCellMar>
      </w:tblPr>
      <w:tr>
        <w:trPr>
          <w:trHeight w:val="123"/>
        </w:trPr>
        <w:tc>
          <w:tcPr>
            <w:tcW w:w="30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Withheld</w:t>
            </w:r>
          </w:p>
        </w:tc>
      </w:tr>
      <w:tr>
        <w:trPr>
          <w:trHeight w:val="167"/>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44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Against</w:t>
            </w:r>
          </w:p>
        </w:tc>
        <w:tc>
          <w:tcPr>
            <w:tcW w:w="44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Authority/Abstained</w:t>
            </w:r>
          </w:p>
        </w:tc>
      </w:tr>
      <w:tr>
        <w:trPr>
          <w:trHeight w:val="210"/>
        </w:trPr>
        <w:tc>
          <w:tcPr>
            <w:tcW w:w="308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rPr>
              <w:t>20,743,500</w:t>
            </w:r>
          </w:p>
        </w:tc>
        <w:tc>
          <w:tcPr>
            <w:tcW w:w="274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32,625</w:t>
            </w:r>
          </w:p>
        </w:tc>
        <w:tc>
          <w:tcPr>
            <w:tcW w:w="272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0"/>
              </w:rPr>
              <w:t>12,066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jc w:val="right"/>
              <w:ind w:right="130"/>
              <w:spacing w:after="0"/>
              <w:rPr>
                <w:sz w:val="20"/>
                <w:szCs w:val="20"/>
                <w:color w:val="auto"/>
              </w:rPr>
            </w:pPr>
            <w:r>
              <w:rPr>
                <w:rFonts w:ascii="Arial" w:cs="Arial" w:eastAsia="Arial" w:hAnsi="Arial"/>
                <w:sz w:val="18"/>
                <w:szCs w:val="18"/>
                <w:color w:val="auto"/>
              </w:rPr>
              <w:t>31.1</w:t>
            </w:r>
          </w:p>
        </w:tc>
        <w:tc>
          <w:tcPr>
            <w:tcW w:w="680" w:type="dxa"/>
            <w:vAlign w:val="bottom"/>
          </w:tcPr>
          <w:p>
            <w:pPr>
              <w:ind w:left="22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432"/>
        </w:trPr>
        <w:tc>
          <w:tcPr>
            <w:tcW w:w="1040" w:type="dxa"/>
            <w:vAlign w:val="bottom"/>
          </w:tcPr>
          <w:p>
            <w:pPr>
              <w:jc w:val="right"/>
              <w:ind w:right="130"/>
              <w:spacing w:after="0"/>
              <w:rPr>
                <w:sz w:val="20"/>
                <w:szCs w:val="20"/>
                <w:color w:val="auto"/>
              </w:rPr>
            </w:pPr>
            <w:r>
              <w:rPr>
                <w:rFonts w:ascii="Arial" w:cs="Arial" w:eastAsia="Arial" w:hAnsi="Arial"/>
                <w:sz w:val="18"/>
                <w:szCs w:val="18"/>
                <w:color w:val="auto"/>
              </w:rPr>
              <w:t>31.2</w:t>
            </w:r>
          </w:p>
        </w:tc>
        <w:tc>
          <w:tcPr>
            <w:tcW w:w="680" w:type="dxa"/>
            <w:vAlign w:val="bottom"/>
          </w:tcPr>
          <w:p>
            <w:pPr>
              <w:ind w:left="22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432"/>
        </w:trPr>
        <w:tc>
          <w:tcPr>
            <w:tcW w:w="1040" w:type="dxa"/>
            <w:vAlign w:val="bottom"/>
          </w:tcPr>
          <w:p>
            <w:pPr>
              <w:jc w:val="right"/>
              <w:ind w:right="130"/>
              <w:spacing w:after="0"/>
              <w:rPr>
                <w:sz w:val="20"/>
                <w:szCs w:val="20"/>
                <w:color w:val="auto"/>
              </w:rPr>
            </w:pPr>
            <w:r>
              <w:rPr>
                <w:rFonts w:ascii="Arial" w:cs="Arial" w:eastAsia="Arial" w:hAnsi="Arial"/>
                <w:sz w:val="18"/>
                <w:szCs w:val="18"/>
                <w:color w:val="auto"/>
              </w:rPr>
              <w:t>32.1</w:t>
            </w:r>
          </w:p>
        </w:tc>
        <w:tc>
          <w:tcPr>
            <w:tcW w:w="680" w:type="dxa"/>
            <w:vAlign w:val="bottom"/>
          </w:tcPr>
          <w:p>
            <w:pPr>
              <w:ind w:left="22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w w:val="97"/>
              </w:rPr>
              <w:t>Certification Pursuant to 18 U.S.C. Section 1350, as Adopted Pursuant to Section 906 of the Sarbanes-Oxley Act of 2002</w:t>
            </w:r>
          </w:p>
        </w:tc>
      </w:tr>
      <w:tr>
        <w:trPr>
          <w:trHeight w:val="432"/>
        </w:trPr>
        <w:tc>
          <w:tcPr>
            <w:tcW w:w="1040" w:type="dxa"/>
            <w:vAlign w:val="bottom"/>
          </w:tcPr>
          <w:p>
            <w:pPr>
              <w:jc w:val="right"/>
              <w:ind w:right="130"/>
              <w:spacing w:after="0"/>
              <w:rPr>
                <w:sz w:val="20"/>
                <w:szCs w:val="20"/>
                <w:color w:val="auto"/>
              </w:rPr>
            </w:pPr>
            <w:r>
              <w:rPr>
                <w:rFonts w:ascii="Arial" w:cs="Arial" w:eastAsia="Arial" w:hAnsi="Arial"/>
                <w:sz w:val="18"/>
                <w:szCs w:val="18"/>
                <w:color w:val="auto"/>
              </w:rPr>
              <w:t>32.2</w:t>
            </w:r>
          </w:p>
        </w:tc>
        <w:tc>
          <w:tcPr>
            <w:tcW w:w="680" w:type="dxa"/>
            <w:vAlign w:val="bottom"/>
          </w:tcPr>
          <w:p>
            <w:pPr>
              <w:ind w:left="220"/>
              <w:spacing w:after="0"/>
              <w:rPr>
                <w:sz w:val="20"/>
                <w:szCs w:val="20"/>
                <w:color w:val="auto"/>
              </w:rPr>
            </w:pPr>
            <w:r>
              <w:rPr>
                <w:rFonts w:ascii="Arial" w:cs="Arial" w:eastAsia="Arial" w:hAnsi="Arial"/>
                <w:sz w:val="18"/>
                <w:szCs w:val="18"/>
                <w:color w:val="auto"/>
              </w:rPr>
              <w:t>—</w:t>
            </w:r>
          </w:p>
        </w:tc>
        <w:tc>
          <w:tcPr>
            <w:tcW w:w="9700" w:type="dxa"/>
            <w:vAlign w:val="bottom"/>
          </w:tcPr>
          <w:p>
            <w:pPr>
              <w:ind w:left="300"/>
              <w:spacing w:after="0"/>
              <w:rPr>
                <w:sz w:val="20"/>
                <w:szCs w:val="20"/>
                <w:color w:val="auto"/>
              </w:rPr>
            </w:pPr>
            <w:r>
              <w:rPr>
                <w:rFonts w:ascii="Arial" w:cs="Arial" w:eastAsia="Arial" w:hAnsi="Arial"/>
                <w:sz w:val="18"/>
                <w:szCs w:val="18"/>
                <w:color w:val="auto"/>
                <w:w w:val="97"/>
              </w:rPr>
              <w:t>Certification Pursuant to 18 U.S.C. Section 1350, as Adopted Pursuant to Section 906 of the Sarbanes-Oxley Act of 2002</w:t>
            </w:r>
          </w:p>
        </w:tc>
      </w:tr>
      <w:tr>
        <w:trPr>
          <w:trHeight w:val="405"/>
        </w:trPr>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Pr>
          <w:p>
            <w:pPr>
              <w:ind w:left="3900"/>
              <w:spacing w:after="0"/>
              <w:rPr>
                <w:sz w:val="20"/>
                <w:szCs w:val="20"/>
                <w:color w:val="auto"/>
              </w:rPr>
            </w:pPr>
            <w:r>
              <w:rPr>
                <w:rFonts w:ascii="Arial" w:cs="Arial" w:eastAsia="Arial" w:hAnsi="Arial"/>
                <w:sz w:val="18"/>
                <w:szCs w:val="18"/>
                <w:color w:val="auto"/>
              </w:rPr>
              <w:t>19</w:t>
            </w:r>
          </w:p>
        </w:tc>
      </w:tr>
      <w:tr>
        <w:trPr>
          <w:trHeight w:val="226"/>
        </w:trPr>
        <w:tc>
          <w:tcPr>
            <w:tcW w:w="10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9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6500" w:type="dxa"/>
            <w:vAlign w:val="bottom"/>
            <w:gridSpan w:val="2"/>
          </w:tcPr>
          <w:p>
            <w:pPr>
              <w:ind w:left="2120"/>
              <w:spacing w:after="0"/>
              <w:rPr>
                <w:sz w:val="20"/>
                <w:szCs w:val="20"/>
                <w:color w:val="auto"/>
              </w:rPr>
            </w:pPr>
            <w:r>
              <w:rPr>
                <w:rFonts w:ascii="Arial" w:cs="Arial" w:eastAsia="Arial" w:hAnsi="Arial"/>
                <w:sz w:val="18"/>
                <w:szCs w:val="18"/>
                <w:color w:val="auto"/>
              </w:rPr>
              <w:t>HEALTHSTREAM, INC.</w:t>
            </w:r>
          </w:p>
        </w:tc>
        <w:tc>
          <w:tcPr>
            <w:tcW w:w="1680" w:type="dxa"/>
            <w:vAlign w:val="bottom"/>
          </w:tcPr>
          <w:p>
            <w:pPr>
              <w:spacing w:after="0"/>
              <w:rPr>
                <w:sz w:val="20"/>
                <w:szCs w:val="20"/>
                <w:color w:val="auto"/>
              </w:rPr>
            </w:pPr>
          </w:p>
        </w:tc>
      </w:tr>
      <w:tr>
        <w:trPr>
          <w:trHeight w:val="432"/>
        </w:trPr>
        <w:tc>
          <w:tcPr>
            <w:tcW w:w="3240" w:type="dxa"/>
            <w:vAlign w:val="bottom"/>
          </w:tcPr>
          <w:p>
            <w:pPr>
              <w:spacing w:after="0"/>
              <w:rPr>
                <w:sz w:val="24"/>
                <w:szCs w:val="24"/>
                <w:color w:val="auto"/>
              </w:rPr>
            </w:pPr>
          </w:p>
        </w:tc>
        <w:tc>
          <w:tcPr>
            <w:tcW w:w="6500" w:type="dxa"/>
            <w:vAlign w:val="bottom"/>
            <w:gridSpan w:val="2"/>
          </w:tcPr>
          <w:p>
            <w:pPr>
              <w:ind w:left="2120"/>
              <w:spacing w:after="0"/>
              <w:rPr>
                <w:sz w:val="20"/>
                <w:szCs w:val="20"/>
                <w:color w:val="auto"/>
              </w:rPr>
            </w:pPr>
            <w:r>
              <w:rPr>
                <w:rFonts w:ascii="Arial" w:cs="Arial" w:eastAsia="Arial" w:hAnsi="Arial"/>
                <w:sz w:val="18"/>
                <w:szCs w:val="18"/>
                <w:color w:val="auto"/>
              </w:rPr>
              <w:t>By: /s/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1680" w:type="dxa"/>
            <w:vAlign w:val="bottom"/>
          </w:tcPr>
          <w:p>
            <w:pPr>
              <w:spacing w:after="0"/>
              <w:rPr>
                <w:sz w:val="24"/>
                <w:szCs w:val="24"/>
                <w:color w:val="auto"/>
              </w:rPr>
            </w:pPr>
          </w:p>
        </w:tc>
      </w:tr>
      <w:tr>
        <w:trPr>
          <w:trHeight w:val="195"/>
        </w:trPr>
        <w:tc>
          <w:tcPr>
            <w:tcW w:w="3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M. Hayden, Jr.</w:t>
            </w:r>
          </w:p>
        </w:tc>
        <w:tc>
          <w:tcPr>
            <w:tcW w:w="1680" w:type="dxa"/>
            <w:vAlign w:val="bottom"/>
          </w:tcPr>
          <w:p>
            <w:pPr>
              <w:spacing w:after="0"/>
              <w:rPr>
                <w:sz w:val="16"/>
                <w:szCs w:val="16"/>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August 8, 2008</w:t>
            </w:r>
          </w:p>
        </w:tc>
        <w:tc>
          <w:tcPr>
            <w:tcW w:w="2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r>
      <w:tr>
        <w:trPr>
          <w:trHeight w:val="405"/>
        </w:trPr>
        <w:tc>
          <w:tcPr>
            <w:tcW w:w="3240" w:type="dxa"/>
            <w:vAlign w:val="bottom"/>
          </w:tcPr>
          <w:p>
            <w:pPr>
              <w:spacing w:after="0"/>
              <w:rPr>
                <w:sz w:val="24"/>
                <w:szCs w:val="24"/>
                <w:color w:val="auto"/>
              </w:rPr>
            </w:pPr>
          </w:p>
        </w:tc>
        <w:tc>
          <w:tcPr>
            <w:tcW w:w="6500" w:type="dxa"/>
            <w:vAlign w:val="bottom"/>
            <w:gridSpan w:val="2"/>
          </w:tcPr>
          <w:p>
            <w:pPr>
              <w:jc w:val="right"/>
              <w:ind w:right="3850"/>
              <w:spacing w:after="0"/>
              <w:rPr>
                <w:sz w:val="20"/>
                <w:szCs w:val="20"/>
                <w:color w:val="auto"/>
              </w:rPr>
            </w:pPr>
            <w:r>
              <w:rPr>
                <w:rFonts w:ascii="Arial" w:cs="Arial" w:eastAsia="Arial" w:hAnsi="Arial"/>
                <w:sz w:val="18"/>
                <w:szCs w:val="18"/>
                <w:color w:val="auto"/>
              </w:rPr>
              <w:t>20</w:t>
            </w:r>
          </w:p>
        </w:tc>
        <w:tc>
          <w:tcPr>
            <w:tcW w:w="1680" w:type="dxa"/>
            <w:vAlign w:val="bottom"/>
          </w:tcPr>
          <w:p>
            <w:pPr>
              <w:spacing w:after="0"/>
              <w:rPr>
                <w:sz w:val="24"/>
                <w:szCs w:val="24"/>
                <w:color w:val="auto"/>
              </w:rPr>
            </w:pPr>
          </w:p>
        </w:tc>
      </w:tr>
      <w:tr>
        <w:trPr>
          <w:trHeight w:val="226"/>
        </w:trPr>
        <w:tc>
          <w:tcPr>
            <w:tcW w:w="32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HEALTHSTREAM, INC.</w:t>
            </w:r>
          </w:p>
        </w:tc>
      </w:tr>
      <w:tr>
        <w:trPr>
          <w:trHeight w:val="540"/>
        </w:trPr>
        <w:tc>
          <w:tcPr>
            <w:tcW w:w="76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31.1</w:t>
            </w:r>
          </w:p>
        </w:tc>
        <w:tc>
          <w:tcPr>
            <w:tcW w:w="9180" w:type="dxa"/>
            <w:vAlign w:val="bottom"/>
          </w:tcPr>
          <w:p>
            <w:pPr>
              <w:ind w:left="44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31.2</w:t>
            </w:r>
          </w:p>
        </w:tc>
        <w:tc>
          <w:tcPr>
            <w:tcW w:w="9180" w:type="dxa"/>
            <w:vAlign w:val="bottom"/>
          </w:tcPr>
          <w:p>
            <w:pPr>
              <w:ind w:left="44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32.1</w:t>
            </w:r>
          </w:p>
        </w:tc>
        <w:tc>
          <w:tcPr>
            <w:tcW w:w="9180" w:type="dxa"/>
            <w:vAlign w:val="bottom"/>
          </w:tcPr>
          <w:p>
            <w:pPr>
              <w:ind w:left="4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32.2</w:t>
            </w:r>
          </w:p>
        </w:tc>
        <w:tc>
          <w:tcPr>
            <w:tcW w:w="9180" w:type="dxa"/>
            <w:vAlign w:val="bottom"/>
          </w:tcPr>
          <w:p>
            <w:pPr>
              <w:ind w:left="4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05"/>
        </w:trPr>
        <w:tc>
          <w:tcPr>
            <w:tcW w:w="76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Arial" w:cs="Arial" w:eastAsia="Arial" w:hAnsi="Arial"/>
                <w:sz w:val="18"/>
                <w:szCs w:val="18"/>
                <w:color w:val="auto"/>
                <w:w w:val="89"/>
              </w:rPr>
              <w:t>21</w:t>
            </w:r>
          </w:p>
        </w:tc>
      </w:tr>
    </w:tbl>
    <w:p>
      <w:pPr>
        <w:sectPr>
          <w:pgSz w:w="11900" w:h="16838" w:orient="portrait"/>
          <w:cols w:equalWidth="0" w:num="1">
            <w:col w:w="10280"/>
          </w:cols>
          <w:pgMar w:left="240" w:top="419" w:right="13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00" w:firstLine="8"/>
        <w:spacing w:after="0" w:line="264"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60" w:firstLine="8"/>
        <w:spacing w:after="0" w:line="264"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8"/>
        <w:spacing w:after="0" w:line="277"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firstLine="8"/>
        <w:spacing w:after="0" w:line="264"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20" w:firstLine="8"/>
        <w:spacing w:after="0" w:line="308"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80" w:firstLine="8"/>
        <w:spacing w:after="0" w:line="277" w:lineRule="auto"/>
        <w:tabs>
          <w:tab w:leader="none" w:pos="1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Date: August 8, 2008</w:t>
            </w:r>
          </w:p>
        </w:tc>
        <w:tc>
          <w:tcPr>
            <w:tcW w:w="4220" w:type="dxa"/>
            <w:vAlign w:val="bottom"/>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00"/>
          </w:cols>
          <w:pgMar w:left="240" w:top="125"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00" w:firstLine="8"/>
        <w:spacing w:after="0" w:line="264" w:lineRule="auto"/>
        <w:tabs>
          <w:tab w:leader="none" w:pos="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60" w:firstLine="8"/>
        <w:spacing w:after="0" w:line="264" w:lineRule="auto"/>
        <w:tabs>
          <w:tab w:leader="none" w:pos="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8"/>
        <w:spacing w:after="0" w:line="277" w:lineRule="auto"/>
        <w:tabs>
          <w:tab w:leader="none" w:pos="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firstLine="8"/>
        <w:spacing w:after="0" w:line="264" w:lineRule="auto"/>
        <w:tabs>
          <w:tab w:leader="none" w:pos="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2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80" w:firstLine="8"/>
        <w:spacing w:after="0" w:line="277"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Date: August 8, 2008</w:t>
            </w:r>
          </w:p>
        </w:tc>
        <w:tc>
          <w:tcPr>
            <w:tcW w:w="4220" w:type="dxa"/>
            <w:vAlign w:val="bottom"/>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00"/>
          </w:cols>
          <w:pgMar w:left="240" w:top="665" w:right="259" w:bottom="1440" w:gutter="0" w:footer="0" w:header="0"/>
        </w:sectPr>
      </w:pPr>
    </w:p>
    <w:bookmarkStart w:id="26" w:name="page27"/>
    <w:bookmarkEnd w:id="26"/>
    <w:p>
      <w:pPr>
        <w:ind w:left="5260"/>
        <w:spacing w:after="0"/>
        <w:rPr>
          <w:sz w:val="20"/>
          <w:szCs w:val="20"/>
          <w:color w:val="auto"/>
        </w:rPr>
      </w:pPr>
      <w:r>
        <w:rPr>
          <w:rFonts w:ascii="Arial" w:cs="Arial" w:eastAsia="Arial" w:hAnsi="Arial"/>
          <w:sz w:val="18"/>
          <w:szCs w:val="18"/>
          <w:u w:val="single" w:color="auto"/>
          <w:color w:val="auto"/>
        </w:rPr>
        <w:t>Exhibit 32.1</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2008,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26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6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2008</w:t>
      </w:r>
    </w:p>
    <w:p>
      <w:pPr>
        <w:sectPr>
          <w:pgSz w:w="11900" w:h="16838" w:orient="portrait"/>
          <w:cols w:equalWidth="0" w:num="1">
            <w:col w:w="11340"/>
          </w:cols>
          <w:pgMar w:left="240" w:top="665" w:right="319" w:bottom="1440" w:gutter="0" w:footer="0" w:header="0"/>
        </w:sectPr>
      </w:pPr>
    </w:p>
    <w:bookmarkStart w:id="27" w:name="page28"/>
    <w:bookmarkEnd w:id="27"/>
    <w:p>
      <w:pPr>
        <w:ind w:left="5260"/>
        <w:spacing w:after="0"/>
        <w:rPr>
          <w:sz w:val="20"/>
          <w:szCs w:val="20"/>
          <w:color w:val="auto"/>
        </w:rPr>
      </w:pPr>
      <w:r>
        <w:rPr>
          <w:rFonts w:ascii="Arial" w:cs="Arial" w:eastAsia="Arial" w:hAnsi="Arial"/>
          <w:sz w:val="18"/>
          <w:szCs w:val="18"/>
          <w:u w:val="single" w:color="auto"/>
          <w:color w:val="auto"/>
        </w:rPr>
        <w:t>Exhibit 32.2</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2008,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22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2008</w:t>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emdash "/>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2019-12-15T00:49:58Z</dcterms:created>
  <dcterms:modified xsi:type="dcterms:W3CDTF">2019-12-15T00:49:58Z</dcterms:modified>
</cp:coreProperties>
</file>