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460" w:space="720"/>
            <w:col w:w="1420" w:space="720"/>
            <w:col w:w="3340" w:space="440"/>
            <w:col w:w="232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April 29, 2011, 21,935,535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640" w:type="dxa"/>
            <w:vAlign w:val="bottom"/>
            <w:gridSpan w:val="1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640" w:type="dxa"/>
            <w:vAlign w:val="bottom"/>
            <w:gridSpan w:val="15"/>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70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 March 31, 2011 (Unaudited) and December 31, 2010</w:t>
              </w:r>
            </w:hyperlink>
          </w:p>
        </w:tc>
        <w:tc>
          <w:tcPr>
            <w:tcW w:w="340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(Unaudited) — Three Months ended March 31, 2011 and 2010</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81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Shareholders’ Equity (Unaudited) — Three Months ended March 31, 2011</w:t>
              </w:r>
            </w:hyperlink>
          </w:p>
        </w:tc>
        <w:tc>
          <w:tcPr>
            <w:tcW w:w="224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82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(Unaudited) — Three Months ended March 31, 2011 and 2010</w:t>
              </w:r>
            </w:hyperlink>
          </w:p>
        </w:tc>
        <w:tc>
          <w:tcPr>
            <w:tcW w:w="2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42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15"/>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494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62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4. Controls and Procedures</w:t>
              </w:r>
            </w:hyperlink>
          </w:p>
        </w:tc>
        <w:tc>
          <w:tcPr>
            <w:tcW w:w="830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064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Part II.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2. Unregistered Sales of Equity Securities and Use of Proceeds</w:t>
              </w:r>
            </w:hyperlink>
          </w:p>
        </w:tc>
        <w:tc>
          <w:tcPr>
            <w:tcW w:w="57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0640" w:type="dxa"/>
            <w:vAlign w:val="bottom"/>
            <w:gridSpan w:val="1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6. Exhibits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2"/>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w:t>
              </w:r>
            </w:hyperlink>
          </w:p>
        </w:tc>
        <w:tc>
          <w:tcPr>
            <w:tcW w:w="948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2011</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14,220,351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17,867,860</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Investments in short-term marketable securities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8,261,843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5,703,192</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124,550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84,528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47,341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51,226</w:t>
            </w: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$126,686 and $156,723 at March 31, 2011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December 31, 2010,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13,046,474</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11,069,108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1,411,495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1,314,025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3,436,671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3,436,671</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2,403,826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3,145,297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1,687,470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1,598,874</w:t>
            </w:r>
          </w:p>
        </w:tc>
        <w:tc>
          <w:tcPr>
            <w:tcW w:w="0" w:type="dxa"/>
            <w:vAlign w:val="bottom"/>
          </w:tcPr>
          <w:p>
            <w:pPr>
              <w:spacing w:after="0"/>
              <w:rPr>
                <w:sz w:val="1"/>
                <w:szCs w:val="1"/>
                <w:color w:val="auto"/>
              </w:rPr>
            </w:pPr>
          </w:p>
        </w:tc>
      </w:tr>
      <w:tr>
        <w:trPr>
          <w:trHeight w:val="223"/>
        </w:trPr>
        <w:tc>
          <w:tcPr>
            <w:tcW w:w="870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44,640,021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44,270,781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14,424,732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14,347,683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3,289,512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2,737,715</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1,958,141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19,672,385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19,112,933</w:t>
            </w:r>
          </w:p>
        </w:tc>
        <w:tc>
          <w:tcPr>
            <w:tcW w:w="0" w:type="dxa"/>
            <w:vAlign w:val="bottom"/>
          </w:tcPr>
          <w:p>
            <w:pPr>
              <w:spacing w:after="0"/>
              <w:rPr>
                <w:sz w:val="1"/>
                <w:szCs w:val="1"/>
                <w:color w:val="auto"/>
              </w:rPr>
            </w:pPr>
          </w:p>
        </w:tc>
      </w:tr>
      <w:tr>
        <w:trPr>
          <w:trHeight w:val="223"/>
        </w:trPr>
        <w:tc>
          <w:tcPr>
            <w:tcW w:w="870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(15,447,703)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(15,287,579)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4,224,682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w w:val="98"/>
              </w:rPr>
              <w:t>Capitalized software development, net of accumulated amortization of $6,324,760 and $5,886,594 at March 31,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2011 and December 31, 2010,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7,980,887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4,332,705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$8,276,216 and $8,043,328 at March 31, 2011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20"/>
              <w:spacing w:after="0"/>
              <w:rPr>
                <w:sz w:val="20"/>
                <w:szCs w:val="20"/>
                <w:color w:val="auto"/>
              </w:rPr>
            </w:pPr>
            <w:r>
              <w:rPr>
                <w:rFonts w:ascii="Arial" w:cs="Arial" w:eastAsia="Arial" w:hAnsi="Arial"/>
                <w:sz w:val="18"/>
                <w:szCs w:val="18"/>
                <w:color w:val="auto"/>
              </w:rPr>
              <w:t>December 31, 2010,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2,610,926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2,843,814</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4,295,125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5,346,536</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191,022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85,089,527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82,010,703</w:t>
            </w:r>
          </w:p>
        </w:tc>
        <w:tc>
          <w:tcPr>
            <w:tcW w:w="0" w:type="dxa"/>
            <w:vAlign w:val="bottom"/>
          </w:tcPr>
          <w:p>
            <w:pPr>
              <w:spacing w:after="0"/>
              <w:rPr>
                <w:sz w:val="1"/>
                <w:szCs w:val="1"/>
                <w:color w:val="auto"/>
              </w:rPr>
            </w:pPr>
          </w:p>
        </w:tc>
      </w:tr>
      <w:tr>
        <w:trPr>
          <w:trHeight w:val="20"/>
        </w:trPr>
        <w:tc>
          <w:tcPr>
            <w:tcW w:w="8700" w:type="dxa"/>
            <w:vAlign w:val="bottom"/>
            <w:vMerge w:val="restart"/>
          </w:tcPr>
          <w:p>
            <w:pPr>
              <w:ind w:left="254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1,374,734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2,374,621</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3,631,848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4,120,786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796,532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1,506,245</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20,082,512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16,740,454</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25,888,379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24,746,468</w:t>
            </w: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492,572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473,897</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no par value, 75,000,000 shares authorized; 21,931,535 and 21,805,235 shares issued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at March 31, 2011 and December 31, 2010,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97,615,980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97,227,198</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(38,905,686)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(40,431,443)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(5,417)</w:t>
            </w:r>
          </w:p>
        </w:tc>
        <w:tc>
          <w:tcPr>
            <w:tcW w:w="0" w:type="dxa"/>
            <w:vAlign w:val="bottom"/>
          </w:tcPr>
          <w:p>
            <w:pPr>
              <w:spacing w:after="0"/>
              <w:rPr>
                <w:sz w:val="1"/>
                <w:szCs w:val="1"/>
                <w:color w:val="auto"/>
              </w:rPr>
            </w:pPr>
          </w:p>
        </w:tc>
      </w:tr>
      <w:tr>
        <w:trPr>
          <w:trHeight w:val="230"/>
        </w:trPr>
        <w:tc>
          <w:tcPr>
            <w:tcW w:w="8700" w:type="dxa"/>
            <w:vAlign w:val="bottom"/>
          </w:tcPr>
          <w:p>
            <w:pPr>
              <w:ind w:left="6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58,708,576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56,790,338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85,089,527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82,010,703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18,505,735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14,837,252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7,069,788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5,461,982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1,786,248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1,526,165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3,507,644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2,960,868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2,542,171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2,085,872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1,042,874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1,390,342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15,948,725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13,425,229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2,557,010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1,412,023</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2,577,168</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1,403,523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1,051,411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596,659</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1,525,757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21,837,334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21,675,763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22,969,406</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22,130,145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2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rPr>
              <w:t>Common Stock</w:t>
            </w:r>
          </w:p>
        </w:tc>
        <w:tc>
          <w:tcPr>
            <w:tcW w:w="15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Accumulated</w:t>
            </w: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Accumulated Other</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920" w:type="dxa"/>
            <w:vAlign w:val="bottom"/>
            <w:gridSpan w:val="5"/>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540" w:type="dxa"/>
            <w:vAlign w:val="bottom"/>
            <w:gridSpan w:val="2"/>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spacing w:after="0"/>
              <w:rPr>
                <w:sz w:val="14"/>
                <w:szCs w:val="14"/>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Deficit</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Income (Loss)</w:t>
            </w:r>
          </w:p>
        </w:tc>
        <w:tc>
          <w:tcPr>
            <w:tcW w:w="5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21,805,235</w:t>
            </w:r>
          </w:p>
        </w:tc>
        <w:tc>
          <w:tcPr>
            <w:tcW w:w="5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$97,227,198</w:t>
            </w: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 (40,431,443)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$56,790,338</w:t>
            </w:r>
          </w:p>
        </w:tc>
        <w:tc>
          <w:tcPr>
            <w:tcW w:w="0" w:type="dxa"/>
            <w:vAlign w:val="bottom"/>
          </w:tcPr>
          <w:p>
            <w:pPr>
              <w:spacing w:after="0"/>
              <w:rPr>
                <w:sz w:val="1"/>
                <w:szCs w:val="1"/>
                <w:color w:val="auto"/>
              </w:rPr>
            </w:pP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20" w:type="dxa"/>
            <w:vAlign w:val="bottom"/>
          </w:tcPr>
          <w:p>
            <w:pPr>
              <w:spacing w:after="0"/>
              <w:rPr>
                <w:sz w:val="24"/>
                <w:szCs w:val="24"/>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1,525,757</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1,525,757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Unrealized gain on investments in marketable</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142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3,699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color w:val="auto"/>
                <w:w w:val="94"/>
              </w:rPr>
              <w:t>Stock based compensation expense</w:t>
            </w:r>
          </w:p>
        </w:tc>
        <w:tc>
          <w:tcPr>
            <w:tcW w:w="1420" w:type="dxa"/>
            <w:vAlign w:val="bottom"/>
          </w:tcPr>
          <w:p>
            <w:pPr>
              <w:spacing w:after="0"/>
              <w:rPr>
                <w:sz w:val="24"/>
                <w:szCs w:val="24"/>
                <w:color w:val="auto"/>
              </w:rPr>
            </w:pPr>
          </w:p>
        </w:tc>
        <w:tc>
          <w:tcPr>
            <w:tcW w:w="14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189,794</w:t>
            </w:r>
          </w:p>
        </w:tc>
        <w:tc>
          <w:tcPr>
            <w:tcW w:w="15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189,794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4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198,988</w:t>
            </w:r>
          </w:p>
        </w:tc>
        <w:tc>
          <w:tcPr>
            <w:tcW w:w="5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740" w:type="dxa"/>
            <w:vAlign w:val="bottom"/>
            <w:gridSpan w:val="2"/>
          </w:tcPr>
          <w:p>
            <w:pPr>
              <w:spacing w:after="0"/>
              <w:rPr>
                <w:sz w:val="20"/>
                <w:szCs w:val="20"/>
                <w:color w:val="auto"/>
              </w:rPr>
            </w:pPr>
            <w:r>
              <w:rPr>
                <w:rFonts w:ascii="Arial" w:cs="Arial" w:eastAsia="Arial" w:hAnsi="Arial"/>
                <w:sz w:val="18"/>
                <w:szCs w:val="18"/>
                <w:color w:val="auto"/>
              </w:rPr>
              <w:t>Balance at March 31, 2011</w:t>
            </w:r>
          </w:p>
        </w:tc>
        <w:tc>
          <w:tcPr>
            <w:tcW w:w="14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21,931,535</w:t>
            </w: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97,615,980</w:t>
            </w:r>
          </w:p>
        </w:tc>
        <w:tc>
          <w:tcPr>
            <w:tcW w:w="540" w:type="dxa"/>
            <w:vAlign w:val="bottom"/>
          </w:tcPr>
          <w:p>
            <w:pPr>
              <w:spacing w:after="0"/>
              <w:rPr>
                <w:sz w:val="24"/>
                <w:szCs w:val="24"/>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 (38,905,686)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(1,718)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58,708,576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80" w:type="dxa"/>
            <w:vAlign w:val="bottom"/>
            <w:gridSpan w:val="8"/>
          </w:tcPr>
          <w:p>
            <w:pPr>
              <w:jc w:val="right"/>
              <w:ind w:right="140"/>
              <w:spacing w:after="0"/>
              <w:rPr>
                <w:sz w:val="20"/>
                <w:szCs w:val="20"/>
                <w:color w:val="auto"/>
              </w:rPr>
            </w:pPr>
            <w:r>
              <w:rPr>
                <w:rFonts w:ascii="Arial" w:cs="Arial" w:eastAsia="Arial" w:hAnsi="Arial"/>
                <w:sz w:val="18"/>
                <w:szCs w:val="18"/>
                <w:color w:val="auto"/>
                <w:w w:val="92"/>
              </w:rPr>
              <w:t>See accompanying notes to the condensed consolidated financial statements.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692"/>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1,525,757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1,042,874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1,390,342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189,794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1,051,411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(2,074,836)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(2,220,597)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741,471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(151,346)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91,381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(999,887)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(1,179,976)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(1,127,137)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3,342,058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2,559,507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3,542,564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1,348,053</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2,135,000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(4,727,704)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(4,086,348)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(708,400)</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(250,424)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(7,387,452)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(674,672)</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198,988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(183,792)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197,379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(3,647,509)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729,757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17,867,860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12,287,059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14,220,351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13,016,816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adjustments) considered necessary for a fair presentation have been included. All significant intercompany transactions have been eliminated in consolidation. Operating results for the three months ended March 31, 2011 are not necessarily indicative of the results that may be expected for the year ending December 31, 2011.</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2010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2010 (included in the Company’s Annual Report on Form 10-K, filed with the Securities and Exchange Commission on March 23,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During the three months ended March 31, 2011 and 2010, the Company recorded a provision for income taxes of $1,051,411 and $596,659, respectively. The Company’s effective tax rate for the three months ended March 31, 2011 and 2010 was 40.8% and 42.5%, respectively. The Company’s effective tax rate primarily reflects the statutory corporate income tax rate, the net effect of state taxes, and the effect of various immaterial permanent tax differences.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maintains two stock incentive plans. The Company accounts for its stock based compensation plans using the fair-value based method for costs related to share-based payments, including stock options. During the three months ended March 31, 2011, the Company granted 219,750 stock options with a weighted average grant date fair value of $3.51. During the three months ended March 31, 2010, the Company granted 214,000 stock options with a weighted average grant date fair value of $1.77. The fair value of stock based awards granted during the three months ended March 31, 2011 and 2010 was estimated using the Black Scholes option pricing model, with the assumptions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240" w:type="dxa"/>
            <w:vAlign w:val="bottom"/>
            <w:gridSpan w:val="4"/>
          </w:tcPr>
          <w:p>
            <w:pPr>
              <w:jc w:val="right"/>
              <w:ind w:right="60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9180" w:type="dxa"/>
            <w:vAlign w:val="bottom"/>
          </w:tcPr>
          <w:p>
            <w:pPr>
              <w:spacing w:after="0"/>
              <w:rPr>
                <w:sz w:val="15"/>
                <w:szCs w:val="15"/>
                <w:color w:val="auto"/>
              </w:rPr>
            </w:pPr>
          </w:p>
        </w:tc>
        <w:tc>
          <w:tcPr>
            <w:tcW w:w="680" w:type="dxa"/>
            <w:vAlign w:val="bottom"/>
            <w:vMerge w:val="restart"/>
          </w:tcPr>
          <w:p>
            <w:pPr>
              <w:jc w:val="right"/>
              <w:ind w:right="115"/>
              <w:spacing w:after="0"/>
              <w:rPr>
                <w:sz w:val="20"/>
                <w:szCs w:val="20"/>
                <w:color w:val="auto"/>
              </w:rPr>
            </w:pPr>
            <w:r>
              <w:rPr>
                <w:rFonts w:ascii="Arial" w:cs="Arial" w:eastAsia="Arial" w:hAnsi="Arial"/>
                <w:sz w:val="14"/>
                <w:szCs w:val="14"/>
                <w:color w:val="auto"/>
              </w:rPr>
              <w:t>2011</w:t>
            </w:r>
          </w:p>
        </w:tc>
        <w:tc>
          <w:tcPr>
            <w:tcW w:w="720" w:type="dxa"/>
            <w:vAlign w:val="bottom"/>
          </w:tcPr>
          <w:p>
            <w:pPr>
              <w:jc w:val="right"/>
              <w:spacing w:after="0"/>
              <w:rPr>
                <w:sz w:val="20"/>
                <w:szCs w:val="20"/>
                <w:color w:val="auto"/>
              </w:rPr>
            </w:pPr>
            <w:r>
              <w:rPr>
                <w:rFonts w:ascii="Arial" w:cs="Arial" w:eastAsia="Arial" w:hAnsi="Arial"/>
                <w:sz w:val="14"/>
                <w:szCs w:val="14"/>
                <w:color w:val="auto"/>
              </w:rPr>
              <w:t>March 31,</w:t>
            </w:r>
          </w:p>
        </w:tc>
        <w:tc>
          <w:tcPr>
            <w:tcW w:w="680" w:type="dxa"/>
            <w:vAlign w:val="bottom"/>
            <w:vMerge w:val="restart"/>
          </w:tcPr>
          <w:p>
            <w:pPr>
              <w:jc w:val="right"/>
              <w:ind w:right="113"/>
              <w:spacing w:after="0"/>
              <w:rPr>
                <w:sz w:val="20"/>
                <w:szCs w:val="20"/>
                <w:color w:val="auto"/>
              </w:rPr>
            </w:pPr>
            <w:r>
              <w:rPr>
                <w:rFonts w:ascii="Arial" w:cs="Arial" w:eastAsia="Arial" w:hAnsi="Arial"/>
                <w:sz w:val="14"/>
                <w:szCs w:val="14"/>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918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2.37%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140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5 years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400" w:type="dxa"/>
            <w:vAlign w:val="bottom"/>
            <w:gridSpan w:val="2"/>
          </w:tcPr>
          <w:p>
            <w:pPr>
              <w:jc w:val="right"/>
              <w:ind w:right="508"/>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2011 and 2010, which is recorded in the condensed consolidated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March 31,</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39,563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32,087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47,936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43,779</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4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189,794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162,779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260" w:type="dxa"/>
            <w:vAlign w:val="bottom"/>
            <w:vMerge w:val="restart"/>
          </w:tcPr>
          <w:p>
            <w:pPr>
              <w:jc w:val="right"/>
              <w:ind w:right="3390"/>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0.3 million and 0.7 million for the three months ended March 31, 2011 and 2010,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for the three months ended March 31, 2011 and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5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5"/>
                <w:szCs w:val="15"/>
                <w:color w:val="auto"/>
              </w:rPr>
            </w:pPr>
          </w:p>
        </w:tc>
        <w:tc>
          <w:tcPr>
            <w:tcW w:w="740" w:type="dxa"/>
            <w:vAlign w:val="bottom"/>
            <w:gridSpan w:val="2"/>
          </w:tcPr>
          <w:p>
            <w:pPr>
              <w:jc w:val="right"/>
              <w:ind w:right="65"/>
              <w:spacing w:after="0"/>
              <w:rPr>
                <w:sz w:val="20"/>
                <w:szCs w:val="20"/>
                <w:color w:val="auto"/>
              </w:rPr>
            </w:pPr>
            <w:r>
              <w:rPr>
                <w:rFonts w:ascii="Arial" w:cs="Arial" w:eastAsia="Arial" w:hAnsi="Arial"/>
                <w:sz w:val="14"/>
                <w:szCs w:val="14"/>
                <w:color w:val="auto"/>
                <w:w w:val="93"/>
              </w:rPr>
              <w:t>March 31,</w:t>
            </w: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1,525,757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806,864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21,837,334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21,675,763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Employee stock options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1,132,072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22,969,406</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22,130,145</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COLLABORATIVE ARRANGEMENT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23, 2010, the Company announced the formation of SimVentures, a collaborative arrangement between HealthStream and Laerdal Medical Corporation (Laerdal Medical). The Company will receive 50 percent of the profits or losses generated from the collaborative arrangement. A legal entity was not formed as part of the collaborative arrangement; therefore, the Company accounts for SimVentures as a collaborative arrangement in accordance with applicable accounting guidance. During the first quarter of 2011, the Company acquired fifty percent ownership in Laerdal Medical’s Advanced Video System (AVS) product for $3.5 million in cash. AVS is a product that enables users of advanced patient simulators to easily capture video, audio, data logs, and “patient” responses. The AVS product is now jointly owned through SimVentures. During the second quarter of 2011, SimVentures will launch SimStore™, one of the components of SimCenter™ that will offer healthcare providers an opportunity to sample and purchase simulation scenarios to use in their simulation training activities. During the three months ended March 31, 2011, the Company recorded approximately $112,000 of expenses related to the collaborative arrangement, which are primarily recorded in the product development and sales and marketing categories within the condensed consolidated statements of income. The Company also recorded approximately $3.8 million of capitalized software development for SimVentures during the first quarter of 2011, comprised of the $3.5 million paid for the AVS product and $284,000 associated with SimStore</w:t>
      </w:r>
      <w:r>
        <w:rPr>
          <w:rFonts w:ascii="Arial" w:cs="Arial" w:eastAsia="Arial" w:hAnsi="Arial"/>
          <w:sz w:val="13"/>
          <w:szCs w:val="13"/>
          <w:color w:val="auto"/>
        </w:rPr>
        <w:t>TM</w:t>
      </w:r>
      <w:r>
        <w:rPr>
          <w:rFonts w:ascii="Arial" w:cs="Arial" w:eastAsia="Arial" w:hAnsi="Arial"/>
          <w:sz w:val="16"/>
          <w:szCs w:val="16"/>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primarily provides services to healthcare organizations, and to a lesser extent, to pharmaceutical and medical device companies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 (continued)</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months ended March 31, 2011 and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8"/>
          </w:tcPr>
          <w:p>
            <w:pPr>
              <w:jc w:val="right"/>
              <w:ind w:right="7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ind w:right="35"/>
              <w:spacing w:after="0"/>
              <w:rPr>
                <w:sz w:val="20"/>
                <w:szCs w:val="20"/>
                <w:color w:val="auto"/>
              </w:rPr>
            </w:pPr>
            <w:r>
              <w:rPr>
                <w:rFonts w:ascii="Arial" w:cs="Arial" w:eastAsia="Arial" w:hAnsi="Arial"/>
                <w:sz w:val="14"/>
                <w:szCs w:val="14"/>
                <w:color w:val="auto"/>
              </w:rPr>
              <w:t>2011</w:t>
            </w:r>
          </w:p>
        </w:tc>
        <w:tc>
          <w:tcPr>
            <w:tcW w:w="200" w:type="dxa"/>
            <w:vAlign w:val="bottom"/>
          </w:tcPr>
          <w:p>
            <w:pPr>
              <w:spacing w:after="0"/>
              <w:rPr>
                <w:sz w:val="15"/>
                <w:szCs w:val="15"/>
                <w:color w:val="auto"/>
              </w:rPr>
            </w:pPr>
          </w:p>
        </w:tc>
        <w:tc>
          <w:tcPr>
            <w:tcW w:w="760" w:type="dxa"/>
            <w:vAlign w:val="bottom"/>
            <w:gridSpan w:val="4"/>
          </w:tcPr>
          <w:p>
            <w:pPr>
              <w:jc w:val="right"/>
              <w:ind w:right="50"/>
              <w:spacing w:after="0"/>
              <w:rPr>
                <w:sz w:val="20"/>
                <w:szCs w:val="20"/>
                <w:color w:val="auto"/>
              </w:rPr>
            </w:pPr>
            <w:r>
              <w:rPr>
                <w:rFonts w:ascii="Arial" w:cs="Arial" w:eastAsia="Arial" w:hAnsi="Arial"/>
                <w:sz w:val="14"/>
                <w:szCs w:val="14"/>
                <w:color w:val="auto"/>
                <w:w w:val="96"/>
              </w:rPr>
              <w:t>March 31,</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HealthStream Learning</w:t>
            </w:r>
          </w:p>
        </w:tc>
        <w:tc>
          <w:tcPr>
            <w:tcW w:w="4440" w:type="dxa"/>
            <w:vAlign w:val="bottom"/>
            <w:gridSpan w:val="6"/>
          </w:tcPr>
          <w:p>
            <w:pPr>
              <w:jc w:val="right"/>
              <w:ind w:right="188"/>
              <w:spacing w:after="0"/>
              <w:rPr>
                <w:sz w:val="20"/>
                <w:szCs w:val="20"/>
                <w:color w:val="auto"/>
              </w:rPr>
            </w:pPr>
            <w:r>
              <w:rPr>
                <w:rFonts w:ascii="Arial" w:cs="Arial" w:eastAsia="Arial" w:hAnsi="Arial"/>
                <w:sz w:val="18"/>
                <w:szCs w:val="18"/>
                <w:color w:val="auto"/>
              </w:rPr>
              <w:t>$12,986,948</w:t>
            </w:r>
          </w:p>
        </w:tc>
        <w:tc>
          <w:tcPr>
            <w:tcW w:w="1420" w:type="dxa"/>
            <w:vAlign w:val="bottom"/>
            <w:gridSpan w:val="5"/>
          </w:tcPr>
          <w:p>
            <w:pPr>
              <w:jc w:val="right"/>
              <w:ind w:right="100"/>
              <w:spacing w:after="0"/>
              <w:rPr>
                <w:sz w:val="20"/>
                <w:szCs w:val="20"/>
                <w:color w:val="auto"/>
              </w:rPr>
            </w:pPr>
            <w:r>
              <w:rPr>
                <w:rFonts w:ascii="Arial" w:cs="Arial" w:eastAsia="Arial" w:hAnsi="Arial"/>
                <w:sz w:val="18"/>
                <w:szCs w:val="18"/>
                <w:color w:val="auto"/>
              </w:rPr>
              <w:t>$10,302,904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HealthStream Research</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w w:val="97"/>
              </w:rPr>
              <w:t>5,518,787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4,534,348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3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18,505,735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14,837,252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HealthStream Learning</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8"/>
              <w:spacing w:after="0"/>
              <w:rPr>
                <w:sz w:val="20"/>
                <w:szCs w:val="20"/>
                <w:color w:val="auto"/>
              </w:rPr>
            </w:pPr>
            <w:r>
              <w:rPr>
                <w:rFonts w:ascii="Arial" w:cs="Arial" w:eastAsia="Arial" w:hAnsi="Arial"/>
                <w:sz w:val="18"/>
                <w:szCs w:val="18"/>
                <w:color w:val="auto"/>
                <w:w w:val="97"/>
              </w:rPr>
              <w:t>4,266,534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3,220,345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HealthStream Research</w:t>
            </w: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327,014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28"/>
              <w:spacing w:after="0"/>
              <w:rPr>
                <w:sz w:val="20"/>
                <w:szCs w:val="20"/>
                <w:color w:val="auto"/>
              </w:rPr>
            </w:pPr>
            <w:r>
              <w:rPr>
                <w:rFonts w:ascii="Arial" w:cs="Arial" w:eastAsia="Arial" w:hAnsi="Arial"/>
                <w:sz w:val="18"/>
                <w:szCs w:val="18"/>
                <w:color w:val="auto"/>
                <w:w w:val="91"/>
              </w:rPr>
              <w:t>(2,036,538)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(1,967,893)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3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w w:val="97"/>
              </w:rPr>
              <w:t>2,557,010</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1,412,023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420" w:type="dxa"/>
            <w:vAlign w:val="bottom"/>
            <w:gridSpan w:val="5"/>
          </w:tcPr>
          <w:p>
            <w:pPr>
              <w:jc w:val="right"/>
              <w:ind w:right="408"/>
              <w:spacing w:after="0"/>
              <w:rPr>
                <w:sz w:val="20"/>
                <w:szCs w:val="20"/>
                <w:color w:val="auto"/>
              </w:rPr>
            </w:pPr>
            <w:r>
              <w:rPr>
                <w:rFonts w:ascii="Arial" w:cs="Arial" w:eastAsia="Arial" w:hAnsi="Arial"/>
                <w:sz w:val="14"/>
                <w:szCs w:val="14"/>
                <w:color w:val="auto"/>
                <w:w w:val="94"/>
              </w:rPr>
              <w:t>March 31, 2011</w:t>
            </w:r>
          </w:p>
        </w:tc>
        <w:tc>
          <w:tcPr>
            <w:tcW w:w="18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4"/>
                <w:szCs w:val="14"/>
                <w:color w:val="auto"/>
                <w:w w:val="99"/>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w:t>
            </w:r>
          </w:p>
        </w:tc>
        <w:tc>
          <w:tcPr>
            <w:tcW w:w="30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HealthStream Learning</w:t>
            </w:r>
          </w:p>
        </w:tc>
        <w:tc>
          <w:tcPr>
            <w:tcW w:w="4180" w:type="dxa"/>
            <w:vAlign w:val="bottom"/>
            <w:gridSpan w:val="5"/>
          </w:tcPr>
          <w:p>
            <w:pPr>
              <w:jc w:val="right"/>
              <w:ind w:right="200"/>
              <w:spacing w:after="0"/>
              <w:rPr>
                <w:sz w:val="20"/>
                <w:szCs w:val="20"/>
                <w:color w:val="auto"/>
              </w:rPr>
            </w:pPr>
            <w:r>
              <w:rPr>
                <w:rFonts w:ascii="Arial" w:cs="Arial" w:eastAsia="Arial" w:hAnsi="Arial"/>
                <w:sz w:val="18"/>
                <w:szCs w:val="18"/>
                <w:color w:val="auto"/>
              </w:rPr>
              <w:t>$ 24,431,929</w:t>
            </w:r>
          </w:p>
        </w:tc>
        <w:tc>
          <w:tcPr>
            <w:tcW w:w="26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18,730,859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HealthStream Research</w:t>
            </w:r>
          </w:p>
        </w:tc>
        <w:tc>
          <w:tcPr>
            <w:tcW w:w="418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26,011,466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26,701,566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3020" w:type="dxa"/>
            <w:vAlign w:val="bottom"/>
          </w:tcPr>
          <w:p>
            <w:pPr>
              <w:spacing w:after="0"/>
              <w:rPr>
                <w:sz w:val="18"/>
                <w:szCs w:val="18"/>
                <w:color w:val="auto"/>
              </w:rPr>
            </w:pPr>
          </w:p>
        </w:tc>
        <w:tc>
          <w:tcPr>
            <w:tcW w:w="1160" w:type="dxa"/>
            <w:vAlign w:val="bottom"/>
            <w:gridSpan w:val="4"/>
          </w:tcPr>
          <w:p>
            <w:pPr>
              <w:jc w:val="right"/>
              <w:ind w:right="200"/>
              <w:spacing w:after="0"/>
              <w:rPr>
                <w:sz w:val="20"/>
                <w:szCs w:val="20"/>
                <w:color w:val="auto"/>
              </w:rPr>
            </w:pPr>
            <w:r>
              <w:rPr>
                <w:rFonts w:ascii="Arial" w:cs="Arial" w:eastAsia="Arial" w:hAnsi="Arial"/>
                <w:sz w:val="18"/>
                <w:szCs w:val="18"/>
                <w:color w:val="auto"/>
              </w:rPr>
              <w:t>34,646,133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36,578,278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302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89"/>
              </w:rPr>
              <w:t>$ 85,089,527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82,010,703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8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prepaid and other current assets, other assets, capitalized software development, certain property and equipment, and intangible assets. Cash and cash equivalents and investments in marketable securities are not allocated to individual segments, and are included within Unallocated. A significant portion of property and equipment assets are included within Unallocated.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IN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2011, the fair value of investments in marketable securities, which were all classified as current and available-for-sale, included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Amortized Cost</w:t>
            </w:r>
          </w:p>
        </w:tc>
        <w:tc>
          <w:tcPr>
            <w:tcW w:w="6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Unrealized Losses</w:t>
            </w: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20"/>
        </w:trPr>
        <w:tc>
          <w:tcPr>
            <w:tcW w:w="4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4,539,830</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$ 4,538,645</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Municipal debt securities</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3,723,731</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(533)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3,723,198</w:t>
            </w:r>
          </w:p>
        </w:tc>
      </w:tr>
      <w:tr>
        <w:trPr>
          <w:trHeight w:val="27"/>
        </w:trPr>
        <w:tc>
          <w:tcPr>
            <w:tcW w:w="4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8,263,561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$ 8,261,843</w:t>
            </w:r>
          </w:p>
        </w:tc>
      </w:tr>
      <w:tr>
        <w:trPr>
          <w:trHeight w:val="20"/>
        </w:trPr>
        <w:tc>
          <w:tcPr>
            <w:tcW w:w="4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debt securities at March 31, 2011 mature within one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assets and liabilities that are measured at fair value on a recurring basis as of March 31, 2011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vMerge w:val="restart"/>
          </w:tcPr>
          <w:p>
            <w:pPr>
              <w:spacing w:after="0"/>
              <w:rPr>
                <w:sz w:val="20"/>
                <w:szCs w:val="20"/>
                <w:color w:val="auto"/>
              </w:rPr>
            </w:pPr>
            <w:r>
              <w:rPr>
                <w:rFonts w:ascii="Arial" w:cs="Arial" w:eastAsia="Arial" w:hAnsi="Arial"/>
                <w:sz w:val="18"/>
                <w:szCs w:val="18"/>
                <w:color w:val="auto"/>
              </w:rPr>
              <w:t>Investments in marketable securities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Level 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$ 8,261,843</w:t>
            </w:r>
          </w:p>
        </w:tc>
        <w:tc>
          <w:tcPr>
            <w:tcW w:w="6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investments in marketable securities consist of Corporate and Municipal debt securities classified as available for sale. The carrying amounts reported in the condensed consolidated balance sheets equal the fair value of the Company’s investments in marketable securities based on quoted market prices.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2011 and 2010, the Company did not have any financial liabilities that were subject to fair value measurements.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10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2010, appearing in our Annual Report on Form 10-K that was filed with the Securities and Exchange Commission (“SEC”) on March 23, 2011 (the “2010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2010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provide our services to healthcare organizations, pharmaceutical and medical device companies, and other participants within the healthcare industry. Our services are primarily focused on the delivery of education, assessment,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3"/>
          <w:szCs w:val="13"/>
          <w:color w:val="auto"/>
        </w:rPr>
        <w:t>®</w:t>
      </w:r>
      <w:r>
        <w:rPr>
          <w:rFonts w:ascii="Arial" w:cs="Arial" w:eastAsia="Arial" w:hAnsi="Arial"/>
          <w:sz w:val="16"/>
          <w:szCs w:val="16"/>
          <w:color w:val="auto"/>
        </w:rPr>
        <w:t xml:space="preserve"> (HLC), HealthStream Competency Center™ (HCC), Authoring Center, courseware subscriptions, implementation and consulting services, content development, online sales training courses (RepDirect™), HospitalDirect</w:t>
      </w:r>
      <w:r>
        <w:rPr>
          <w:rFonts w:ascii="Arial" w:cs="Arial" w:eastAsia="Arial" w:hAnsi="Arial"/>
          <w:sz w:val="13"/>
          <w:szCs w:val="13"/>
          <w:color w:val="auto"/>
        </w:rPr>
        <w:t>®</w:t>
      </w:r>
      <w:r>
        <w:rPr>
          <w:rFonts w:ascii="Arial" w:cs="Arial" w:eastAsia="Arial" w:hAnsi="Arial"/>
          <w:sz w:val="16"/>
          <w:szCs w:val="16"/>
          <w:color w:val="auto"/>
        </w:rPr>
        <w:t xml:space="preserve"> and other products focused on education and training to serve professionals that work within healthcare organizations. HealthStream’s primary research solutions include Patient Insights™, Employee Insights™, Physician Insights™, and Community Insights™ surveys that deliver insight, analysis, and industry benchmarks to healthcare organizations.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patients, employees, physicians, and members of the community.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first quarter of 2011 include:</w:t>
      </w:r>
    </w:p>
    <w:p>
      <w:pPr>
        <w:spacing w:after="0" w:line="117" w:lineRule="exact"/>
        <w:rPr>
          <w:sz w:val="20"/>
          <w:szCs w:val="20"/>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$18.5 million in the first quarter of 2011, up 25% over the first quarter of 2010</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of $2.6 million in the first quarter of 2011, up 81% over the first quarter of 2010</w:t>
      </w:r>
    </w:p>
    <w:p>
      <w:pPr>
        <w:spacing w:after="0" w:line="130" w:lineRule="exact"/>
        <w:rPr>
          <w:rFonts w:ascii="Arial" w:cs="Arial" w:eastAsia="Arial" w:hAnsi="Arial"/>
          <w:sz w:val="18"/>
          <w:szCs w:val="18"/>
          <w:b w:val="1"/>
          <w:bCs w:val="1"/>
          <w:color w:val="auto"/>
        </w:rPr>
      </w:pPr>
    </w:p>
    <w:p>
      <w:pPr>
        <w:ind w:left="660" w:right="6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$1.5 million up 89% from net income of $807,000 in the first quarter of 2010 and diluted earnings per share (EPS) of $0.07 per share in the first quarter of 2011, up 75% from diluted EPS of $0.04 per share in the first quarter of 2010</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 of $3.8 million in the first quarter of 2011, up 28% from $3.0 million in the first quarter of 2010</w:t>
      </w:r>
    </w:p>
    <w:p>
      <w:pPr>
        <w:spacing w:after="0" w:line="130"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HealthStream acquires 50% ownership in Advanced Video System (AVS) product, which will serve as the foundation for SimView™, the debriefing component of SimCenter™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during the periods presented. To the extent there are material differences between these estimates, judgments or assumptions and actual results, our financial statements will be affected.</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2010 Form 10-K, which contains additional information regarding our accounting policies and other disclosures required by US GAAP. There have been no changes in our critical accounting policies and estimates from those reported in our 2010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for our HealthStream Learning business segment primarily consist of the following products and services: provision of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Internet-based HLC, HCC, authoring tools, a variety of courseware subscriptions, implementation and consulting services, maintenance of third party content, content development, online sales training courses (RepDirect™),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employees, physicians, and other members of the community.</w:t>
      </w:r>
    </w:p>
    <w:p>
      <w:pPr>
        <w:spacing w:after="0" w:line="8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consists primarily of salaries and employee benefits, contract labor, stock based compensation,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64"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consists primarily of salaries, commissions and employee benefits, stock based compensation, employee travel and</w:t>
      </w:r>
      <w:r>
        <w:rPr>
          <w:rFonts w:ascii="Arial" w:cs="Arial" w:eastAsia="Arial" w:hAnsi="Arial"/>
          <w:sz w:val="16"/>
          <w:szCs w:val="16"/>
          <w:i w:val="1"/>
          <w:iCs w:val="1"/>
          <w:color w:val="auto"/>
        </w:rPr>
        <w:t xml:space="preserve"> </w:t>
      </w:r>
      <w:r>
        <w:rPr>
          <w:rFonts w:ascii="Arial" w:cs="Arial" w:eastAsia="Arial" w:hAnsi="Arial"/>
          <w:sz w:val="16"/>
          <w:szCs w:val="16"/>
          <w:color w:val="auto"/>
        </w:rPr>
        <w:t>lodging, advertising, trade shows, promotions, and related marketing costs. Personnel costs within sales and marketing include our HealthStream Learning and HealthStream Research sales teams, strategic account management, consultants, and marketing personnel, as well as our account management group.</w:t>
      </w:r>
    </w:p>
    <w:p>
      <w:pPr>
        <w:spacing w:after="0" w:line="3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development.</w:t>
      </w:r>
    </w:p>
    <w:p>
      <w:pPr>
        <w:spacing w:after="0" w:line="6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The primary component of other income is interest income related to interest earned on cash, cash equivalents and investments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The primary component of other expense is interest expense related to capital leases and our revolving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2011 Compared to Three Months Ended March 31, 2010</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Revenues, net. </w:t>
      </w:r>
      <w:r>
        <w:rPr>
          <w:rFonts w:ascii="Arial" w:cs="Arial" w:eastAsia="Arial" w:hAnsi="Arial"/>
          <w:sz w:val="18"/>
          <w:szCs w:val="18"/>
          <w:color w:val="auto"/>
        </w:rPr>
        <w:t>Revenues increased approximately $3.7 million, or 24.7%, to $18.5 million for the three months ended March 31, 2011 from $14.8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2010. Revenues for 2011 consisted of $13.0 million, or 70% of total revenue, for HealthStream Learning and $5.5 million, or 30% of total revenue, for HealthStream Research. In 2010, revenues consisted of $10.3 million, or 69% of total revenue, for HealthStream Learning and $4.5 million, or 31% of total revenue, for HealthStream Research.</w:t>
      </w:r>
    </w:p>
    <w:p>
      <w:pPr>
        <w:spacing w:after="0" w:line="7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Revenues for HealthStream Learning increased $2.7 million, or 26.1%, over the first quarter of 2010. Revenues from our Internet-based subscription learning products increased by $2.9 million over the prior year first quarter, and were comprised of revenue increases from the HLC of $1.1 million and from courseware subscriptions of $1.8 million. Revenues from our Internet-based subscription products increased 30% over the prior year first quarter due to a higher number of subscribers and more courseware consumption by subscribers. Our HLC subscriber base increased to 2,400,000 fully-implemented subscribers and 2,523,000 contracted subscribers at March 31, 2011 compared to 2,043,000 fully-implemented subscribers and 2,136,000 contracted subscribers at March 31, 2010. “Contracted subscribers” include both those already implemented (2,400,000 and 2,043,000 at March 31, 2011 and 2010, respectively) and those in the process of implementation (123,000 and 93,000 at March 31, 2011 and 2010, respectively). Revenues associated with custom courseware development decreased $223,000 from the prior year first quarter.</w:t>
      </w:r>
    </w:p>
    <w:p>
      <w:pPr>
        <w:spacing w:after="0" w:line="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Revenues for HealthStream Research increased $984,000, or 21.7%, over the first quarter of 2010. Revenues from Patient Insights™ surveys, our survey research product that generates recurring revenues, increased by $936,000, or 28.2%, over the prior year first quarter. Revenues from other surveys, which are conducted on annual or bi-annual cycles, increased by $49,000, or four percent, over the prior year first quarter.</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$1.6 million, or 29.4%, to $7.1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2011 from $5.5 million for the three months ended March 31, 2010. Cost of revenues as a percentage of revenues was 38.2% of revenues for the three months ended March 31, 2011 compared to 36.8% of revenues for the three months ended March 31, 2010. Cost of revenues for HealthStream Learning increased approximately $1.0 million to $4.2 million and approximated 32.0% and 30.2% of revenues for HealthStream Learning for the three months ended March 31, 2011 and 2010, respectively. The increase is primarily associated with increased royalties paid by us resulting from growth in courseware subscription revenues. Cost of revenues for HealthStream Research increased approximately $564,000 to $2.9 million and approximated 52.8% and 51.8% of revenues for HealthStream Research for the three months ended March 31, 2011 and 2010, respectively. The increase is primarily the result of costs associated with the growth in patient survey volume over the prior year first quarter.</w:t>
      </w:r>
    </w:p>
    <w:p>
      <w:pPr>
        <w:spacing w:after="0" w:line="7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$260,000, or 17.0%, to $1.8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2011 from $1.5 million for the three months ended March 31, 2010. Product development expenses as a percentage of revenues were 9.7% and 10.3% of revenues for the three months ended March 31, 2011 and 2010, respectively.</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Product development expenses for HealthStream Learning increased approximately $208,000 and approximated 10.9% and 11.7% of revenues for HealthStream Learning for the three months ended March 31, 2011 and 2010, respectively. The decrease as a percentage of revenue is the result of the growth in revenues over the prior year first quarter, while the increase in amount is due to additional personnel expenses associated with platform maintenance and SimVentures. Product development expenses for HealthStream Research increased approximately $52,000 and approximated 6.8% and 7.1% of revenues for HealthStream Research for the three months ended March 31, 2011 and 2010, respectively. The increase in amount is primarily due to additional personnel associated with developing and supporting our survey reporting platform, Insights Online.</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$547,000, or 18.5%, to $3.5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2011 from $3.0 million for the three months ended March 31, 2010. Sales and marketing expenses approximated 19.0% and 20.0% of revenues for the three months ended March 31, 2011 and 2010, respectively.</w:t>
      </w:r>
    </w:p>
    <w:p>
      <w:pPr>
        <w:spacing w:after="0" w:line="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Sales and marketing expenses for HealthStream Learning increased $344,000 and approximated 17.3% and 18.5% of revenues for HealthStream Learning for the three months ended March 31, 2011 and 2010, respectively. This expense increase is primarily due to additional personnel, increased marketing spending, and increased commissions associated with better sales performance compared to the prior year first quarter. Sales and marketing expenses for HealthStream Research increased approximately $173,000, and approximated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21.2% and 22.0% of revenues for HealthStream Research for the three months ended March 31, 2011 and 2010, respectively. The expense increase for HealthStream Research resulted from additional sales personnel and commissions. The increase in commissions is the result of better sales performance compared to the prior year first quarter.</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increased approximately $456,000, or 21.9%, to $2.5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March 31, 2011 from $2.1 million for the three months ended March 31, 2010. Other general and administrative expenses as a percentage of revenues approximated 13.7% and 14.1% for the three months ended March 31, 2011 and 2010, respectively.</w:t>
      </w:r>
    </w:p>
    <w:p>
      <w:pPr>
        <w:spacing w:after="0" w:line="5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general and administrative expenses for HealthStream Learning increased $93,000 over the prior year first quarter, primarily associated with increased rent expense, while other general and administrative expenses for HealthStream Research increased by $26,000 compared to the prior year first quarter. The unallocated corporate portion of other general and administrative expenses increased $337,000 over the prior year first quarter, primarily associated with software maintenance renewal fees, personnel expenses, professional fees, and rent expense.</w:t>
      </w:r>
    </w:p>
    <w:p>
      <w:pPr>
        <w:spacing w:after="0" w:line="7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decreased approximately $347,000, or 25.0%, to $1.0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2011 from $1.4 million for the three months ended March 31, 2010. The decrease primarily resulted from lower depreciation expense associated with certain assets reaching the end of their useful lives.</w:t>
      </w:r>
    </w:p>
    <w:p>
      <w:pPr>
        <w:spacing w:after="0" w:line="7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was approximately $20,000 for the three months ended March 31, 2011 compared to a net expense of $9,000</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2010. The improvement over the prior year was associated with higher interest income resulting from higher yields on cash and investments in marketable securities.</w:t>
      </w:r>
    </w:p>
    <w:p>
      <w:pPr>
        <w:spacing w:after="0" w:line="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Company recorded a provision for income taxes of approximately $1.1 million for the three months ended March 31,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$597,000 for the three months ended March 31, 2010. The Company’s effective tax rate was 40.8% for the first quarter of 2011 compared to 42.5% for the first quarter of 2010. Actual tax payments will be substantially less than our income tax provision until we utilize our federal and state net operating loss carry-forwards of approximately $25.0 million and $20.0 million, respectively, at December 31, 2010, to offset taxable income.</w:t>
      </w:r>
    </w:p>
    <w:p>
      <w:pPr>
        <w:spacing w:after="0" w:line="4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$1.5 million for the three months ended March 31, 2011, compared to $807,000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2010. Net income per diluted share was $0.07 per share for the three months ended March 31, 2011, compared to $0.04 per diluted share for the three months ended March 31, 2010.</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Adjusted EBITDA (which we define as net income before interest, income tax provision, stock based compensation expense, and depreciation and amortization) improved by 27.9% to approximately $3.8 million for the three months ended March 31, 2011 compared to $3.0 million for the three months ended March 31, 2010. This improvement is consistent with the factors mentioned in management’s discussion and analysis of financial condition and results of operations above. A reconciliation of this calculation to measures under US GAAP is listed in the table below.</w:t>
      </w:r>
    </w:p>
    <w:p>
      <w:pPr>
        <w:spacing w:after="0" w:line="6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order to better assess the Company’s financial results, management believes that adjusted EBITDA is an appropriate measure for evaluating the operating performance of the Company at this stage in its life cycle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2010 and 2011,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Management compensates for the inherent limitations associated with using adjusted EBITDA through disclosure of such limitations, presentation of our financial statements in accordance with US GAAP, and a reconciliation of adjusted EBITDA to net income, the most directly comparable US GAAP measure.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interest, income tax provision, stock based compensation expense, depreciation and amortization, or adjusted EBITDA: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color w:val="auto"/>
              </w:rPr>
              <w:t>2011</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March 31,</w:t>
            </w:r>
          </w:p>
        </w:tc>
        <w:tc>
          <w:tcPr>
            <w:tcW w:w="100" w:type="dxa"/>
            <w:vAlign w:val="bottom"/>
          </w:tcPr>
          <w:p>
            <w:pPr>
              <w:spacing w:after="0"/>
              <w:rPr>
                <w:sz w:val="15"/>
                <w:szCs w:val="15"/>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$ 1,525,757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gridSpan w:val="2"/>
          </w:tcPr>
          <w:p>
            <w:pPr>
              <w:jc w:val="right"/>
              <w:ind w:right="528"/>
              <w:spacing w:after="0"/>
              <w:rPr>
                <w:sz w:val="20"/>
                <w:szCs w:val="20"/>
                <w:color w:val="auto"/>
              </w:rPr>
            </w:pPr>
            <w:r>
              <w:rPr>
                <w:rFonts w:ascii="Arial" w:cs="Arial" w:eastAsia="Arial" w:hAnsi="Arial"/>
                <w:sz w:val="18"/>
                <w:szCs w:val="18"/>
                <w:color w:val="auto"/>
              </w:rPr>
              <w:t>(22,448)</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9,468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Income tax provision</w:t>
            </w:r>
          </w:p>
        </w:tc>
        <w:tc>
          <w:tcPr>
            <w:tcW w:w="1500" w:type="dxa"/>
            <w:vAlign w:val="bottom"/>
            <w:gridSpan w:val="2"/>
          </w:tcPr>
          <w:p>
            <w:pPr>
              <w:jc w:val="right"/>
              <w:ind w:right="588"/>
              <w:spacing w:after="0"/>
              <w:rPr>
                <w:sz w:val="20"/>
                <w:szCs w:val="20"/>
                <w:color w:val="auto"/>
              </w:rPr>
            </w:pPr>
            <w:r>
              <w:rPr>
                <w:rFonts w:ascii="Arial" w:cs="Arial" w:eastAsia="Arial" w:hAnsi="Arial"/>
                <w:sz w:val="18"/>
                <w:szCs w:val="18"/>
                <w:color w:val="auto"/>
              </w:rPr>
              <w:t>1,051,411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5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189,794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1,042,874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1,390,342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$ 3,796,856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2,965,194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2011</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provides projections and other forward-looking information in this “Financial Outlook for 2011” section within Management’s Discussion and Analysis of Financial Condition and Results of Operations.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in Part I of our 2010 Form 10-K and Item 2 of this Form 10-Q. Actual results are likely to differ, and in the past have differed, materially from those forecast by the Company, depending on the outcome of various factors, including, but not limited to, those set forth in “Item 1A, Risk Factors” in our 2010 Form 10-K.</w:t>
      </w:r>
    </w:p>
    <w:p>
      <w:pPr>
        <w:spacing w:after="0" w:line="8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now anticipates that 2011 consolidated revenues will grow between 20 percent and 23 percent over 2010. HealthStream Learning revenues, which also include SimVentures and AVS, the recently announced addition to SimVentures, are expected to increase between 24 and 27 percent over the prior year. HealthStream Research revenues are expected to grow between 13 percent and 17 percent over last year.</w:t>
      </w:r>
    </w:p>
    <w:p>
      <w:pPr>
        <w:spacing w:after="0" w:line="5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 anticipates that operating expenses will grow between 19 percent and 22 percent when compared to the Company’s full year 2010 levels. These categories include cost of revenues, product development, sales and marketing, depreciation and amortization, and other general and administrative expense.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operating income will grow between 25 percent and 28 percent for the full year of 2011 over 2010.</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expects its effective book income tax rate for 2011 to be between 41 percent and 42 percent. Actual tax payments will be substantially less than the provision for income taxes as the Company continues to utilize its federal and state net operating loss carry-forwards. As of December 31, 2010, the Company had approximately $25.0 million of federal and $20.0 million of state net operating loss carry-forwards available to offset taxable income.</w:t>
      </w:r>
    </w:p>
    <w:p>
      <w:pPr>
        <w:spacing w:after="0" w:line="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expects that total capital expenditures will be approximately $9.5 million for the full year of 2011, which includes the $3.5 million investment in the AVS product made during the first quarter, along with expenditures for hardware, software and capitalized software development for new features, enhancements, content development, and additional office space.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cash provided by operating activities was approximately $3.5 million and $1.3 million during the three months ended March 31, 2011 and 2010, respectively. The Company’s primary sources of cash were receipts generated from the sales of our products and services. Days sales outstanding (“DSO”) which is calculated by dividing the accounts receivable balance, excluding unbilled and other receivables, by average daily revenues for the quarter, approximated 63 days for the first quarter of 2011 compared to 71 days for the first quarter of 2010. The improvement in DSO is the result of stronger collections from customers compared to the prior year quarter.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investing activities was approximately $7.4 million and $675,000 for the three months ended March 31, 2011 and 2010, respectively. During 2011, the Company purchased $4.7 million of investments in marketable securities, spent $4.1 million for capitalized software development, and purchased $708,000 of property and equipment. Approximately $3.5 million of the capitalized software development spending related to the acquisition of a 50 percent ownership in Laerdal Medical’s AVS product. During 2010, the Company incurred $425,000 for capitalized software development and purchased $250,000 of property and equipment.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provided by financing activities was approximately $197,000 and $56,000 for the three months ended March 31, 2011 and 2010, respectively. The primary source of cash from financing activities for 2011 and 2010 resulted from proceeds associated with the exercise of employee stock options. The primary uses of cash for financing activities for 2011 related to payments under capital lease obligations, and for 2010 related to payments under a promissory note and capital lease obligations.</w:t>
      </w:r>
    </w:p>
    <w:p>
      <w:pPr>
        <w:spacing w:after="0" w:line="7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Revenues increased and operating income improved over the prior year period, and our balance sheet reflects positive working capital of $18.8 million at March 31, 2011 compared to $19.5 million at December 31, 2010. The decrease in working capital was primarily due to the $4.8 million of capital expenditures made during the first quarter of 2011. This primary use of cash was partially offset by cash generated from operations. The Company’s primary source of liquidity is $22.7 million of cash and cash equivalents, investments in marketable securities, restricted cash and related interest receivable. The Company also has a $20.0 million revolving credit facility loan agreement, all of which was available at March 31, 2011.</w:t>
      </w:r>
    </w:p>
    <w:p>
      <w:pPr>
        <w:spacing w:after="0" w:line="6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believe that our existing cash and cash equivalents, investments in marketable securities,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and a minimum tangible net worth. Therefore, if we were to borrow against our revolving credit facility, our debt capacity would be dependent on the covenant values at the time of borrowing.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exposed to market risk from changes in interest rates. The Company does not have any foreign currency exchange rate risk or commodity price risk. As of March 31, 2011, our outstanding indebtedness included approximately $3,000 of capital lease obligations.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also exposed to market risk with respect to our cash and investment balances. At March 31, 2011, the Company had cash and cash equivalents, investments in marketable securities, restricted cash, and related interest receivable totaling approximately $22.7 million. Our current investment rates of return approximate 0.9%. Assuming a 0.9% rate of return on $22.7 million, a hypothetical 10% decrease in interest rates would decrease interest income and decrease net income on an annualized basis by approximately $20,400.</w:t>
      </w:r>
    </w:p>
    <w:p>
      <w:pPr>
        <w:spacing w:after="0" w:line="8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A1/A, BBB, FDIC insured or better; A1/P1 or better for commercial paper, and MIG 1/S, P/1 or better for municipal debt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w:t>
      </w:r>
    </w:p>
    <w:p>
      <w:pPr>
        <w:spacing w:after="0" w:line="6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February 23, 2010, the Company’s Board of Directors authorized the Company to purchase up to $4,000,000 of its common stock over a one year period. The repurchase period expired on February 23, 2011. The table below sets forth activity under the stock repurchase plan for the quarter ended March 31,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(c)</w:t>
            </w:r>
          </w:p>
        </w:tc>
        <w:tc>
          <w:tcPr>
            <w:tcW w:w="2320" w:type="dxa"/>
            <w:vAlign w:val="bottom"/>
            <w:gridSpan w:val="4"/>
          </w:tcPr>
          <w:p>
            <w:pPr>
              <w:jc w:val="center"/>
              <w:ind w:left="39"/>
              <w:spacing w:after="0" w:line="149" w:lineRule="exact"/>
              <w:rPr>
                <w:sz w:val="20"/>
                <w:szCs w:val="20"/>
                <w:color w:val="auto"/>
              </w:rPr>
            </w:pPr>
            <w:r>
              <w:rPr>
                <w:rFonts w:ascii="Arial" w:cs="Arial" w:eastAsia="Arial" w:hAnsi="Arial"/>
                <w:sz w:val="14"/>
                <w:szCs w:val="14"/>
                <w:color w:val="auto"/>
                <w:w w:val="95"/>
              </w:rPr>
              <w:t>Maximum number (or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Total number of shares (or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dollar 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(a)</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(b)</w:t>
            </w:r>
          </w:p>
        </w:tc>
        <w:tc>
          <w:tcPr>
            <w:tcW w:w="1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units) purchased as part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20" w:type="dxa"/>
            <w:vAlign w:val="bottom"/>
            <w:gridSpan w:val="3"/>
          </w:tcPr>
          <w:p>
            <w:pPr>
              <w:jc w:val="center"/>
              <w:ind w:left="68"/>
              <w:spacing w:after="0" w:line="149" w:lineRule="exact"/>
              <w:rPr>
                <w:sz w:val="20"/>
                <w:szCs w:val="20"/>
                <w:color w:val="auto"/>
              </w:rPr>
            </w:pPr>
            <w:r>
              <w:rPr>
                <w:rFonts w:ascii="Arial" w:cs="Arial" w:eastAsia="Arial" w:hAnsi="Arial"/>
                <w:sz w:val="14"/>
                <w:szCs w:val="14"/>
                <w:color w:val="auto"/>
                <w:w w:val="91"/>
              </w:rPr>
              <w:t>Total number of shares</w:t>
            </w:r>
          </w:p>
        </w:tc>
        <w:tc>
          <w:tcPr>
            <w:tcW w:w="190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Average price paid per</w:t>
            </w:r>
          </w:p>
        </w:tc>
        <w:tc>
          <w:tcPr>
            <w:tcW w:w="1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publicly announced plans or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purchased under the plans or</w:t>
            </w:r>
          </w:p>
        </w:tc>
        <w:tc>
          <w:tcPr>
            <w:tcW w:w="0" w:type="dxa"/>
            <w:vAlign w:val="bottom"/>
          </w:tcPr>
          <w:p>
            <w:pPr>
              <w:spacing w:after="0"/>
              <w:rPr>
                <w:sz w:val="1"/>
                <w:szCs w:val="1"/>
                <w:color w:val="auto"/>
              </w:rPr>
            </w:pPr>
          </w:p>
        </w:tc>
      </w:tr>
      <w:tr>
        <w:trPr>
          <w:trHeight w:val="167"/>
        </w:trPr>
        <w:tc>
          <w:tcPr>
            <w:tcW w:w="35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32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(or units) purchased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ind w:left="80"/>
              <w:spacing w:after="0"/>
              <w:rPr>
                <w:sz w:val="20"/>
                <w:szCs w:val="20"/>
                <w:color w:val="auto"/>
              </w:rPr>
            </w:pPr>
            <w:r>
              <w:rPr>
                <w:rFonts w:ascii="Arial" w:cs="Arial" w:eastAsia="Arial" w:hAnsi="Arial"/>
                <w:sz w:val="14"/>
                <w:szCs w:val="14"/>
                <w:color w:val="auto"/>
              </w:rPr>
              <w:t>share (or unit)</w:t>
            </w:r>
          </w:p>
        </w:tc>
        <w:tc>
          <w:tcPr>
            <w:tcW w:w="18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programs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Month # 1 (January 1 — January 31)</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Month # 2 (February 1 — February 28)</w:t>
            </w:r>
          </w:p>
        </w:tc>
        <w:tc>
          <w:tcPr>
            <w:tcW w:w="320" w:type="dxa"/>
            <w:vAlign w:val="bottom"/>
          </w:tcPr>
          <w:p>
            <w:pPr>
              <w:spacing w:after="0"/>
              <w:rPr>
                <w:sz w:val="18"/>
                <w:szCs w:val="18"/>
                <w:color w:val="auto"/>
              </w:rPr>
            </w:pPr>
          </w:p>
        </w:tc>
        <w:tc>
          <w:tcPr>
            <w:tcW w:w="150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Month # 3 (March 1 — March 31)</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400" w:type="dxa"/>
            <w:vAlign w:val="bottom"/>
          </w:tcPr>
          <w:p>
            <w:pPr>
              <w:spacing w:after="0"/>
              <w:rPr>
                <w:sz w:val="19"/>
                <w:szCs w:val="19"/>
                <w:color w:val="auto"/>
              </w:rPr>
            </w:pPr>
          </w:p>
        </w:tc>
        <w:tc>
          <w:tcPr>
            <w:tcW w:w="162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4440" w:type="dxa"/>
            <w:vAlign w:val="bottom"/>
          </w:tcPr>
          <w:p>
            <w:pPr>
              <w:ind w:left="2220"/>
              <w:spacing w:after="0"/>
              <w:rPr>
                <w:sz w:val="20"/>
                <w:szCs w:val="20"/>
                <w:color w:val="auto"/>
              </w:rPr>
            </w:pPr>
            <w:r>
              <w:rPr>
                <w:rFonts w:ascii="Arial" w:cs="Arial" w:eastAsia="Arial" w:hAnsi="Arial"/>
                <w:sz w:val="18"/>
                <w:szCs w:val="18"/>
                <w:color w:val="auto"/>
              </w:rPr>
              <w:t>HEALTHSTREAM, INC.</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May 2, 2011</w:t>
            </w:r>
          </w:p>
        </w:tc>
        <w:tc>
          <w:tcPr>
            <w:tcW w:w="4440" w:type="dxa"/>
            <w:vAlign w:val="bottom"/>
          </w:tcPr>
          <w:p>
            <w:pPr>
              <w:ind w:left="2220"/>
              <w:spacing w:after="0"/>
              <w:rPr>
                <w:sz w:val="20"/>
                <w:szCs w:val="20"/>
                <w:color w:val="auto"/>
              </w:rPr>
            </w:pPr>
            <w:r>
              <w:rPr>
                <w:rFonts w:ascii="Arial" w:cs="Arial" w:eastAsia="Arial" w:hAnsi="Arial"/>
                <w:sz w:val="18"/>
                <w:szCs w:val="18"/>
                <w:color w:val="auto"/>
                <w:w w:val="96"/>
              </w:rPr>
              <w:t>By: /s/ G</w:t>
            </w:r>
            <w:r>
              <w:rPr>
                <w:rFonts w:ascii="Arial" w:cs="Arial" w:eastAsia="Arial" w:hAnsi="Arial"/>
                <w:sz w:val="12"/>
                <w:szCs w:val="12"/>
                <w:color w:val="auto"/>
                <w:w w:val="96"/>
              </w:rPr>
              <w:t>ERARD</w:t>
            </w:r>
            <w:r>
              <w:rPr>
                <w:rFonts w:ascii="Arial" w:cs="Arial" w:eastAsia="Arial" w:hAnsi="Arial"/>
                <w:sz w:val="18"/>
                <w:szCs w:val="18"/>
                <w:color w:val="auto"/>
                <w:w w:val="96"/>
              </w:rPr>
              <w:t xml:space="preserve"> M. H</w:t>
            </w:r>
            <w:r>
              <w:rPr>
                <w:rFonts w:ascii="Arial" w:cs="Arial" w:eastAsia="Arial" w:hAnsi="Arial"/>
                <w:sz w:val="12"/>
                <w:szCs w:val="12"/>
                <w:color w:val="auto"/>
                <w:w w:val="96"/>
              </w:rPr>
              <w:t>AYDEN</w:t>
            </w:r>
            <w:r>
              <w:rPr>
                <w:rFonts w:ascii="Arial" w:cs="Arial" w:eastAsia="Arial" w:hAnsi="Arial"/>
                <w:sz w:val="18"/>
                <w:szCs w:val="18"/>
                <w:color w:val="auto"/>
                <w:w w:val="96"/>
              </w:rPr>
              <w:t>, J</w:t>
            </w:r>
            <w:r>
              <w:rPr>
                <w:rFonts w:ascii="Arial" w:cs="Arial" w:eastAsia="Arial" w:hAnsi="Arial"/>
                <w:sz w:val="12"/>
                <w:szCs w:val="12"/>
                <w:color w:val="auto"/>
                <w:w w:val="96"/>
              </w:rPr>
              <w:t>R</w:t>
            </w:r>
            <w:r>
              <w:rPr>
                <w:rFonts w:ascii="Arial" w:cs="Arial" w:eastAsia="Arial" w:hAnsi="Arial"/>
                <w:sz w:val="18"/>
                <w:szCs w:val="18"/>
                <w:color w:val="auto"/>
                <w:w w:val="96"/>
              </w:rPr>
              <w:t>.</w:t>
            </w:r>
          </w:p>
        </w:tc>
      </w:tr>
    </w:tbl>
    <w:p>
      <w:pPr>
        <w:ind w:left="5700"/>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19" w:right="1440"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2,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4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2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4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80" w:hanging="4"/>
        <w:spacing w:after="0" w:line="277"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2,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5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2011,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2011</w:t>
      </w:r>
    </w:p>
    <w:p>
      <w:pPr>
        <w:sectPr>
          <w:pgSz w:w="11900" w:h="16838" w:orient="portrait"/>
          <w:cols w:equalWidth="0" w:num="1">
            <w:col w:w="11420"/>
          </w:cols>
          <w:pgMar w:left="240" w:top="55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2011,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314"/>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2011</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2019-12-10T19:32:02Z</dcterms:created>
  <dcterms:modified xsi:type="dcterms:W3CDTF">2019-12-10T19:32:02Z</dcterms:modified>
</cp:coreProperties>
</file>