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hstm20260331_10q.htm"/>
      <w:bookmarkStart w:id="1" w:name="kshstm20260331_10q"/>
      <w:bookmarkEnd w:id="0"/>
      <w:bookmarkEnd w:id="1"/>
      <w:r>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 </w:t>
      </w:r>
      <w:r>
        <w:rPr>
          <w:rFonts w:ascii="Times New Roman" w:hAnsi="Times New Roman"/>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30"/>
        <w:gridCol w:w="74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 000-27701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Tennessee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62-1443555</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500 11th Avenue North, Suite 850,</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Nashville</w:t>
            </w:r>
            <w:r>
              <w:rPr>
                <w:rFonts w:ascii="Times New Roman" w:hAnsi="Times New Roman"/>
                <w:b/>
                <w:caps w:val="false"/>
                <w:smallCaps w:val="false"/>
                <w:sz w:val="20"/>
              </w:rPr>
              <w:t>,</w:t>
            </w:r>
            <w:r>
              <w:rPr>
                <w:rFonts w:ascii="Times New Roman" w:hAnsi="Times New Roman"/>
                <w:b/>
                <w:caps w:val="false"/>
                <w:smallCaps w:val="false"/>
                <w:sz w:val="20"/>
                <w:u w:val="single"/>
              </w:rPr>
              <w:t xml:space="preserve"> Tennessee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37203</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(615) 301-3100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28" w:type="dxa"/>
          <w:right w:w="0" w:type="dxa"/>
        </w:tblCellMar>
      </w:tblPr>
      <w:tblGrid>
        <w:gridCol w:w="2735"/>
        <w:gridCol w:w="161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2225"/>
        <w:gridCol w:w="230"/>
        <w:gridCol w:w="60"/>
        <w:gridCol w:w="60"/>
        <w:gridCol w:w="2225"/>
        <w:gridCol w:w="230"/>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283"/>
              <w:jc w:val="left"/>
              <w:rPr/>
            </w:pPr>
            <w:r>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May 4, 2026, there were 29,215,188 shares of the registrant’s common stock outstanding.</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Index to Form 10</w:t>
      </w:r>
      <w:r>
        <w:rPr>
          <w:rFonts w:ascii="Times New Roman" w:hAnsi="Times New Roman"/>
          <w:caps w:val="false"/>
          <w:smallCaps w:val="false"/>
          <w:sz w:val="20"/>
        </w:rPr>
        <w:noBreakHyphen/>
      </w:r>
      <w:r>
        <w:rPr>
          <w:rFonts w:ascii="Times New Roman" w:hAnsi="Times New Roman"/>
          <w:b/>
          <w:caps w:val="false"/>
          <w:smallCaps w:val="false"/>
          <w:sz w:val="20"/>
        </w:rPr>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722"/>
        <w:gridCol w:w="8697"/>
        <w:gridCol w:w="786"/>
      </w:tblGrid>
      <w:tr>
        <w:trPr/>
        <w:tc>
          <w:tcPr>
            <w:tcW w:w="722" w:type="dxa"/>
            <w:tcBorders/>
            <w:vAlign w:val="center"/>
          </w:tcPr>
          <w:p>
            <w:pPr>
              <w:pStyle w:val="TableContents"/>
              <w:bidi w:val="0"/>
              <w:spacing w:before="0" w:after="283"/>
              <w:jc w:val="left"/>
              <w:rPr/>
            </w:pPr>
            <w:r>
              <w:rPr/>
              <w:t> </w:t>
            </w:r>
          </w:p>
        </w:tc>
        <w:tc>
          <w:tcPr>
            <w:tcW w:w="8697" w:type="dxa"/>
            <w:tcBorders/>
            <w:vAlign w:val="center"/>
          </w:tcPr>
          <w:p>
            <w:pPr>
              <w:pStyle w:val="TableContents"/>
              <w:bidi w:val="0"/>
              <w:spacing w:before="0" w:after="283"/>
              <w:jc w:val="left"/>
              <w:rPr/>
            </w:pPr>
            <w:r>
              <w:rPr/>
              <w:t> </w:t>
            </w:r>
          </w:p>
        </w:tc>
        <w:tc>
          <w:tcPr>
            <w:tcW w:w="78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r>
      <w:tr>
        <w:trPr/>
        <w:tc>
          <w:tcPr>
            <w:tcW w:w="7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Part I.</w:t>
            </w:r>
          </w:p>
        </w:tc>
        <w:tc>
          <w:tcPr>
            <w:tcW w:w="8697"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Financial Information</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697"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Financial Statements</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22" w:type="dxa"/>
            <w:tcBorders/>
            <w:vAlign w:val="center"/>
          </w:tcPr>
          <w:p>
            <w:pPr>
              <w:pStyle w:val="TableContents"/>
              <w:bidi w:val="0"/>
              <w:spacing w:before="0" w:after="283"/>
              <w:jc w:val="left"/>
              <w:rPr/>
            </w:pPr>
            <w:r>
              <w:rPr/>
              <w:t> </w:t>
            </w:r>
          </w:p>
        </w:tc>
        <w:tc>
          <w:tcPr>
            <w:tcW w:w="8697"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 xml:space="preserve">Condensed Consolidated Balance Sheets (Unaudited) </w:t>
              </w:r>
            </w:hyperlink>
            <w:hyperlink w:anchor="parti">
              <w:r>
                <w:rPr>
                  <w:rStyle w:val="InternetLink"/>
                  <w:rFonts w:ascii="Times New Roman;Times;serif" w:hAnsi="Times New Roman;Times;serif"/>
                  <w:caps w:val="false"/>
                  <w:smallCaps w:val="false"/>
                  <w:sz w:val="20"/>
                </w:rPr>
                <w:t>–</w:t>
              </w:r>
            </w:hyperlink>
            <w:hyperlink w:anchor="parti">
              <w:r>
                <w:rPr>
                  <w:rStyle w:val="InternetLink"/>
                  <w:rFonts w:ascii="Times New Roman;Times;serif" w:hAnsi="Times New Roman;Times;serif"/>
                  <w:caps w:val="false"/>
                  <w:smallCaps w:val="false"/>
                  <w:sz w:val="20"/>
                  <w:u w:val="single"/>
                </w:rPr>
                <w:t> March 31, 2026 and December 31, 2025</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22" w:type="dxa"/>
            <w:tcBorders/>
            <w:vAlign w:val="center"/>
          </w:tcPr>
          <w:p>
            <w:pPr>
              <w:pStyle w:val="TableContents"/>
              <w:bidi w:val="0"/>
              <w:spacing w:before="0" w:after="283"/>
              <w:jc w:val="left"/>
              <w:rPr/>
            </w:pPr>
            <w:r>
              <w:rPr/>
              <w:t> </w:t>
            </w:r>
          </w:p>
        </w:tc>
        <w:tc>
          <w:tcPr>
            <w:tcW w:w="8697" w:type="dxa"/>
            <w:tcBorders/>
            <w:vAlign w:val="center"/>
          </w:tcPr>
          <w:p>
            <w:pPr>
              <w:pStyle w:val="TableContents"/>
              <w:bidi w:val="0"/>
              <w:spacing w:before="0" w:after="0"/>
              <w:ind w:left="0" w:right="0" w:hanging="0"/>
              <w:jc w:val="both"/>
              <w:rPr/>
            </w:pPr>
            <w:hyperlink w:anchor="income">
              <w:r>
                <w:rPr>
                  <w:rStyle w:val="InternetLink"/>
                  <w:rFonts w:ascii="Times New Roman;Times;serif" w:hAnsi="Times New Roman;Times;serif"/>
                  <w:caps w:val="false"/>
                  <w:smallCaps w:val="false"/>
                  <w:sz w:val="20"/>
                  <w:u w:val="single"/>
                </w:rPr>
                <w:t xml:space="preserve">Condensed Consolidated Statements of Income (Unaudited) </w:t>
              </w:r>
            </w:hyperlink>
            <w:hyperlink w:anchor="income">
              <w:r>
                <w:rPr>
                  <w:rStyle w:val="InternetLink"/>
                  <w:rFonts w:ascii="Times New Roman;Times;serif" w:hAnsi="Times New Roman;Times;serif"/>
                  <w:caps w:val="false"/>
                  <w:smallCaps w:val="false"/>
                  <w:sz w:val="20"/>
                </w:rPr>
                <w:t>–</w:t>
              </w:r>
            </w:hyperlink>
            <w:hyperlink w:anchor="income">
              <w:r>
                <w:rPr>
                  <w:rStyle w:val="InternetLink"/>
                  <w:rFonts w:ascii="Times New Roman;Times;serif" w:hAnsi="Times New Roman;Times;serif"/>
                  <w:caps w:val="false"/>
                  <w:smallCaps w:val="false"/>
                  <w:sz w:val="20"/>
                  <w:u w:val="single"/>
                </w:rPr>
                <w:t> Three Months ended March 31, 2026 and 2025</w:t>
              </w:r>
            </w:hyperlink>
          </w:p>
        </w:tc>
        <w:tc>
          <w:tcPr>
            <w:tcW w:w="786" w:type="dxa"/>
            <w:tcBorders/>
            <w:vAlign w:val="center"/>
          </w:tcPr>
          <w:p>
            <w:pPr>
              <w:pStyle w:val="TableContents"/>
              <w:bidi w:val="0"/>
              <w:spacing w:before="0" w:after="0"/>
              <w:ind w:left="0" w:right="0" w:hanging="0"/>
              <w:jc w:val="right"/>
              <w:rPr/>
            </w:pPr>
            <w:hyperlink w:anchor="income">
              <w:r>
                <w:rPr>
                  <w:rStyle w:val="InternetLink"/>
                  <w:rFonts w:ascii="Times New Roman;Times;serif" w:hAnsi="Times New Roman;Times;serif"/>
                  <w:caps w:val="false"/>
                  <w:smallCaps w:val="false"/>
                  <w:sz w:val="20"/>
                </w:rPr>
                <w:t>2</w:t>
              </w:r>
            </w:hyperlink>
          </w:p>
        </w:tc>
      </w:tr>
      <w:tr>
        <w:trPr/>
        <w:tc>
          <w:tcPr>
            <w:tcW w:w="722" w:type="dxa"/>
            <w:tcBorders/>
            <w:vAlign w:val="center"/>
          </w:tcPr>
          <w:p>
            <w:pPr>
              <w:pStyle w:val="TableContents"/>
              <w:bidi w:val="0"/>
              <w:spacing w:before="0" w:after="283"/>
              <w:jc w:val="left"/>
              <w:rPr/>
            </w:pPr>
            <w:r>
              <w:rPr/>
              <w:t> </w:t>
            </w:r>
          </w:p>
        </w:tc>
        <w:tc>
          <w:tcPr>
            <w:tcW w:w="8697" w:type="dxa"/>
            <w:tcBorders/>
            <w:vAlign w:val="center"/>
          </w:tcPr>
          <w:p>
            <w:pPr>
              <w:pStyle w:val="TableContents"/>
              <w:bidi w:val="0"/>
              <w:spacing w:before="0" w:after="0"/>
              <w:ind w:left="0" w:right="0" w:hanging="0"/>
              <w:jc w:val="both"/>
              <w:rPr/>
            </w:pPr>
            <w:hyperlink w:anchor="compinc">
              <w:r>
                <w:rPr>
                  <w:rStyle w:val="InternetLink"/>
                  <w:rFonts w:ascii="Times New Roman;Times;serif" w:hAnsi="Times New Roman;Times;serif"/>
                  <w:caps w:val="false"/>
                  <w:smallCaps w:val="false"/>
                  <w:sz w:val="20"/>
                  <w:u w:val="single"/>
                </w:rPr>
                <w:t xml:space="preserve">Condensed Consolidated Statements of Comprehensive Income (Unaudited) </w:t>
              </w:r>
            </w:hyperlink>
            <w:hyperlink w:anchor="compinc">
              <w:r>
                <w:rPr>
                  <w:rStyle w:val="InternetLink"/>
                  <w:rFonts w:ascii="Times New Roman;Times;serif" w:hAnsi="Times New Roman;Times;serif"/>
                  <w:caps w:val="false"/>
                  <w:smallCaps w:val="false"/>
                  <w:sz w:val="20"/>
                </w:rPr>
                <w:t>–</w:t>
              </w:r>
            </w:hyperlink>
            <w:hyperlink w:anchor="compinc">
              <w:r>
                <w:rPr>
                  <w:rStyle w:val="InternetLink"/>
                  <w:rFonts w:ascii="Times New Roman;Times;serif" w:hAnsi="Times New Roman;Times;serif"/>
                  <w:caps w:val="false"/>
                  <w:smallCaps w:val="false"/>
                  <w:sz w:val="20"/>
                  <w:u w:val="single"/>
                </w:rPr>
                <w:t> Three Months ended March 31, 2026 and 2025</w:t>
              </w:r>
            </w:hyperlink>
          </w:p>
        </w:tc>
        <w:tc>
          <w:tcPr>
            <w:tcW w:w="786" w:type="dxa"/>
            <w:tcBorders/>
            <w:vAlign w:val="center"/>
          </w:tcPr>
          <w:p>
            <w:pPr>
              <w:pStyle w:val="TableContents"/>
              <w:bidi w:val="0"/>
              <w:spacing w:before="0" w:after="0"/>
              <w:ind w:left="0" w:right="0" w:hanging="0"/>
              <w:jc w:val="right"/>
              <w:rPr/>
            </w:pPr>
            <w:hyperlink w:anchor="compinc">
              <w:r>
                <w:rPr>
                  <w:rStyle w:val="InternetLink"/>
                  <w:rFonts w:ascii="Times New Roman;Times;serif" w:hAnsi="Times New Roman;Times;serif"/>
                  <w:caps w:val="false"/>
                  <w:smallCaps w:val="false"/>
                  <w:sz w:val="20"/>
                </w:rPr>
                <w:t>3</w:t>
              </w:r>
            </w:hyperlink>
          </w:p>
        </w:tc>
      </w:tr>
      <w:tr>
        <w:trPr/>
        <w:tc>
          <w:tcPr>
            <w:tcW w:w="722" w:type="dxa"/>
            <w:tcBorders/>
            <w:vAlign w:val="center"/>
          </w:tcPr>
          <w:p>
            <w:pPr>
              <w:pStyle w:val="TableContents"/>
              <w:bidi w:val="0"/>
              <w:spacing w:before="0" w:after="283"/>
              <w:jc w:val="left"/>
              <w:rPr/>
            </w:pPr>
            <w:r>
              <w:rPr/>
              <w:t> </w:t>
            </w:r>
          </w:p>
        </w:tc>
        <w:tc>
          <w:tcPr>
            <w:tcW w:w="8697" w:type="dxa"/>
            <w:tcBorders/>
            <w:vAlign w:val="center"/>
          </w:tcPr>
          <w:p>
            <w:pPr>
              <w:pStyle w:val="TableContents"/>
              <w:bidi w:val="0"/>
              <w:spacing w:before="0" w:after="0"/>
              <w:ind w:left="0" w:right="0" w:hanging="0"/>
              <w:jc w:val="both"/>
              <w:rPr/>
            </w:pPr>
            <w:hyperlink w:anchor="she">
              <w:r>
                <w:rPr>
                  <w:rStyle w:val="InternetLink"/>
                  <w:rFonts w:ascii="Times New Roman;Times;serif" w:hAnsi="Times New Roman;Times;serif"/>
                  <w:caps w:val="false"/>
                  <w:smallCaps w:val="false"/>
                  <w:sz w:val="20"/>
                  <w:u w:val="single"/>
                </w:rPr>
                <w:t xml:space="preserve">Condensed Consolidated Statement of Shareholders' Equity (Unaudited) </w:t>
              </w:r>
            </w:hyperlink>
            <w:hyperlink w:anchor="she">
              <w:r>
                <w:rPr>
                  <w:rStyle w:val="InternetLink"/>
                  <w:rFonts w:ascii="Times New Roman;Times;serif" w:hAnsi="Times New Roman;Times;serif"/>
                  <w:caps w:val="false"/>
                  <w:smallCaps w:val="false"/>
                  <w:sz w:val="20"/>
                </w:rPr>
                <w:t>–</w:t>
              </w:r>
            </w:hyperlink>
            <w:hyperlink w:anchor="she">
              <w:r>
                <w:rPr>
                  <w:rStyle w:val="InternetLink"/>
                  <w:rFonts w:ascii="Times New Roman;Times;serif" w:hAnsi="Times New Roman;Times;serif"/>
                  <w:caps w:val="false"/>
                  <w:smallCaps w:val="false"/>
                  <w:sz w:val="20"/>
                  <w:u w:val="single"/>
                </w:rPr>
                <w:t> Three Months ended March 31, 2026 and 2025</w:t>
              </w:r>
            </w:hyperlink>
          </w:p>
        </w:tc>
        <w:tc>
          <w:tcPr>
            <w:tcW w:w="786" w:type="dxa"/>
            <w:tcBorders/>
            <w:vAlign w:val="center"/>
          </w:tcPr>
          <w:p>
            <w:pPr>
              <w:pStyle w:val="TableContents"/>
              <w:bidi w:val="0"/>
              <w:spacing w:before="0" w:after="0"/>
              <w:ind w:left="0" w:right="0" w:hanging="0"/>
              <w:jc w:val="right"/>
              <w:rPr/>
            </w:pPr>
            <w:hyperlink w:anchor="she">
              <w:r>
                <w:rPr>
                  <w:rStyle w:val="InternetLink"/>
                  <w:rFonts w:ascii="Times New Roman;Times;serif" w:hAnsi="Times New Roman;Times;serif"/>
                  <w:caps w:val="false"/>
                  <w:smallCaps w:val="false"/>
                  <w:sz w:val="20"/>
                </w:rPr>
                <w:t>4</w:t>
              </w:r>
            </w:hyperlink>
          </w:p>
        </w:tc>
      </w:tr>
      <w:tr>
        <w:trPr/>
        <w:tc>
          <w:tcPr>
            <w:tcW w:w="722" w:type="dxa"/>
            <w:tcBorders/>
            <w:vAlign w:val="center"/>
          </w:tcPr>
          <w:p>
            <w:pPr>
              <w:pStyle w:val="TableContents"/>
              <w:bidi w:val="0"/>
              <w:spacing w:before="0" w:after="283"/>
              <w:jc w:val="left"/>
              <w:rPr/>
            </w:pPr>
            <w:r>
              <w:rPr/>
              <w:t> </w:t>
            </w:r>
          </w:p>
        </w:tc>
        <w:tc>
          <w:tcPr>
            <w:tcW w:w="8697" w:type="dxa"/>
            <w:tcBorders/>
            <w:vAlign w:val="center"/>
          </w:tcPr>
          <w:p>
            <w:pPr>
              <w:pStyle w:val="TableContents"/>
              <w:bidi w:val="0"/>
              <w:spacing w:before="0" w:after="0"/>
              <w:ind w:left="0" w:right="0" w:hanging="0"/>
              <w:jc w:val="both"/>
              <w:rPr/>
            </w:pPr>
            <w:hyperlink w:anchor="cfs">
              <w:r>
                <w:rPr>
                  <w:rStyle w:val="InternetLink"/>
                  <w:rFonts w:ascii="Times New Roman;Times;serif" w:hAnsi="Times New Roman;Times;serif"/>
                  <w:caps w:val="false"/>
                  <w:smallCaps w:val="false"/>
                  <w:sz w:val="20"/>
                  <w:u w:val="single"/>
                </w:rPr>
                <w:t xml:space="preserve">Condensed Consolidated Statements of Cash Flows (Unaudited) </w:t>
              </w:r>
            </w:hyperlink>
            <w:hyperlink w:anchor="cfs">
              <w:r>
                <w:rPr>
                  <w:rStyle w:val="InternetLink"/>
                  <w:rFonts w:ascii="Times New Roman;Times;serif" w:hAnsi="Times New Roman;Times;serif"/>
                  <w:caps w:val="false"/>
                  <w:smallCaps w:val="false"/>
                  <w:sz w:val="20"/>
                </w:rPr>
                <w:t>–</w:t>
              </w:r>
            </w:hyperlink>
            <w:hyperlink w:anchor="cfs">
              <w:r>
                <w:rPr>
                  <w:rStyle w:val="InternetLink"/>
                  <w:rFonts w:ascii="Times New Roman;Times;serif" w:hAnsi="Times New Roman;Times;serif"/>
                  <w:caps w:val="false"/>
                  <w:smallCaps w:val="false"/>
                  <w:sz w:val="20"/>
                  <w:u w:val="single"/>
                </w:rPr>
                <w:t> Three Months ended March 31, 2026 and 2025</w:t>
              </w:r>
            </w:hyperlink>
          </w:p>
        </w:tc>
        <w:tc>
          <w:tcPr>
            <w:tcW w:w="786" w:type="dxa"/>
            <w:tcBorders/>
            <w:vAlign w:val="center"/>
          </w:tcPr>
          <w:p>
            <w:pPr>
              <w:pStyle w:val="TableContents"/>
              <w:bidi w:val="0"/>
              <w:spacing w:before="0" w:after="0"/>
              <w:ind w:left="0" w:right="0" w:hanging="0"/>
              <w:jc w:val="right"/>
              <w:rPr/>
            </w:pPr>
            <w:hyperlink w:anchor="cfs">
              <w:r>
                <w:rPr>
                  <w:rStyle w:val="InternetLink"/>
                  <w:rFonts w:ascii="Times New Roman;Times;serif" w:hAnsi="Times New Roman;Times;serif"/>
                  <w:caps w:val="false"/>
                  <w:smallCaps w:val="false"/>
                  <w:sz w:val="20"/>
                </w:rPr>
                <w:t>5</w:t>
              </w:r>
            </w:hyperlink>
          </w:p>
        </w:tc>
      </w:tr>
      <w:tr>
        <w:trPr/>
        <w:tc>
          <w:tcPr>
            <w:tcW w:w="722" w:type="dxa"/>
            <w:tcBorders/>
            <w:vAlign w:val="center"/>
          </w:tcPr>
          <w:p>
            <w:pPr>
              <w:pStyle w:val="TableContents"/>
              <w:bidi w:val="0"/>
              <w:spacing w:before="0" w:after="283"/>
              <w:jc w:val="left"/>
              <w:rPr/>
            </w:pPr>
            <w:r>
              <w:rPr/>
              <w:t> </w:t>
            </w:r>
          </w:p>
        </w:tc>
        <w:tc>
          <w:tcPr>
            <w:tcW w:w="8697" w:type="dxa"/>
            <w:tcBorders/>
            <w:vAlign w:val="center"/>
          </w:tcPr>
          <w:p>
            <w:pPr>
              <w:pStyle w:val="TableContents"/>
              <w:bidi w:val="0"/>
              <w:spacing w:before="0" w:after="0"/>
              <w:ind w:left="0" w:right="0" w:hanging="0"/>
              <w:jc w:val="both"/>
              <w:rPr/>
            </w:pPr>
            <w:hyperlink w:anchor="notes">
              <w:r>
                <w:rPr>
                  <w:rStyle w:val="InternetLink"/>
                  <w:rFonts w:ascii="Times New Roman;Times;serif" w:hAnsi="Times New Roman;Times;serif"/>
                  <w:caps w:val="false"/>
                  <w:smallCaps w:val="false"/>
                  <w:sz w:val="20"/>
                  <w:u w:val="single"/>
                </w:rPr>
                <w:t>Notes to Condensed Consolidated Financial Statements (Unaudited)</w:t>
              </w:r>
            </w:hyperlink>
          </w:p>
        </w:tc>
        <w:tc>
          <w:tcPr>
            <w:tcW w:w="786"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caps w:val="false"/>
                  <w:smallCaps w:val="false"/>
                  <w:sz w:val="20"/>
                </w:rPr>
                <w:t>6</w:t>
              </w:r>
            </w:hyperlink>
          </w:p>
        </w:tc>
      </w:tr>
      <w:tr>
        <w:trPr/>
        <w:tc>
          <w:tcPr>
            <w:tcW w:w="7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697" w:type="dxa"/>
            <w:tcBorders/>
            <w:vAlign w:val="center"/>
          </w:tcPr>
          <w:p>
            <w:pPr>
              <w:pStyle w:val="TableContents"/>
              <w:bidi w:val="0"/>
              <w:spacing w:before="0" w:after="0"/>
              <w:ind w:left="0" w:right="0" w:hanging="0"/>
              <w:jc w:val="both"/>
              <w:rPr/>
            </w:pPr>
            <w:hyperlink w:anchor="mda">
              <w:r>
                <w:rPr>
                  <w:rStyle w:val="InternetLink"/>
                  <w:rFonts w:ascii="Times New Roman;Times;serif" w:hAnsi="Times New Roman;Times;serif"/>
                  <w:caps w:val="false"/>
                  <w:smallCaps w:val="false"/>
                  <w:sz w:val="20"/>
                  <w:u w:val="single"/>
                </w:rPr>
                <w:t>Management's Discussion and Analysis of Financial Condition and Results of Operations</w:t>
              </w:r>
            </w:hyperlink>
          </w:p>
        </w:tc>
        <w:tc>
          <w:tcPr>
            <w:tcW w:w="786" w:type="dxa"/>
            <w:tcBorders/>
            <w:vAlign w:val="center"/>
          </w:tcPr>
          <w:p>
            <w:pPr>
              <w:pStyle w:val="TableContents"/>
              <w:bidi w:val="0"/>
              <w:spacing w:before="0" w:after="0"/>
              <w:ind w:left="0" w:right="0" w:hanging="0"/>
              <w:jc w:val="right"/>
              <w:rPr/>
            </w:pPr>
            <w:hyperlink w:anchor="mda">
              <w:r>
                <w:rPr>
                  <w:rStyle w:val="InternetLink"/>
                  <w:rFonts w:ascii="Times New Roman;Times;serif" w:hAnsi="Times New Roman;Times;serif"/>
                  <w:caps w:val="false"/>
                  <w:smallCaps w:val="false"/>
                  <w:sz w:val="20"/>
                </w:rPr>
                <w:t>15</w:t>
              </w:r>
            </w:hyperlink>
          </w:p>
        </w:tc>
      </w:tr>
      <w:tr>
        <w:trPr/>
        <w:tc>
          <w:tcPr>
            <w:tcW w:w="7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697" w:type="dxa"/>
            <w:tcBorders/>
            <w:vAlign w:val="center"/>
          </w:tcPr>
          <w:p>
            <w:pPr>
              <w:pStyle w:val="TableContents"/>
              <w:bidi w:val="0"/>
              <w:spacing w:before="0" w:after="0"/>
              <w:ind w:left="0" w:right="0" w:hanging="0"/>
              <w:jc w:val="both"/>
              <w:rPr/>
            </w:pPr>
            <w:hyperlink w:anchor="qqmdr">
              <w:r>
                <w:rPr>
                  <w:rStyle w:val="InternetLink"/>
                  <w:rFonts w:ascii="Times New Roman;Times;serif" w:hAnsi="Times New Roman;Times;serif"/>
                  <w:caps w:val="false"/>
                  <w:smallCaps w:val="false"/>
                  <w:sz w:val="20"/>
                  <w:u w:val="single"/>
                </w:rPr>
                <w:t>Quantitative and Qualitative Disclosures about Market Risk</w:t>
              </w:r>
            </w:hyperlink>
          </w:p>
        </w:tc>
        <w:tc>
          <w:tcPr>
            <w:tcW w:w="786" w:type="dxa"/>
            <w:tcBorders/>
            <w:vAlign w:val="center"/>
          </w:tcPr>
          <w:p>
            <w:pPr>
              <w:pStyle w:val="TableContents"/>
              <w:bidi w:val="0"/>
              <w:spacing w:before="0" w:after="0"/>
              <w:ind w:left="0" w:right="0" w:hanging="0"/>
              <w:jc w:val="right"/>
              <w:rPr/>
            </w:pPr>
            <w:hyperlink w:anchor="qqmdr">
              <w:r>
                <w:rPr>
                  <w:rStyle w:val="InternetLink"/>
                  <w:rFonts w:ascii="Times New Roman;Times;serif" w:hAnsi="Times New Roman;Times;serif"/>
                  <w:caps w:val="false"/>
                  <w:smallCaps w:val="false"/>
                  <w:sz w:val="20"/>
                </w:rPr>
                <w:t>20</w:t>
              </w:r>
            </w:hyperlink>
          </w:p>
        </w:tc>
      </w:tr>
      <w:tr>
        <w:trPr/>
        <w:tc>
          <w:tcPr>
            <w:tcW w:w="7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697" w:type="dxa"/>
            <w:tcBorders/>
            <w:vAlign w:val="center"/>
          </w:tcPr>
          <w:p>
            <w:pPr>
              <w:pStyle w:val="TableContents"/>
              <w:bidi w:val="0"/>
              <w:spacing w:before="0" w:after="0"/>
              <w:ind w:left="0" w:right="0" w:hanging="0"/>
              <w:jc w:val="both"/>
              <w:rPr/>
            </w:pPr>
            <w:hyperlink w:anchor="cps">
              <w:r>
                <w:rPr>
                  <w:rStyle w:val="InternetLink"/>
                  <w:rFonts w:ascii="Times New Roman;Times;serif" w:hAnsi="Times New Roman;Times;serif"/>
                  <w:caps w:val="false"/>
                  <w:smallCaps w:val="false"/>
                  <w:sz w:val="20"/>
                  <w:u w:val="single"/>
                </w:rPr>
                <w:t>Controls and Procedures</w:t>
              </w:r>
            </w:hyperlink>
          </w:p>
        </w:tc>
        <w:tc>
          <w:tcPr>
            <w:tcW w:w="786" w:type="dxa"/>
            <w:tcBorders/>
            <w:vAlign w:val="center"/>
          </w:tcPr>
          <w:p>
            <w:pPr>
              <w:pStyle w:val="TableContents"/>
              <w:bidi w:val="0"/>
              <w:spacing w:before="0" w:after="0"/>
              <w:ind w:left="0" w:right="0" w:hanging="0"/>
              <w:jc w:val="right"/>
              <w:rPr/>
            </w:pPr>
            <w:hyperlink w:anchor="cps">
              <w:r>
                <w:rPr>
                  <w:rStyle w:val="InternetLink"/>
                  <w:rFonts w:ascii="Times New Roman;Times;serif" w:hAnsi="Times New Roman;Times;serif"/>
                  <w:caps w:val="false"/>
                  <w:smallCaps w:val="false"/>
                  <w:sz w:val="20"/>
                </w:rPr>
                <w:t>20</w:t>
              </w:r>
            </w:hyperlink>
          </w:p>
        </w:tc>
      </w:tr>
      <w:tr>
        <w:trPr/>
        <w:tc>
          <w:tcPr>
            <w:tcW w:w="7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Part II.</w:t>
            </w:r>
          </w:p>
        </w:tc>
        <w:tc>
          <w:tcPr>
            <w:tcW w:w="8697" w:type="dxa"/>
            <w:tcBorders/>
            <w:vAlign w:val="center"/>
          </w:tcPr>
          <w:p>
            <w:pPr>
              <w:pStyle w:val="TableContents"/>
              <w:bidi w:val="0"/>
              <w:spacing w:before="0" w:after="0"/>
              <w:ind w:left="0" w:right="0" w:hanging="0"/>
              <w:jc w:val="both"/>
              <w:rPr/>
            </w:pPr>
            <w:hyperlink w:anchor="partii">
              <w:r>
                <w:rPr>
                  <w:rStyle w:val="InternetLink"/>
                  <w:rFonts w:ascii="Times New Roman;Times;serif" w:hAnsi="Times New Roman;Times;serif"/>
                  <w:caps w:val="false"/>
                  <w:smallCaps w:val="false"/>
                  <w:sz w:val="20"/>
                  <w:u w:val="single"/>
                </w:rPr>
                <w:t>Other Information</w:t>
              </w:r>
            </w:hyperlink>
          </w:p>
        </w:tc>
        <w:tc>
          <w:tcPr>
            <w:tcW w:w="786" w:type="dxa"/>
            <w:tcBorders/>
            <w:vAlign w:val="center"/>
          </w:tcPr>
          <w:p>
            <w:pPr>
              <w:pStyle w:val="TableContents"/>
              <w:bidi w:val="0"/>
              <w:spacing w:before="0" w:after="0"/>
              <w:ind w:left="0" w:right="0" w:hanging="0"/>
              <w:jc w:val="right"/>
              <w:rPr/>
            </w:pPr>
            <w:hyperlink w:anchor="partii">
              <w:r>
                <w:rPr>
                  <w:rStyle w:val="InternetLink"/>
                  <w:rFonts w:ascii="Times New Roman;Times;serif" w:hAnsi="Times New Roman;Times;serif"/>
                  <w:caps w:val="false"/>
                  <w:smallCaps w:val="false"/>
                  <w:sz w:val="20"/>
                </w:rPr>
                <w:t>21</w:t>
              </w:r>
            </w:hyperlink>
          </w:p>
        </w:tc>
      </w:tr>
      <w:tr>
        <w:trPr/>
        <w:tc>
          <w:tcPr>
            <w:tcW w:w="7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697" w:type="dxa"/>
            <w:tcBorders/>
            <w:vAlign w:val="center"/>
          </w:tcPr>
          <w:p>
            <w:pPr>
              <w:pStyle w:val="TableContents"/>
              <w:bidi w:val="0"/>
              <w:spacing w:before="0" w:after="283"/>
              <w:jc w:val="left"/>
              <w:rPr/>
            </w:pPr>
            <w:hyperlink w:anchor="Item_1_Legal_Proceedings">
              <w:r>
                <w:rPr>
                  <w:rStyle w:val="InternetLink"/>
                  <w:rFonts w:ascii="Times New Roman;Times;serif" w:hAnsi="Times New Roman;Times;serif"/>
                  <w:sz w:val="20"/>
                </w:rPr>
                <w:t>Legal Proceedings</w:t>
              </w:r>
            </w:hyperlink>
          </w:p>
        </w:tc>
        <w:tc>
          <w:tcPr>
            <w:tcW w:w="786" w:type="dxa"/>
            <w:tcBorders/>
            <w:vAlign w:val="center"/>
          </w:tcPr>
          <w:p>
            <w:pPr>
              <w:pStyle w:val="TableContents"/>
              <w:bidi w:val="0"/>
              <w:spacing w:before="0" w:after="283"/>
              <w:jc w:val="right"/>
              <w:rPr/>
            </w:pPr>
            <w:hyperlink w:anchor="Item_1_Legal_Proceedings">
              <w:r>
                <w:rPr>
                  <w:rStyle w:val="InternetLink"/>
                  <w:rFonts w:ascii="Times New Roman;Times;serif" w:hAnsi="Times New Roman;Times;serif"/>
                  <w:sz w:val="20"/>
                </w:rPr>
                <w:t>21</w:t>
              </w:r>
            </w:hyperlink>
          </w:p>
        </w:tc>
      </w:tr>
      <w:tr>
        <w:trPr/>
        <w:tc>
          <w:tcPr>
            <w:tcW w:w="7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697" w:type="dxa"/>
            <w:tcBorders/>
            <w:vAlign w:val="center"/>
          </w:tcPr>
          <w:p>
            <w:pPr>
              <w:pStyle w:val="TableContents"/>
              <w:bidi w:val="0"/>
              <w:spacing w:before="0" w:after="0"/>
              <w:ind w:left="0" w:right="0" w:hanging="0"/>
              <w:jc w:val="both"/>
              <w:rPr/>
            </w:pPr>
            <w:hyperlink w:anchor="risks">
              <w:r>
                <w:rPr>
                  <w:rStyle w:val="InternetLink"/>
                  <w:rFonts w:ascii="Times New Roman;Times;serif" w:hAnsi="Times New Roman;Times;serif"/>
                  <w:caps w:val="false"/>
                  <w:smallCaps w:val="false"/>
                  <w:sz w:val="20"/>
                  <w:u w:val="single"/>
                </w:rPr>
                <w:t>Risk Factors</w:t>
              </w:r>
            </w:hyperlink>
          </w:p>
        </w:tc>
        <w:tc>
          <w:tcPr>
            <w:tcW w:w="786" w:type="dxa"/>
            <w:tcBorders/>
            <w:vAlign w:val="center"/>
          </w:tcPr>
          <w:p>
            <w:pPr>
              <w:pStyle w:val="TableContents"/>
              <w:bidi w:val="0"/>
              <w:spacing w:before="0" w:after="0"/>
              <w:ind w:left="0" w:right="0" w:hanging="0"/>
              <w:jc w:val="right"/>
              <w:rPr/>
            </w:pPr>
            <w:hyperlink w:anchor="risks">
              <w:r>
                <w:rPr>
                  <w:rStyle w:val="InternetLink"/>
                  <w:rFonts w:ascii="Times New Roman;Times;serif" w:hAnsi="Times New Roman;Times;serif"/>
                  <w:caps w:val="false"/>
                  <w:smallCaps w:val="false"/>
                  <w:sz w:val="20"/>
                </w:rPr>
                <w:t>21</w:t>
              </w:r>
            </w:hyperlink>
          </w:p>
        </w:tc>
      </w:tr>
      <w:tr>
        <w:trPr/>
        <w:tc>
          <w:tcPr>
            <w:tcW w:w="7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697" w:type="dxa"/>
            <w:tcBorders/>
            <w:vAlign w:val="center"/>
          </w:tcPr>
          <w:p>
            <w:pPr>
              <w:pStyle w:val="TableContents"/>
              <w:bidi w:val="0"/>
              <w:spacing w:before="0" w:after="283"/>
              <w:jc w:val="left"/>
              <w:rPr/>
            </w:pPr>
            <w:hyperlink w:anchor="Item_2_Sales_of_Equity">
              <w:r>
                <w:rPr>
                  <w:rStyle w:val="InternetLink"/>
                  <w:rFonts w:ascii="Times New Roman;Times;serif" w:hAnsi="Times New Roman;Times;serif"/>
                  <w:sz w:val="20"/>
                </w:rPr>
                <w:t>Unregistered Sales of Equity Securities and Use of Proceeds</w:t>
              </w:r>
            </w:hyperlink>
          </w:p>
        </w:tc>
        <w:tc>
          <w:tcPr>
            <w:tcW w:w="786" w:type="dxa"/>
            <w:tcBorders/>
            <w:vAlign w:val="center"/>
          </w:tcPr>
          <w:p>
            <w:pPr>
              <w:pStyle w:val="TableContents"/>
              <w:bidi w:val="0"/>
              <w:spacing w:before="0" w:after="283"/>
              <w:jc w:val="right"/>
              <w:rPr/>
            </w:pPr>
            <w:hyperlink w:anchor="Item_2_Sales_of_Equity">
              <w:r>
                <w:rPr>
                  <w:rStyle w:val="InternetLink"/>
                  <w:rFonts w:ascii="Times New Roman;Times;serif" w:hAnsi="Times New Roman;Times;serif"/>
                  <w:sz w:val="20"/>
                </w:rPr>
                <w:t>21</w:t>
              </w:r>
            </w:hyperlink>
          </w:p>
        </w:tc>
      </w:tr>
      <w:tr>
        <w:trPr/>
        <w:tc>
          <w:tcPr>
            <w:tcW w:w="7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8697" w:type="dxa"/>
            <w:tcBorders/>
            <w:vAlign w:val="center"/>
          </w:tcPr>
          <w:p>
            <w:pPr>
              <w:pStyle w:val="TableContents"/>
              <w:bidi w:val="0"/>
              <w:spacing w:before="0" w:after="283"/>
              <w:jc w:val="left"/>
              <w:rPr/>
            </w:pPr>
            <w:hyperlink w:anchor="Item_5_Other_Info">
              <w:r>
                <w:rPr>
                  <w:rStyle w:val="InternetLink"/>
                  <w:rFonts w:ascii="Times New Roman;Times;serif" w:hAnsi="Times New Roman;Times;serif"/>
                  <w:sz w:val="20"/>
                </w:rPr>
                <w:t>Other Information</w:t>
              </w:r>
            </w:hyperlink>
          </w:p>
        </w:tc>
        <w:tc>
          <w:tcPr>
            <w:tcW w:w="786" w:type="dxa"/>
            <w:tcBorders/>
            <w:vAlign w:val="center"/>
          </w:tcPr>
          <w:p>
            <w:pPr>
              <w:pStyle w:val="TableContents"/>
              <w:bidi w:val="0"/>
              <w:spacing w:before="0" w:after="283"/>
              <w:jc w:val="right"/>
              <w:rPr/>
            </w:pPr>
            <w:hyperlink w:anchor="Item_5_Other_Info">
              <w:r>
                <w:rPr>
                  <w:rStyle w:val="InternetLink"/>
                  <w:rFonts w:ascii="Times New Roman;Times;serif" w:hAnsi="Times New Roman;Times;serif"/>
                  <w:sz w:val="20"/>
                </w:rPr>
                <w:t>21</w:t>
              </w:r>
            </w:hyperlink>
          </w:p>
        </w:tc>
      </w:tr>
      <w:tr>
        <w:trPr/>
        <w:tc>
          <w:tcPr>
            <w:tcW w:w="7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697" w:type="dxa"/>
            <w:tcBorders/>
            <w:vAlign w:val="center"/>
          </w:tcPr>
          <w:p>
            <w:pPr>
              <w:pStyle w:val="TableContents"/>
              <w:bidi w:val="0"/>
              <w:spacing w:before="0" w:after="0"/>
              <w:ind w:left="0" w:right="0" w:hanging="0"/>
              <w:jc w:val="both"/>
              <w:rPr/>
            </w:pPr>
            <w:hyperlink w:anchor="exs">
              <w:r>
                <w:rPr>
                  <w:rStyle w:val="InternetLink"/>
                  <w:rFonts w:ascii="Times New Roman;Times;serif" w:hAnsi="Times New Roman;Times;serif"/>
                  <w:caps w:val="false"/>
                  <w:smallCaps w:val="false"/>
                  <w:sz w:val="20"/>
                  <w:u w:val="single"/>
                </w:rPr>
                <w:t>Exhibits</w:t>
              </w:r>
            </w:hyperlink>
          </w:p>
        </w:tc>
        <w:tc>
          <w:tcPr>
            <w:tcW w:w="786" w:type="dxa"/>
            <w:tcBorders/>
            <w:vAlign w:val="center"/>
          </w:tcPr>
          <w:p>
            <w:pPr>
              <w:pStyle w:val="TableContents"/>
              <w:bidi w:val="0"/>
              <w:spacing w:before="0" w:after="0"/>
              <w:ind w:left="0" w:right="0" w:hanging="0"/>
              <w:jc w:val="right"/>
              <w:rPr/>
            </w:pPr>
            <w:hyperlink w:anchor="exs">
              <w:r>
                <w:rPr>
                  <w:rStyle w:val="InternetLink"/>
                  <w:rFonts w:ascii="Times New Roman;Times;serif" w:hAnsi="Times New Roman;Times;serif"/>
                  <w:caps w:val="false"/>
                  <w:smallCaps w:val="false"/>
                  <w:sz w:val="20"/>
                </w:rPr>
                <w:t>22</w:t>
              </w:r>
            </w:hyperlink>
          </w:p>
        </w:tc>
      </w:tr>
      <w:tr>
        <w:trPr/>
        <w:tc>
          <w:tcPr>
            <w:tcW w:w="722" w:type="dxa"/>
            <w:tcBorders/>
            <w:vAlign w:val="center"/>
          </w:tcPr>
          <w:p>
            <w:pPr>
              <w:pStyle w:val="TableContents"/>
              <w:bidi w:val="0"/>
              <w:spacing w:before="0" w:after="283"/>
              <w:jc w:val="left"/>
              <w:rPr/>
            </w:pPr>
            <w:r>
              <w:rPr/>
              <w:t> </w:t>
            </w:r>
          </w:p>
        </w:tc>
        <w:tc>
          <w:tcPr>
            <w:tcW w:w="8697" w:type="dxa"/>
            <w:tcBorders/>
            <w:vAlign w:val="center"/>
          </w:tcPr>
          <w:p>
            <w:pPr>
              <w:pStyle w:val="TableContents"/>
              <w:bidi w:val="0"/>
              <w:spacing w:before="0" w:after="0"/>
              <w:ind w:left="0" w:right="0" w:hanging="0"/>
              <w:jc w:val="both"/>
              <w:rPr/>
            </w:pPr>
            <w:hyperlink w:anchor="sigs">
              <w:r>
                <w:rPr>
                  <w:rStyle w:val="InternetLink"/>
                  <w:rFonts w:ascii="Times New Roman;Times;serif" w:hAnsi="Times New Roman;Times;serif"/>
                  <w:caps w:val="false"/>
                  <w:smallCaps w:val="false"/>
                  <w:sz w:val="20"/>
                  <w:u w:val="single"/>
                </w:rPr>
                <w:t>SIGNATURE</w:t>
              </w:r>
            </w:hyperlink>
          </w:p>
        </w:tc>
        <w:tc>
          <w:tcPr>
            <w:tcW w:w="786"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caps w:val="false"/>
                  <w:smallCaps w:val="false"/>
                  <w:sz w:val="20"/>
                </w:rPr>
                <w:t>23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i/>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63"/>
        <w:gridCol w:w="60"/>
        <w:gridCol w:w="129"/>
        <w:gridCol w:w="720"/>
        <w:gridCol w:w="80"/>
        <w:gridCol w:w="60"/>
        <w:gridCol w:w="153"/>
        <w:gridCol w:w="858"/>
        <w:gridCol w:w="82"/>
      </w:tblGrid>
      <w:tr>
        <w:trPr/>
        <w:tc>
          <w:tcPr>
            <w:tcW w:w="8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36,161</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20,843</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32,153</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 unbilled</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6,845</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23,654</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119,656</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10,661</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development, net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45,581</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 net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15,272</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212,701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217,518</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64,930</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46,756</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520,374</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7,769</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royalties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5,595</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11,166</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11,199</w:t>
            </w:r>
          </w:p>
        </w:tc>
        <w:tc>
          <w:tcPr>
            <w:tcW w:w="82" w:type="dxa"/>
            <w:tcBorders/>
            <w:shd w:fill="CCEEFF" w:val="clear"/>
            <w:vAlign w:val="center"/>
          </w:tcPr>
          <w:p>
            <w:pPr>
              <w:pStyle w:val="TableContents"/>
              <w:bidi w:val="0"/>
              <w:spacing w:before="0" w:after="0"/>
              <w:jc w:val="left"/>
              <w:rPr/>
            </w:pPr>
            <w:r>
              <w:rPr/>
              <w:t> </w:t>
            </w:r>
          </w:p>
        </w:tc>
      </w:tr>
      <w:tr>
        <w:trPr/>
        <w:tc>
          <w:tcPr>
            <w:tcW w:w="806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88,417</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124,146</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18,246</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noncurrent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noncurrent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14,684</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7,931</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no par value, 10,000 shares authorized, no shares issued or outstanding</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 75,000 shares authorized; 29,305 and 29,579 shares issued and outstanding at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231,797</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123,587</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63"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351,992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354,023</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520,374</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 w:name="income"/>
      <w:bookmarkEnd w:id="4"/>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INCOME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7824" w:type="dxa"/>
        <w:jc w:val="left"/>
        <w:tblInd w:w="0" w:type="dxa"/>
        <w:tblLayout w:type="fixed"/>
        <w:tblCellMar>
          <w:top w:w="0" w:type="dxa"/>
          <w:left w:w="0" w:type="dxa"/>
          <w:bottom w:w="0" w:type="dxa"/>
          <w:right w:w="0" w:type="dxa"/>
        </w:tblCellMar>
      </w:tblPr>
      <w:tblGrid>
        <w:gridCol w:w="4850"/>
        <w:gridCol w:w="60"/>
        <w:gridCol w:w="234"/>
        <w:gridCol w:w="1105"/>
        <w:gridCol w:w="89"/>
        <w:gridCol w:w="67"/>
        <w:gridCol w:w="234"/>
        <w:gridCol w:w="1105"/>
        <w:gridCol w:w="80"/>
      </w:tblGrid>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2025</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sz w:val="20"/>
              </w:rPr>
            </w:pPr>
            <w:r>
              <w:rPr>
                <w:sz w:val="20"/>
              </w:rPr>
              <w:t>$</w:t>
            </w:r>
          </w:p>
        </w:tc>
        <w:tc>
          <w:tcPr>
            <w:tcW w:w="1105" w:type="dxa"/>
            <w:tcBorders/>
            <w:shd w:fill="CCEEFF" w:val="clear"/>
            <w:vAlign w:val="center"/>
          </w:tcPr>
          <w:p>
            <w:pPr>
              <w:pStyle w:val="TableContents"/>
              <w:bidi w:val="0"/>
              <w:spacing w:before="0" w:after="283"/>
              <w:ind w:left="0" w:right="0" w:hanging="0"/>
              <w:jc w:val="right"/>
              <w:rPr>
                <w:sz w:val="20"/>
              </w:rPr>
            </w:pPr>
            <w:r>
              <w:rPr>
                <w:sz w:val="20"/>
              </w:rPr>
              <w:t>81,203</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sz w:val="20"/>
              </w:rPr>
            </w:pPr>
            <w:r>
              <w:rPr>
                <w:sz w:val="20"/>
              </w:rPr>
              <w:t>$</w:t>
            </w:r>
          </w:p>
        </w:tc>
        <w:tc>
          <w:tcPr>
            <w:tcW w:w="1105" w:type="dxa"/>
            <w:tcBorders/>
            <w:shd w:fill="CCEEFF" w:val="clear"/>
            <w:vAlign w:val="center"/>
          </w:tcPr>
          <w:p>
            <w:pPr>
              <w:pStyle w:val="TableContents"/>
              <w:bidi w:val="0"/>
              <w:spacing w:before="0" w:after="283"/>
              <w:ind w:left="0" w:right="0" w:hanging="0"/>
              <w:jc w:val="right"/>
              <w:rPr>
                <w:sz w:val="20"/>
              </w:rPr>
            </w:pPr>
            <w:r>
              <w:rPr>
                <w:sz w:val="20"/>
              </w:rPr>
              <w:t>73,485</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b w:val="false"/>
                <w:sz w:val="20"/>
              </w:rPr>
            </w:pPr>
            <w:r>
              <w:rPr>
                <w:rFonts w:ascii="Times New Roman;Times;serif" w:hAnsi="Times New Roman;Times;serif"/>
                <w:b w:val="false"/>
                <w:sz w:val="20"/>
              </w:rPr>
              <w:t>Cost of revenues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sz w:val="20"/>
              </w:rPr>
            </w:pPr>
            <w:r>
              <w:rPr>
                <w:sz w:val="20"/>
              </w:rPr>
              <w:t>27,758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sz w:val="20"/>
              </w:rPr>
            </w:pPr>
            <w:r>
              <w:rPr>
                <w:sz w:val="20"/>
              </w:rPr>
              <w:t>25,487</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Times;serif" w:hAnsi="Times New Roman;Times;serif"/>
                <w:b w:val="false"/>
                <w:sz w:val="20"/>
              </w:rPr>
            </w:pPr>
            <w:r>
              <w:rPr>
                <w:rFonts w:ascii="Times New Roman;Times;serif" w:hAnsi="Times New Roman;Times;serif"/>
                <w:b w:val="false"/>
                <w:sz w:val="20"/>
              </w:rPr>
              <w:t>Product development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sz w:val="20"/>
              </w:rPr>
            </w:pPr>
            <w:r>
              <w:rPr>
                <w:sz w:val="20"/>
              </w:rPr>
              <w:t>13,606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sz w:val="20"/>
              </w:rPr>
            </w:pPr>
            <w:r>
              <w:rPr>
                <w:sz w:val="20"/>
              </w:rPr>
              <w:t>12,047</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b w:val="false"/>
                <w:sz w:val="20"/>
              </w:rPr>
            </w:pPr>
            <w:r>
              <w:rPr>
                <w:rFonts w:ascii="Times New Roman;Times;serif" w:hAnsi="Times New Roman;Times;serif"/>
                <w:b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sz w:val="20"/>
              </w:rPr>
            </w:pPr>
            <w:r>
              <w:rPr>
                <w:sz w:val="20"/>
              </w:rPr>
              <w:t>12,960</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sz w:val="20"/>
              </w:rPr>
            </w:pPr>
            <w:r>
              <w:rPr>
                <w:sz w:val="20"/>
              </w:rPr>
              <w:t>12,149</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Times;serif" w:hAnsi="Times New Roman;Times;serif"/>
                <w:b w:val="false"/>
                <w:sz w:val="20"/>
              </w:rPr>
            </w:pPr>
            <w:r>
              <w:rPr>
                <w:rFonts w:ascii="Times New Roman;Times;serif" w:hAnsi="Times New Roman;Times;serif"/>
                <w:b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sz w:val="20"/>
              </w:rPr>
            </w:pPr>
            <w:r>
              <w:rPr>
                <w:sz w:val="20"/>
              </w:rPr>
              <w:t>8,002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sz w:val="20"/>
              </w:rPr>
            </w:pPr>
            <w:r>
              <w:rPr>
                <w:sz w:val="20"/>
              </w:rPr>
              <w:t>8,669</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b w:val="false"/>
                <w:sz w:val="20"/>
              </w:rPr>
            </w:pPr>
            <w:r>
              <w:rPr>
                <w:rFonts w:ascii="Times New Roman;Times;serif" w:hAnsi="Times New Roman;Times;serif"/>
                <w:b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11,365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10,755</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540" w:right="0" w:hanging="0"/>
              <w:jc w:val="left"/>
              <w:rPr>
                <w:rFonts w:ascii="Times New Roman;Times;serif" w:hAnsi="Times New Roman;Times;serif"/>
                <w:b w:val="false"/>
                <w:sz w:val="20"/>
              </w:rPr>
            </w:pPr>
            <w:r>
              <w:rPr>
                <w:rFonts w:ascii="Times New Roman;Times;serif" w:hAnsi="Times New Roman;Times;serif"/>
                <w:b w:val="false"/>
                <w:sz w:val="20"/>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sz w:val="20"/>
              </w:rPr>
            </w:pPr>
            <w:r>
              <w:rPr>
                <w:sz w:val="20"/>
              </w:rPr>
              <w:t>73,691</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sz w:val="20"/>
              </w:rPr>
            </w:pPr>
            <w:r>
              <w:rPr>
                <w:sz w:val="20"/>
              </w:rPr>
              <w:t>69,107</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sz w:val="20"/>
              </w:rPr>
            </w:pPr>
            <w:r>
              <w:rPr>
                <w:sz w:val="20"/>
              </w:rPr>
              <w:t>7,512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sz w:val="20"/>
              </w:rPr>
            </w:pPr>
            <w:r>
              <w:rPr>
                <w:sz w:val="20"/>
              </w:rPr>
              <w:t>4,378</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sz w:val="20"/>
              </w:rPr>
            </w:pPr>
            <w:r>
              <w:rPr>
                <w:sz w:val="20"/>
              </w:rPr>
              <w:t>414</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sz w:val="20"/>
              </w:rPr>
            </w:pPr>
            <w:r>
              <w:rPr>
                <w:sz w:val="20"/>
              </w:rPr>
              <w:t>931</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(106</w:t>
            </w:r>
          </w:p>
        </w:tc>
        <w:tc>
          <w:tcPr>
            <w:tcW w:w="89"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(61</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Income before income tax provision</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sz w:val="20"/>
              </w:rPr>
            </w:pPr>
            <w:r>
              <w:rPr>
                <w:sz w:val="20"/>
              </w:rPr>
              <w:t>7,820</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sz w:val="20"/>
              </w:rPr>
            </w:pPr>
            <w:r>
              <w:rPr>
                <w:sz w:val="20"/>
              </w:rPr>
              <w:t>5,248</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1,910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916</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5,910</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4,332</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income per share: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0.20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0.14</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0.20</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0.14</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Weighted average shares of common stock outstanding:</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Times;serif" w:hAnsi="Times New Roman;Times;serif"/>
                <w:b w:val="false"/>
                <w:sz w:val="20"/>
              </w:rPr>
            </w:pPr>
            <w:r>
              <w:rPr>
                <w:rFonts w:ascii="Times New Roman;Times;serif" w:hAnsi="Times New Roman;Times;serif"/>
                <w:b w:val="false"/>
                <w:sz w:val="20"/>
              </w:rPr>
              <w:t>Basic</w:t>
            </w:r>
          </w:p>
        </w:tc>
        <w:tc>
          <w:tcPr>
            <w:tcW w:w="60"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29,376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30,444</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b w:val="false"/>
                <w:sz w:val="20"/>
              </w:rPr>
            </w:pPr>
            <w:r>
              <w:rPr>
                <w:rFonts w:ascii="Times New Roman;Times;serif" w:hAnsi="Times New Roman;Times;serif"/>
                <w:b w:val="false"/>
                <w:sz w:val="20"/>
              </w:rPr>
              <w:t>Diluted</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29,424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30,587</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Dividends declared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0.035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0.031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5" w:name="compinc"/>
      <w:bookmarkEnd w:id="5"/>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INCOME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950"/>
        <w:gridCol w:w="60"/>
        <w:gridCol w:w="273"/>
        <w:gridCol w:w="1066"/>
        <w:gridCol w:w="103"/>
        <w:gridCol w:w="77"/>
        <w:gridCol w:w="273"/>
        <w:gridCol w:w="1066"/>
        <w:gridCol w:w="80"/>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2025</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sz w:val="20"/>
              </w:rPr>
            </w:pPr>
            <w:r>
              <w:rPr>
                <w:sz w:val="20"/>
              </w:rPr>
              <w:t>$</w:t>
            </w:r>
          </w:p>
        </w:tc>
        <w:tc>
          <w:tcPr>
            <w:tcW w:w="1066" w:type="dxa"/>
            <w:tcBorders/>
            <w:shd w:fill="CCEEFF" w:val="clear"/>
            <w:vAlign w:val="center"/>
          </w:tcPr>
          <w:p>
            <w:pPr>
              <w:pStyle w:val="TableContents"/>
              <w:bidi w:val="0"/>
              <w:spacing w:before="0" w:after="283"/>
              <w:ind w:left="0" w:right="0" w:hanging="0"/>
              <w:jc w:val="right"/>
              <w:rPr>
                <w:sz w:val="20"/>
              </w:rPr>
            </w:pPr>
            <w:r>
              <w:rPr>
                <w:sz w:val="20"/>
              </w:rPr>
              <w:t>5,910</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sz w:val="20"/>
              </w:rPr>
            </w:pPr>
            <w:r>
              <w:rPr>
                <w:sz w:val="20"/>
              </w:rPr>
              <w:t>$</w:t>
            </w:r>
          </w:p>
        </w:tc>
        <w:tc>
          <w:tcPr>
            <w:tcW w:w="1066" w:type="dxa"/>
            <w:tcBorders/>
            <w:shd w:fill="CCEEFF" w:val="clear"/>
            <w:vAlign w:val="center"/>
          </w:tcPr>
          <w:p>
            <w:pPr>
              <w:pStyle w:val="TableContents"/>
              <w:bidi w:val="0"/>
              <w:spacing w:before="0" w:after="283"/>
              <w:ind w:left="0" w:right="0" w:hanging="0"/>
              <w:jc w:val="right"/>
              <w:rPr>
                <w:sz w:val="20"/>
              </w:rPr>
            </w:pPr>
            <w:r>
              <w:rPr>
                <w:sz w:val="20"/>
              </w:rPr>
              <w:t>4,332</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comprehensive (loss) income, net of taxes: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360" w:right="0" w:hanging="0"/>
              <w:jc w:val="left"/>
              <w:rPr>
                <w:rFonts w:ascii="Times New Roman;Times;serif" w:hAnsi="Times New Roman;Times;serif"/>
                <w:b w:val="false"/>
                <w:sz w:val="20"/>
              </w:rPr>
            </w:pPr>
            <w:r>
              <w:rPr>
                <w:rFonts w:ascii="Times New Roman;Times;serif" w:hAnsi="Times New Roman;Times;serif"/>
                <w:b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sz w:val="20"/>
              </w:rPr>
            </w:pPr>
            <w:r>
              <w:rPr>
                <w:sz w:val="20"/>
              </w:rPr>
              <w:t>(188</w:t>
            </w:r>
          </w:p>
        </w:tc>
        <w:tc>
          <w:tcPr>
            <w:tcW w:w="103" w:type="dxa"/>
            <w:tcBorders/>
            <w:shd w:fill="FFFFFF" w:val="clear"/>
            <w:vAlign w:val="center"/>
          </w:tcPr>
          <w:p>
            <w:pPr>
              <w:pStyle w:val="TableContents"/>
              <w:bidi w:val="0"/>
              <w:spacing w:before="0" w:after="283"/>
              <w:jc w:val="left"/>
              <w:rPr>
                <w:sz w:val="20"/>
              </w:rPr>
            </w:pPr>
            <w:r>
              <w:rPr>
                <w:sz w:val="20"/>
              </w:rPr>
              <w:t>)</w:t>
            </w:r>
          </w:p>
        </w:tc>
        <w:tc>
          <w:tcPr>
            <w:tcW w:w="77"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sz w:val="20"/>
              </w:rPr>
            </w:pPr>
            <w:r>
              <w:rPr>
                <w:sz w:val="20"/>
              </w:rPr>
              <w:t>49</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360" w:right="0" w:hanging="0"/>
              <w:jc w:val="left"/>
              <w:rPr>
                <w:rFonts w:ascii="Times New Roman;Times;serif" w:hAnsi="Times New Roman;Times;serif"/>
                <w:b w:val="false"/>
                <w:sz w:val="20"/>
              </w:rPr>
            </w:pPr>
            <w:r>
              <w:rPr>
                <w:rFonts w:ascii="Times New Roman;Times;serif" w:hAnsi="Times New Roman;Times;serif"/>
                <w:b w:val="false"/>
                <w:sz w:val="20"/>
              </w:rPr>
              <w:t>Unrealized loss on marketable securities</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(17</w:t>
            </w:r>
          </w:p>
        </w:tc>
        <w:tc>
          <w:tcPr>
            <w:tcW w:w="103" w:type="dxa"/>
            <w:tcBorders/>
            <w:shd w:fill="CCEEFF" w:val="clear"/>
            <w:vAlign w:val="center"/>
          </w:tcPr>
          <w:p>
            <w:pPr>
              <w:pStyle w:val="TableContents"/>
              <w:bidi w:val="0"/>
              <w:spacing w:before="0" w:after="283"/>
              <w:jc w:val="left"/>
              <w:rPr>
                <w:sz w:val="20"/>
              </w:rPr>
            </w:pPr>
            <w:r>
              <w:rPr>
                <w:sz w:val="20"/>
              </w:rPr>
              <w:t>)</w:t>
            </w:r>
          </w:p>
        </w:tc>
        <w:tc>
          <w:tcPr>
            <w:tcW w:w="77"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(19</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other comprehensive (loss) income</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(205</w:t>
            </w:r>
          </w:p>
        </w:tc>
        <w:tc>
          <w:tcPr>
            <w:tcW w:w="103" w:type="dxa"/>
            <w:tcBorders/>
            <w:shd w:fill="FFFFFF" w:val="clear"/>
            <w:vAlign w:val="center"/>
          </w:tcPr>
          <w:p>
            <w:pPr>
              <w:pStyle w:val="TableContents"/>
              <w:bidi w:val="0"/>
              <w:spacing w:before="0" w:after="283"/>
              <w:jc w:val="left"/>
              <w:rPr>
                <w:sz w:val="20"/>
              </w:rPr>
            </w:pPr>
            <w:r>
              <w:rPr>
                <w:sz w:val="20"/>
              </w:rPr>
              <w:t>)</w:t>
            </w:r>
          </w:p>
        </w:tc>
        <w:tc>
          <w:tcPr>
            <w:tcW w:w="77"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30</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5,705</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4,362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6" w:name="she"/>
      <w:bookmarkEnd w:id="6"/>
      <w:r>
        <w:rPr>
          <w:rFonts w:ascii="Times New Roman;Times;serif" w:hAnsi="Times New Roman;Times;serif"/>
          <w:b/>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SHAREHOLDERS' EQUITY (UNAUDITED)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per share data)</w:t>
      </w:r>
      <w:r>
        <w:rPr>
          <w:rFonts w:ascii="Times New Roman" w:hAnsi="Times New Roman"/>
          <w:caps w:val="false"/>
          <w:smallCaps w:val="false"/>
          <w:sz w:val="20"/>
        </w:rPr>
        <w:br/>
        <w:t> </w:t>
      </w:r>
    </w:p>
    <w:tbl>
      <w:tblPr>
        <w:tblW w:w="10205" w:type="dxa"/>
        <w:jc w:val="left"/>
        <w:tblInd w:w="0" w:type="dxa"/>
        <w:tblLayout w:type="fixed"/>
        <w:tblCellMar>
          <w:top w:w="0" w:type="dxa"/>
          <w:left w:w="0" w:type="dxa"/>
          <w:bottom w:w="0" w:type="dxa"/>
          <w:right w:w="0" w:type="dxa"/>
        </w:tblCellMar>
      </w:tblPr>
      <w:tblGrid>
        <w:gridCol w:w="3783"/>
        <w:gridCol w:w="60"/>
        <w:gridCol w:w="60"/>
        <w:gridCol w:w="590"/>
        <w:gridCol w:w="80"/>
        <w:gridCol w:w="60"/>
        <w:gridCol w:w="125"/>
        <w:gridCol w:w="695"/>
        <w:gridCol w:w="80"/>
        <w:gridCol w:w="60"/>
        <w:gridCol w:w="125"/>
        <w:gridCol w:w="695"/>
        <w:gridCol w:w="80"/>
        <w:gridCol w:w="60"/>
        <w:gridCol w:w="381"/>
        <w:gridCol w:w="1667"/>
        <w:gridCol w:w="80"/>
        <w:gridCol w:w="60"/>
        <w:gridCol w:w="207"/>
        <w:gridCol w:w="1160"/>
        <w:gridCol w:w="97"/>
      </w:tblGrid>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6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 2026</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Shareholders’</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354,023</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66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($0.035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66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66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on repurchases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(7,507</w:t>
            </w:r>
          </w:p>
        </w:tc>
        <w:tc>
          <w:tcPr>
            <w:tcW w:w="97"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351,992</w:t>
            </w:r>
          </w:p>
        </w:tc>
        <w:tc>
          <w:tcPr>
            <w:tcW w:w="9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7"/>
        <w:gridCol w:w="60"/>
        <w:gridCol w:w="60"/>
        <w:gridCol w:w="590"/>
        <w:gridCol w:w="60"/>
        <w:gridCol w:w="60"/>
        <w:gridCol w:w="125"/>
        <w:gridCol w:w="695"/>
        <w:gridCol w:w="80"/>
        <w:gridCol w:w="60"/>
        <w:gridCol w:w="125"/>
        <w:gridCol w:w="695"/>
        <w:gridCol w:w="80"/>
        <w:gridCol w:w="60"/>
        <w:gridCol w:w="382"/>
        <w:gridCol w:w="1670"/>
        <w:gridCol w:w="80"/>
        <w:gridCol w:w="60"/>
        <w:gridCol w:w="207"/>
        <w:gridCol w:w="1161"/>
        <w:gridCol w:w="98"/>
      </w:tblGrid>
      <w:tr>
        <w:trPr/>
        <w:tc>
          <w:tcPr>
            <w:tcW w:w="3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 2025</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Shareholders’</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359,355</w:t>
            </w:r>
          </w:p>
        </w:tc>
        <w:tc>
          <w:tcPr>
            <w:tcW w:w="98"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ind w:left="0" w:right="0" w:hanging="0"/>
              <w:jc w:val="left"/>
              <w:rPr/>
            </w:pPr>
            <w:r>
              <w:rPr/>
              <w:t> </w:t>
            </w:r>
          </w:p>
        </w:tc>
        <w:tc>
          <w:tcPr>
            <w:tcW w:w="16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ind w:left="0" w:right="0" w:hanging="0"/>
              <w:jc w:val="left"/>
              <w:rPr/>
            </w:pPr>
            <w:r>
              <w:rPr/>
              <w:t> </w:t>
            </w:r>
          </w:p>
        </w:tc>
        <w:tc>
          <w:tcPr>
            <w:tcW w:w="1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98" w:type="dxa"/>
            <w:tcBorders/>
            <w:shd w:fill="CCEEFF" w:val="clear"/>
            <w:vAlign w:val="center"/>
          </w:tcPr>
          <w:p>
            <w:pPr>
              <w:pStyle w:val="TableContents"/>
              <w:bidi w:val="0"/>
              <w:spacing w:before="0" w:after="283"/>
              <w:ind w:left="0" w:right="0" w:hanging="0"/>
              <w:jc w:val="left"/>
              <w:rPr/>
            </w:pPr>
            <w:r>
              <w:rPr/>
              <w:t> </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($0.031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shd w:fill="FFFFFF" w:val="clear"/>
            <w:vAlign w:val="center"/>
          </w:tcPr>
          <w:p>
            <w:pPr>
              <w:pStyle w:val="TableContents"/>
              <w:bidi w:val="0"/>
              <w:spacing w:before="0" w:after="0"/>
              <w:ind w:left="0" w:right="0" w:hanging="0"/>
              <w:jc w:val="left"/>
              <w:rPr/>
            </w:pPr>
            <w:r>
              <w:rPr/>
              <w:t> </w:t>
            </w:r>
          </w:p>
        </w:tc>
        <w:tc>
          <w:tcPr>
            <w:tcW w:w="167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116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98"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ind w:left="0" w:right="0" w:hanging="0"/>
              <w:jc w:val="left"/>
              <w:rPr/>
            </w:pPr>
            <w:r>
              <w:rPr/>
              <w:t> </w:t>
            </w:r>
          </w:p>
        </w:tc>
        <w:tc>
          <w:tcPr>
            <w:tcW w:w="16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98"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252,466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112,361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362,808</w:t>
            </w:r>
          </w:p>
        </w:tc>
        <w:tc>
          <w:tcPr>
            <w:tcW w:w="98"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cfs"/>
      <w:bookmarkEnd w:id="7"/>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6620"/>
        <w:gridCol w:w="60"/>
        <w:gridCol w:w="203"/>
        <w:gridCol w:w="1060"/>
        <w:gridCol w:w="130"/>
        <w:gridCol w:w="97"/>
        <w:gridCol w:w="203"/>
        <w:gridCol w:w="962"/>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11,365</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commissions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3,286</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pPr>
            <w:r>
              <w:rPr/>
              <w:t>—</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equity method investments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and unbilled receivables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(4,550</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Prepaid royalties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(1,695</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(7,044</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royalties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17,900</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27,136</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acquisitions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maturities of marketable securities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13,400</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11,268</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(10,197</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other investments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associated with capitalized software development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(6,727</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(6,316</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settlement of equity awards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60" w:type="dxa"/>
            <w:tcBorders/>
            <w:shd w:fill="CCEE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(6,723</w:t>
            </w:r>
          </w:p>
        </w:tc>
        <w:tc>
          <w:tcPr>
            <w:tcW w:w="1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r>
      <w:tr>
        <w:trPr/>
        <w:tc>
          <w:tcPr>
            <w:tcW w:w="662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(8,333</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12,550</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36,161</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59,469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48,711</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77,289</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 accrued but not paid</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development, accrued but not paid</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notes"/>
      <w:bookmarkEnd w:id="8"/>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OVERVIEW AND</w:t>
      </w:r>
      <w:r>
        <w:rPr>
          <w:rFonts w:ascii="Times New Roman" w:hAnsi="Times New Roman"/>
          <w:caps w:val="false"/>
          <w:smallCaps w:val="false"/>
          <w:sz w:val="20"/>
        </w:rPr>
        <w:t> </w:t>
      </w: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primarily provides Software-as-a-Service ("SaaS") based applications for healthcare organizations—all designed to improve business and clinical outcomes by supporting the people who deliver patient care. The Company is focused on helping individuals and organizations in healthcare meet their ongoing learning, clinical development, credentialing, and scheduling needs, whether through the Company's enterprise applications or emerging career networks. The Company also provides its solutions to nursing schools and nursing students.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organized and operated according to its One HealthStream approach, with its hStream technology platform at the center of that approach. Increasingly, SaaS-based applications in the Company's diverse ecosystem of solutions utilize the Company's proprietary hStream technology platform to enhance the value proposition for customers by creating interoperability with and among other applications. We believe that our single platform strategy, as represented by hStream, is the best way to realize our mission of improving the quality of care by developing the people who deliver care and the best way to create value for our shareholders in the process. As used in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(“Form </w:t>
      </w:r>
      <w:r>
        <w:rPr>
          <w:rStyle w:val="Emphasis"/>
          <w:rFonts w:ascii="Times New Roman" w:hAnsi="Times New Roman"/>
          <w:caps w:val="false"/>
          <w:smallCaps w:val="false"/>
          <w:sz w:val="20"/>
        </w:rPr>
        <w:t>10</w:t>
      </w:r>
      <w:r>
        <w:rPr>
          <w:rFonts w:ascii="Times New Roman" w:hAnsi="Times New Roman"/>
          <w:caps w:val="false"/>
          <w:smallCaps w:val="false"/>
          <w:sz w:val="20"/>
        </w:rPr>
        <w:t>-Q”), “HealthStream,” “Company,” “we,” “us,” and “our” mean HealthStream, Inc. and its subsidiaries, unless the context indicates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in accordance with accounting principles generally accepted in the United States (“US GAAP”) for interim financial information and with the instructions to Form </w:t>
      </w:r>
      <w:r>
        <w:rPr>
          <w:rStyle w:val="Emphasis"/>
          <w:rFonts w:ascii="Times New Roman" w:hAnsi="Times New Roman"/>
          <w:caps w:val="false"/>
          <w:smallCaps w:val="false"/>
          <w:sz w:val="20"/>
        </w:rPr>
        <w:t>10</w:t>
        <w:noBreakHyphen/>
        <w:t>Q</w:t>
      </w:r>
      <w:r>
        <w:rPr>
          <w:rFonts w:ascii="Times New Roman" w:hAnsi="Times New Roman"/>
          <w:caps w:val="false"/>
          <w:smallCaps w:val="false"/>
          <w:sz w:val="20"/>
        </w:rPr>
        <w:t xml:space="preserve">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noBreakHyphen/>
        <w:t xml:space="preserve">X. Accordingly,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and certain prior period amounts have been reclassified to conform to the current period presentation.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the year ending </w:t>
      </w:r>
      <w:r>
        <w:rPr>
          <w:rStyle w:val="Emphasis"/>
          <w:rFonts w:ascii="Times New Roman" w:hAnsi="Times New Roman"/>
          <w:caps w:val="false"/>
          <w:smallCaps w:val="false"/>
          <w:sz w:val="20"/>
        </w:rPr>
        <w:t>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Condensed Consolidated Balance Sheet at </w:t>
      </w:r>
      <w:r>
        <w:rPr>
          <w:rStyle w:val="Emphasis"/>
          <w:rFonts w:ascii="Times New Roman" w:hAnsi="Times New Roman"/>
          <w:caps w:val="false"/>
          <w:smallCaps w:val="false"/>
          <w:sz w:val="20"/>
        </w:rPr>
        <w:t>December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derived from the audited Consolidated Financial Statements at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a complete set of financial statements. For further information, refer to the Consolidated Financial Statements and Notes thereto for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with the Securities and Exchange Commission on </w:t>
      </w:r>
      <w:r>
        <w:rPr>
          <w:rStyle w:val="Emphasis"/>
          <w:rFonts w:ascii="Times New Roman" w:hAnsi="Times New Roman"/>
          <w:caps w:val="false"/>
          <w:smallCaps w:val="false"/>
          <w:sz w:val="20"/>
        </w:rPr>
        <w:t>February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Business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chief operating decision maker ("CODM") is its Chief Executive Officer. The Company’s business is organized and managed around a consolidated, enterprise approach, including with regard to technology, operations, accounting, internal reporting (including the nature of information reviewed by the CODM), organization structure, compensation, performance assessment, and resource allocation. The Company’s CODM uses consolidated net income to make operating decisions, assess financial performance, and allocate resources. Further, the CODM reviews and utilizes functional expenses (cost of revenues, product development, sales and marketing, general and administrative, and depreciation and amortization) at the consolidated level to manage the Company's operations. Other segment items included in consolidated net income are interest income, other expense, net, and income tax provision, which are reflected in the Condensed Consolidated Statements of Income. Expenditures for additions to long-lived assets for the consolidated entity were $12.2 million and $10.7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Non-Marketable Equity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aggregate carrying amounts of non-marketable equity investments accounted for using the measurement alternative for equity investments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have readily determinable fair values were $3.0 million and $1.5 million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 which the Company evaluates for impairment at each reporting period. Cumulatively,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adjustments recorded due to changes in the fair value of the non-marketable equity investments the Company held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The fair value of non-marketable equity investments is </w:t>
      </w:r>
      <w:r>
        <w:rPr>
          <w:rStyle w:val="Emphasis"/>
          <w:rFonts w:ascii="Times New Roman" w:hAnsi="Times New Roman"/>
          <w:caps w:val="false"/>
          <w:smallCaps w:val="false"/>
          <w:sz w:val="20"/>
        </w:rPr>
        <w:t>not</w:t>
      </w:r>
      <w:r>
        <w:rPr>
          <w:rFonts w:ascii="Times New Roman" w:hAnsi="Times New Roman"/>
          <w:caps w:val="false"/>
          <w:smallCaps w:val="false"/>
          <w:sz w:val="20"/>
        </w:rPr>
        <w:t> estimated if there are </w:t>
      </w:r>
      <w:r>
        <w:rPr>
          <w:rStyle w:val="Emphasis"/>
          <w:rFonts w:ascii="Times New Roman" w:hAnsi="Times New Roman"/>
          <w:caps w:val="false"/>
          <w:smallCaps w:val="false"/>
          <w:sz w:val="20"/>
        </w:rPr>
        <w:t>no</w:t>
      </w:r>
      <w:r>
        <w:rPr>
          <w:rFonts w:ascii="Times New Roman" w:hAnsi="Times New Roman"/>
          <w:caps w:val="false"/>
          <w:smallCaps w:val="false"/>
          <w:sz w:val="20"/>
        </w:rPr>
        <w:t> identified events or changes in circumstances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have a significant adverse effect on the fair value of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the Company recorded a purchase accounting adjustment to reduce the fair value of contingent consideration by $2.3 million related to the MissionCare Collective acquisition from the original estimate recorded based on updated information received from valuation specialists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6038" w:type="dxa"/>
        <w:jc w:val="left"/>
        <w:tblInd w:w="0" w:type="dxa"/>
        <w:tblLayout w:type="fixed"/>
        <w:tblCellMar>
          <w:top w:w="0" w:type="dxa"/>
          <w:left w:w="0" w:type="dxa"/>
          <w:bottom w:w="0" w:type="dxa"/>
          <w:right w:w="0" w:type="dxa"/>
        </w:tblCellMar>
      </w:tblPr>
      <w:tblGrid>
        <w:gridCol w:w="3695"/>
        <w:gridCol w:w="60"/>
        <w:gridCol w:w="166"/>
        <w:gridCol w:w="723"/>
        <w:gridCol w:w="80"/>
        <w:gridCol w:w="60"/>
        <w:gridCol w:w="240"/>
        <w:gridCol w:w="934"/>
        <w:gridCol w:w="8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Purchases/Initial recognition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(gains) losses: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Included in earnings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Included in other comprehensive income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the Financial Accounting Standards Board (“FASB”) issued Accounting Standards Update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Income Statement - Reporting Comprehensive Income - Expense Disaggregation Disclosures: Disaggregation of Income Statement Expenses</w:t>
      </w:r>
      <w:r>
        <w:rPr>
          <w:rFonts w:ascii="Times New Roman" w:hAnsi="Times New Roman"/>
          <w:caps w:val="false"/>
          <w:smallCaps w:val="false"/>
          <w:sz w:val="20"/>
        </w:rPr>
        <w:t xml:space="preserve">, which requires disclosure of disaggregated information about specific categories underlying certain income statement expense line items in the footnotes to the financial statements for both annual and interim periods. This ASU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Early adoption is permitted. The Company is currently evaluating the impact of the adoption of this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-05, </w:t>
      </w:r>
      <w:r>
        <w:rPr>
          <w:rFonts w:ascii="Times New Roman" w:hAnsi="Times New Roman"/>
          <w:i/>
          <w:caps w:val="false"/>
          <w:smallCaps w:val="false"/>
          <w:sz w:val="20"/>
        </w:rPr>
        <w:t>Measurement of Credit Loss for Accounts Receivable and Contract Assets</w:t>
      </w:r>
      <w:r>
        <w:rPr>
          <w:rFonts w:ascii="Times New Roman" w:hAnsi="Times New Roman"/>
          <w:caps w:val="false"/>
          <w:smallCaps w:val="false"/>
          <w:sz w:val="20"/>
        </w:rPr>
        <w:t xml:space="preserve">. The ASU provides a practical expedient for the calculation of current expected credit losses for current accounts receivable and contract assets, allowing entities to assume that current conditions as of the balance sheet date will persist through the forecast period. The Company adopted the ASU effective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on a prospective basis and elected the practical expedient for the calculation of current expected credit losses. The adoption did not have a material impact on the Company’s allowance for doubtful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the FASB issued ASU 2025-</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w:t>
      </w:r>
      <w:r>
        <w:rPr>
          <w:rFonts w:ascii="Times New Roman" w:hAnsi="Times New Roman"/>
          <w:i/>
          <w:caps w:val="false"/>
          <w:smallCaps w:val="false"/>
          <w:sz w:val="20"/>
        </w:rPr>
        <w:t xml:space="preserve">Internal-Use Software (Subtopic </w:t>
      </w:r>
      <w:r>
        <w:rPr>
          <w:rStyle w:val="Emphasis"/>
          <w:rFonts w:ascii="Times New Roman" w:hAnsi="Times New Roman"/>
          <w:i/>
          <w:caps w:val="false"/>
          <w:smallCaps w:val="false"/>
          <w:sz w:val="20"/>
        </w:rPr>
        <w:t>350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Targeted Improvements to the Accounting for Internal-Use Software</w:t>
      </w:r>
      <w:r>
        <w:rPr>
          <w:rFonts w:ascii="Times New Roman" w:hAnsi="Times New Roman"/>
          <w:caps w:val="false"/>
          <w:smallCaps w:val="false"/>
          <w:sz w:val="20"/>
        </w:rPr>
        <w:t xml:space="preserve">, to modernize the accounting guidance for the costs to develop software for internal use. The standard applies to costs incurred to develop or obtain software for internal use.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amends the existing standard that refers to various stages of a software development project to align better with current software development methods, such as agile development.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is effective for annual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The guidance can be applied on a prospective basis, a modified basis for in-process projects, or on a retrospective basis. The Company is currently evaluating the impact of this accounting standard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the FASB issued ASU 2025-11, </w:t>
      </w:r>
      <w:r>
        <w:rPr>
          <w:rFonts w:ascii="Times New Roman" w:hAnsi="Times New Roman"/>
          <w:i/>
          <w:caps w:val="false"/>
          <w:smallCaps w:val="false"/>
          <w:sz w:val="20"/>
        </w:rPr>
        <w:t>Interim Reporting (Topic 270): Narrow-Scope Improvements</w:t>
      </w:r>
      <w:r>
        <w:rPr>
          <w:rFonts w:ascii="Times New Roman" w:hAnsi="Times New Roman"/>
          <w:caps w:val="false"/>
          <w:smallCaps w:val="false"/>
          <w:sz w:val="20"/>
        </w:rPr>
        <w:t xml:space="preserve">, which clarifies the guidance in Topic 270 to improve the consistency of interim financial reporting. The standard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including interim periods within those fiscal years, with early adoption permitted. The Company is currently evaluating the impact of adopting ASU 2025-11.</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Revenues are recognized when control of the promised goods or services is transferred to the customer in an amount that reflects the consideration the Company expects to be entitled to in exchange for transferring those goods or services. Revenue is recognized based on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 model:</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10"/>
        <w:gridCol w:w="3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contract with a customer</w:t>
            </w:r>
          </w:p>
        </w:tc>
      </w:tr>
    </w:tbl>
    <w:tbl>
      <w:tblPr>
        <w:tblW w:w="5050" w:type="dxa"/>
        <w:jc w:val="left"/>
        <w:tblInd w:w="0" w:type="dxa"/>
        <w:tblLayout w:type="fixed"/>
        <w:tblCellMar>
          <w:top w:w="0" w:type="dxa"/>
          <w:left w:w="0" w:type="dxa"/>
          <w:bottom w:w="0" w:type="dxa"/>
          <w:right w:w="0" w:type="dxa"/>
        </w:tblCellMar>
      </w:tblPr>
      <w:tblGrid>
        <w:gridCol w:w="60"/>
        <w:gridCol w:w="110"/>
        <w:gridCol w:w="48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performance obligations in the contract</w:t>
            </w:r>
          </w:p>
        </w:tc>
      </w:tr>
    </w:tbl>
    <w:tbl>
      <w:tblPr>
        <w:tblW w:w="3265" w:type="dxa"/>
        <w:jc w:val="left"/>
        <w:tblInd w:w="0" w:type="dxa"/>
        <w:tblLayout w:type="fixed"/>
        <w:tblCellMar>
          <w:top w:w="0" w:type="dxa"/>
          <w:left w:w="0" w:type="dxa"/>
          <w:bottom w:w="0" w:type="dxa"/>
          <w:right w:w="0" w:type="dxa"/>
        </w:tblCellMar>
      </w:tblPr>
      <w:tblGrid>
        <w:gridCol w:w="60"/>
        <w:gridCol w:w="110"/>
        <w:gridCol w:w="30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Determination of the transaction price</w:t>
            </w:r>
          </w:p>
        </w:tc>
      </w:tr>
    </w:tbl>
    <w:tbl>
      <w:tblPr>
        <w:tblW w:w="6715" w:type="dxa"/>
        <w:jc w:val="left"/>
        <w:tblInd w:w="0" w:type="dxa"/>
        <w:tblLayout w:type="fixed"/>
        <w:tblCellMar>
          <w:top w:w="0" w:type="dxa"/>
          <w:left w:w="0" w:type="dxa"/>
          <w:bottom w:w="0" w:type="dxa"/>
          <w:right w:w="0" w:type="dxa"/>
        </w:tblCellMar>
      </w:tblPr>
      <w:tblGrid>
        <w:gridCol w:w="60"/>
        <w:gridCol w:w="110"/>
        <w:gridCol w:w="6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Allocation of the transaction price to the performance obligations in the contract</w:t>
            </w:r>
          </w:p>
        </w:tc>
      </w:tr>
    </w:tbl>
    <w:tbl>
      <w:tblPr>
        <w:tblW w:w="7015" w:type="dxa"/>
        <w:jc w:val="left"/>
        <w:tblInd w:w="0" w:type="dxa"/>
        <w:tblLayout w:type="fixed"/>
        <w:tblCellMar>
          <w:top w:w="0" w:type="dxa"/>
          <w:left w:w="0" w:type="dxa"/>
          <w:bottom w:w="0" w:type="dxa"/>
          <w:right w:w="0" w:type="dxa"/>
        </w:tblCellMar>
      </w:tblPr>
      <w:tblGrid>
        <w:gridCol w:w="60"/>
        <w:gridCol w:w="110"/>
        <w:gridCol w:w="6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Recognition of revenue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revenues disaggregated by revenue source (in thousands). Sales taxes are excluded from revenues.</w:t>
      </w:r>
    </w:p>
    <w:p>
      <w:pPr>
        <w:pStyle w:val="TextBody"/>
        <w:bidi w:val="0"/>
        <w:spacing w:before="0" w:after="0"/>
        <w:ind w:left="0" w:right="0" w:hanging="0"/>
        <w:jc w:val="both"/>
        <w:rPr>
          <w:caps w:val="false"/>
          <w:smallCaps w:val="false"/>
        </w:rPr>
      </w:pPr>
      <w:r>
        <w:rPr>
          <w:caps w:val="false"/>
          <w:smallCaps w:val="false"/>
        </w:rPr>
        <w:t> </w:t>
      </w:r>
    </w:p>
    <w:tbl>
      <w:tblPr>
        <w:tblW w:w="4521" w:type="dxa"/>
        <w:jc w:val="left"/>
        <w:tblInd w:w="0" w:type="dxa"/>
        <w:tblLayout w:type="fixed"/>
        <w:tblCellMar>
          <w:top w:w="0" w:type="dxa"/>
          <w:left w:w="0" w:type="dxa"/>
          <w:bottom w:w="0" w:type="dxa"/>
          <w:right w:w="0" w:type="dxa"/>
        </w:tblCellMar>
      </w:tblPr>
      <w:tblGrid>
        <w:gridCol w:w="1745"/>
        <w:gridCol w:w="60"/>
        <w:gridCol w:w="214"/>
        <w:gridCol w:w="1012"/>
        <w:gridCol w:w="102"/>
        <w:gridCol w:w="102"/>
        <w:gridCol w:w="214"/>
        <w:gridCol w:w="1012"/>
        <w:gridCol w:w="60"/>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sz w:val="20"/>
              </w:rPr>
            </w:pPr>
            <w:r>
              <w:rPr>
                <w:sz w:val="20"/>
              </w:rPr>
              <w:t>$</w:t>
            </w:r>
          </w:p>
        </w:tc>
        <w:tc>
          <w:tcPr>
            <w:tcW w:w="1012" w:type="dxa"/>
            <w:tcBorders/>
            <w:shd w:fill="CCEEFF" w:val="clear"/>
            <w:vAlign w:val="center"/>
          </w:tcPr>
          <w:p>
            <w:pPr>
              <w:pStyle w:val="TableContents"/>
              <w:bidi w:val="0"/>
              <w:spacing w:before="0" w:after="283"/>
              <w:ind w:left="0" w:right="0" w:hanging="0"/>
              <w:jc w:val="right"/>
              <w:rPr>
                <w:sz w:val="20"/>
              </w:rPr>
            </w:pPr>
            <w:r>
              <w:rPr>
                <w:sz w:val="20"/>
              </w:rPr>
              <w:t>78,392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sz w:val="20"/>
              </w:rPr>
            </w:pPr>
            <w:r>
              <w:rPr>
                <w:sz w:val="20"/>
              </w:rPr>
              <w:t>$</w:t>
            </w:r>
          </w:p>
        </w:tc>
        <w:tc>
          <w:tcPr>
            <w:tcW w:w="1012" w:type="dxa"/>
            <w:tcBorders/>
            <w:shd w:fill="CCEEFF" w:val="clear"/>
            <w:vAlign w:val="center"/>
          </w:tcPr>
          <w:p>
            <w:pPr>
              <w:pStyle w:val="TableContents"/>
              <w:bidi w:val="0"/>
              <w:spacing w:before="0" w:after="283"/>
              <w:ind w:left="0" w:right="0" w:hanging="0"/>
              <w:jc w:val="right"/>
              <w:rPr>
                <w:sz w:val="20"/>
              </w:rPr>
            </w:pPr>
            <w:r>
              <w:rPr>
                <w:sz w:val="20"/>
              </w:rPr>
              <w:t>70,789</w:t>
            </w:r>
          </w:p>
        </w:tc>
        <w:tc>
          <w:tcPr>
            <w:tcW w:w="6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2,811</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2,696</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Times;serif" w:hAnsi="Times New Roman;Times;serif"/>
                <w:b w:val="false"/>
                <w:sz w:val="20"/>
              </w:rPr>
            </w:pPr>
            <w:r>
              <w:rPr>
                <w:rFonts w:ascii="Times New Roman;Times;serif" w:hAnsi="Times New Roman;Times;serif"/>
                <w:b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81,203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73,485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sz w:val="20"/>
        </w:rPr>
        <w:t xml:space="preserve">For the  </w:t>
      </w:r>
      <w:r>
        <w:rPr>
          <w:rStyle w:val="Emphasis"/>
          <w:sz w:val="20"/>
        </w:rPr>
        <w:t>three</w:t>
      </w:r>
      <w:r>
        <w:rPr>
          <w:sz w:val="20"/>
        </w:rPr>
        <w:t xml:space="preserve"> months ended </w:t>
      </w:r>
      <w:r>
        <w:rPr>
          <w:rStyle w:val="Emphasis"/>
          <w:sz w:val="20"/>
        </w:rPr>
        <w:t xml:space="preserve">March 31, 2026 </w:t>
      </w:r>
      <w:r>
        <w:rPr>
          <w:sz w:val="20"/>
        </w:rPr>
        <w:t xml:space="preserve">and </w:t>
      </w:r>
      <w:r>
        <w:rPr>
          <w:rStyle w:val="Emphasis"/>
          <w:sz w:val="20"/>
        </w:rPr>
        <w:t>2025</w:t>
      </w:r>
      <w:r>
        <w:rPr>
          <w:sz w:val="20"/>
        </w:rPr>
        <w:t xml:space="preserve">, the Company recognized $0.1 million and  $0.2 million in impairment losses on receivables and contract assets arising from the Company's contracts with customers,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revenues of $42.7 million and $44.3 million, respectively, from amounts included in deferred revenue at the beginning of the respective periods.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approximately $687 million of revenue is expected to be recognized from remaining performance obligations under contracts with customers. The Company expects to recognize revenue related to approximately 39% of these remaining performance obligations over the next 12 months, 67% over the next 24 months, and 83% over the next 36 months, with the remaining amounts recognized thereafter.</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4.</w:t>
      </w:r>
      <w:r>
        <w:rPr>
          <w:rFonts w:ascii="Times New Roman;Times;serif" w:hAnsi="Times New Roman;Times;serif"/>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The Company computes its interim period provision for income taxes by applying the estimated annual effective tax rate to year-to-date pretax income or loss and adjusts the provision for discrete tax items recorded in the period. The Company’s effective tax rate was 24% and 17%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Company’s effective tax rate primarily reflects the statutory corporate income tax rate, the net effect of state taxes, foreign income taxes, the effect of various permanent tax differences, and recognition of discrete tax items.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the Company recorded discrete tax expense of $0.2 million, which consisted of discrete tax expense associated with stock-based awards and reserves for uncertain tax positions.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the Company recorded discrete tax benefits of $0.2 million, which consisted of a tax benefit associated with stock-based awards partially offset by discrete tax expense related to reserves for uncertain tax positions.</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5.</w:t>
      </w:r>
      <w:r>
        <w:rPr>
          <w:rFonts w:ascii="Times New Roman;Times;serif" w:hAnsi="Times New Roman;Times;serif"/>
          <w:b/>
          <w:caps w:val="false"/>
          <w:smallCaps w:val="false"/>
          <w:sz w:val="20"/>
        </w:rPr>
        <w:t xml:space="preserve"> SHAREHOLDERS' EQUITY AND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on Common Stock</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2026</w:t>
      </w:r>
      <w:r>
        <w:rPr>
          <w:rFonts w:ascii="Times New Roman;Times;serif" w:hAnsi="Times New Roman;Times;serif"/>
          <w:sz w:val="20"/>
        </w:rPr>
        <w:t>, the Company's Board of Directors (“Board”) declared the following quarterly dividend under the Company's dividend policy (in thousands, except per share data):</w:t>
      </w:r>
    </w:p>
    <w:p>
      <w:pPr>
        <w:pStyle w:val="TextBody"/>
        <w:bidi w:val="0"/>
        <w:spacing w:before="0" w:after="0"/>
        <w:ind w:left="0" w:right="0" w:hanging="0"/>
        <w:jc w:val="left"/>
        <w:rPr/>
      </w:pPr>
      <w:r>
        <w:rPr/>
        <w:t> </w:t>
      </w:r>
    </w:p>
    <w:tbl>
      <w:tblPr>
        <w:tblW w:w="8528" w:type="dxa"/>
        <w:jc w:val="left"/>
        <w:tblInd w:w="0" w:type="dxa"/>
        <w:tblLayout w:type="fixed"/>
        <w:tblCellMar>
          <w:top w:w="0" w:type="dxa"/>
          <w:left w:w="0" w:type="dxa"/>
          <w:bottom w:w="28" w:type="dxa"/>
          <w:right w:w="0" w:type="dxa"/>
        </w:tblCellMar>
      </w:tblPr>
      <w:tblGrid>
        <w:gridCol w:w="2015"/>
        <w:gridCol w:w="60"/>
        <w:gridCol w:w="2270"/>
        <w:gridCol w:w="60"/>
        <w:gridCol w:w="340"/>
        <w:gridCol w:w="1329"/>
        <w:gridCol w:w="60"/>
        <w:gridCol w:w="1205"/>
        <w:gridCol w:w="60"/>
        <w:gridCol w:w="219"/>
        <w:gridCol w:w="850"/>
        <w:gridCol w:w="60"/>
      </w:tblGrid>
      <w:tr>
        <w:trPr/>
        <w:tc>
          <w:tcPr>
            <w:tcW w:w="2015"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Payment Date</w:t>
            </w:r>
          </w:p>
        </w:tc>
        <w:tc>
          <w:tcPr>
            <w:tcW w:w="60" w:type="dxa"/>
            <w:tcBorders/>
            <w:tcMar>
              <w:bottom w:w="0" w:type="dxa"/>
            </w:tcMar>
            <w:vAlign w:val="center"/>
          </w:tcPr>
          <w:p>
            <w:pPr>
              <w:pStyle w:val="TableContents"/>
              <w:bidi w:val="0"/>
              <w:spacing w:before="0" w:after="283"/>
              <w:jc w:val="left"/>
              <w:rPr/>
            </w:pPr>
            <w:r>
              <w:rPr/>
              <w:t> </w:t>
            </w:r>
          </w:p>
        </w:tc>
        <w:tc>
          <w:tcPr>
            <w:tcW w:w="2270"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Declaration Date</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Dividend Per Share</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 Outlay</w:t>
            </w:r>
          </w:p>
        </w:tc>
        <w:tc>
          <w:tcPr>
            <w:tcW w:w="60" w:type="dxa"/>
            <w:tcBorders/>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20,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23,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shd w:fill="FFFFFF" w:val="clear"/>
        </w:rPr>
        <w:t xml:space="preserve">Additionally, on </w:t>
      </w:r>
      <w:r>
        <w:rPr>
          <w:rStyle w:val="Emphasis"/>
          <w:rFonts w:ascii="Times New Roman;Times;serif" w:hAnsi="Times New Roman;Times;serif"/>
          <w:sz w:val="20"/>
          <w:shd w:fill="FFFFFF" w:val="clear"/>
        </w:rPr>
        <w:t xml:space="preserve">May 4, 2026, </w:t>
      </w:r>
      <w:r>
        <w:rPr>
          <w:rFonts w:ascii="Times New Roman;Times;serif" w:hAnsi="Times New Roman;Times;serif"/>
          <w:sz w:val="20"/>
          <w:shd w:fill="FFFFFF" w:val="clear"/>
        </w:rPr>
        <w:t xml:space="preserve">the Board declared a quarterly cash dividend of $0.035 per share, payable on </w:t>
      </w:r>
      <w:r>
        <w:rPr>
          <w:rStyle w:val="Emphasis"/>
          <w:rFonts w:ascii="Times New Roman;Times;serif" w:hAnsi="Times New Roman;Times;serif"/>
          <w:sz w:val="20"/>
          <w:shd w:fill="FFFFFF" w:val="clear"/>
        </w:rPr>
        <w:t>May 29, 2026 </w:t>
      </w:r>
      <w:r>
        <w:rPr>
          <w:rFonts w:ascii="Times New Roman;Times;serif" w:hAnsi="Times New Roman;Times;serif"/>
          <w:sz w:val="20"/>
          <w:shd w:fill="FFFFFF" w:val="clear"/>
        </w:rPr>
        <w:t xml:space="preserve">to holders of record on </w:t>
      </w:r>
      <w:r>
        <w:rPr>
          <w:rStyle w:val="Emphasis"/>
          <w:rFonts w:ascii="Times New Roman;Times;serif" w:hAnsi="Times New Roman;Times;serif"/>
          <w:sz w:val="20"/>
          <w:shd w:fill="FFFFFF" w:val="clear"/>
        </w:rPr>
        <w:t>May 18,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stock option activity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is as follows (in thousands, except weighted-average exercise price).</w:t>
      </w:r>
    </w:p>
    <w:p>
      <w:pPr>
        <w:pStyle w:val="TextBody"/>
        <w:bidi w:val="0"/>
        <w:spacing w:before="0" w:after="0"/>
        <w:ind w:left="0" w:right="0" w:hanging="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2885"/>
        <w:gridCol w:w="60"/>
        <w:gridCol w:w="116"/>
        <w:gridCol w:w="654"/>
        <w:gridCol w:w="60"/>
        <w:gridCol w:w="60"/>
        <w:gridCol w:w="249"/>
        <w:gridCol w:w="970"/>
        <w:gridCol w:w="60"/>
        <w:gridCol w:w="60"/>
        <w:gridCol w:w="444"/>
        <w:gridCol w:w="820"/>
        <w:gridCol w:w="6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end of period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end of period</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weighted average remaining contractual term of options outstanding at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was 7.8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Restricted Share Unit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Restricted Share Unit ("RSU") activity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is as follows (in thousands, except weighted-average grant date fair value):</w:t>
      </w:r>
    </w:p>
    <w:p>
      <w:pPr>
        <w:pStyle w:val="TextBody"/>
        <w:bidi w:val="0"/>
        <w:spacing w:before="0" w:after="0"/>
        <w:ind w:left="0" w:right="0" w:hanging="0"/>
        <w:jc w:val="both"/>
        <w:rPr>
          <w:caps w:val="false"/>
          <w:smallCaps w:val="false"/>
        </w:rPr>
      </w:pPr>
      <w:r>
        <w:rPr>
          <w:caps w:val="false"/>
          <w:smallCaps w:val="false"/>
        </w:rPr>
        <w:t> </w:t>
      </w:r>
    </w:p>
    <w:tbl>
      <w:tblPr>
        <w:tblW w:w="7087" w:type="dxa"/>
        <w:jc w:val="left"/>
        <w:tblInd w:w="0" w:type="dxa"/>
        <w:tblLayout w:type="fixed"/>
        <w:tblCellMar>
          <w:top w:w="0" w:type="dxa"/>
          <w:left w:w="0" w:type="dxa"/>
          <w:bottom w:w="0" w:type="dxa"/>
          <w:right w:w="0" w:type="dxa"/>
        </w:tblCellMar>
      </w:tblPr>
      <w:tblGrid>
        <w:gridCol w:w="2885"/>
        <w:gridCol w:w="60"/>
        <w:gridCol w:w="134"/>
        <w:gridCol w:w="755"/>
        <w:gridCol w:w="80"/>
        <w:gridCol w:w="60"/>
        <w:gridCol w:w="342"/>
        <w:gridCol w:w="1327"/>
        <w:gridCol w:w="60"/>
        <w:gridCol w:w="60"/>
        <w:gridCol w:w="258"/>
        <w:gridCol w:w="1006"/>
        <w:gridCol w:w="6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RSU’s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ind w:left="0" w:right="0" w:hanging="0"/>
              <w:jc w:val="left"/>
              <w:rPr/>
            </w:pPr>
            <w:r>
              <w:rPr/>
              <w:t> </w:t>
            </w:r>
          </w:p>
        </w:tc>
        <w:tc>
          <w:tcPr>
            <w:tcW w:w="13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ind w:left="0" w:right="0" w:hanging="0"/>
              <w:jc w:val="left"/>
              <w:rPr/>
            </w:pPr>
            <w:r>
              <w:rPr/>
              <w:t> </w:t>
            </w:r>
          </w:p>
        </w:tc>
        <w:tc>
          <w:tcPr>
            <w:tcW w:w="13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end of period</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aggregate fair value of RSUs that vested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March 31, 2026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as of the respective vesting dates, was $2.3 million and $2.9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 recognized in the Condensed Consolidated Statements of Income is as follows (in thousands):</w:t>
      </w:r>
    </w:p>
    <w:p>
      <w:pPr>
        <w:pStyle w:val="TextBody"/>
        <w:bidi w:val="0"/>
        <w:spacing w:before="0" w:after="0"/>
        <w:ind w:left="0" w:right="0" w:hanging="0"/>
        <w:jc w:val="both"/>
        <w:rPr>
          <w:caps w:val="false"/>
          <w:smallCaps w:val="false"/>
        </w:rPr>
      </w:pPr>
      <w:r>
        <w:rPr>
          <w:caps w:val="false"/>
          <w:smallCaps w:val="false"/>
        </w:rPr>
        <w:t> </w:t>
      </w:r>
    </w:p>
    <w:tbl>
      <w:tblPr>
        <w:tblW w:w="7628" w:type="dxa"/>
        <w:jc w:val="left"/>
        <w:tblInd w:w="0" w:type="dxa"/>
        <w:tblLayout w:type="fixed"/>
        <w:tblCellMar>
          <w:top w:w="0" w:type="dxa"/>
          <w:left w:w="0" w:type="dxa"/>
          <w:bottom w:w="0" w:type="dxa"/>
          <w:right w:w="0" w:type="dxa"/>
        </w:tblCellMar>
      </w:tblPr>
      <w:tblGrid>
        <w:gridCol w:w="4850"/>
        <w:gridCol w:w="60"/>
        <w:gridCol w:w="248"/>
        <w:gridCol w:w="962"/>
        <w:gridCol w:w="119"/>
        <w:gridCol w:w="119"/>
        <w:gridCol w:w="248"/>
        <w:gridCol w:w="962"/>
        <w:gridCol w:w="60"/>
      </w:tblGrid>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Cost of revenues (excluding depreciation and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sz w:val="20"/>
              </w:rPr>
            </w:pPr>
            <w:r>
              <w:rPr>
                <w:sz w:val="20"/>
              </w:rPr>
              <w:t>$</w:t>
            </w:r>
          </w:p>
        </w:tc>
        <w:tc>
          <w:tcPr>
            <w:tcW w:w="962" w:type="dxa"/>
            <w:tcBorders/>
            <w:shd w:fill="CCEEFF" w:val="clear"/>
            <w:vAlign w:val="center"/>
          </w:tcPr>
          <w:p>
            <w:pPr>
              <w:pStyle w:val="TableContents"/>
              <w:bidi w:val="0"/>
              <w:spacing w:before="0" w:after="283"/>
              <w:ind w:left="0" w:right="0" w:hanging="0"/>
              <w:jc w:val="right"/>
              <w:rPr>
                <w:sz w:val="20"/>
              </w:rPr>
            </w:pPr>
            <w:r>
              <w:rPr>
                <w:sz w:val="20"/>
              </w:rPr>
              <w:t>56</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sz w:val="20"/>
              </w:rPr>
            </w:pPr>
            <w:r>
              <w:rPr>
                <w:sz w:val="20"/>
              </w:rPr>
              <w:t>$</w:t>
            </w:r>
          </w:p>
        </w:tc>
        <w:tc>
          <w:tcPr>
            <w:tcW w:w="962" w:type="dxa"/>
            <w:tcBorders/>
            <w:shd w:fill="CCEEFF" w:val="clear"/>
            <w:vAlign w:val="center"/>
          </w:tcPr>
          <w:p>
            <w:pPr>
              <w:pStyle w:val="TableContents"/>
              <w:bidi w:val="0"/>
              <w:spacing w:before="0" w:after="283"/>
              <w:ind w:left="0" w:right="0" w:hanging="0"/>
              <w:jc w:val="right"/>
              <w:rPr>
                <w:sz w:val="20"/>
              </w:rPr>
            </w:pPr>
            <w:r>
              <w:rPr>
                <w:sz w:val="20"/>
              </w:rPr>
              <w:t>53</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Product development</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sz w:val="20"/>
              </w:rPr>
            </w:pPr>
            <w:r>
              <w:rPr>
                <w:sz w:val="20"/>
              </w:rPr>
              <w:t>273</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sz w:val="20"/>
              </w:rPr>
            </w:pPr>
            <w:r>
              <w:rPr>
                <w:sz w:val="20"/>
              </w:rPr>
              <w:t>229</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sz w:val="20"/>
              </w:rPr>
            </w:pPr>
            <w:r>
              <w:rPr>
                <w:sz w:val="20"/>
              </w:rPr>
              <w:t>168</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sz w:val="20"/>
              </w:rPr>
            </w:pPr>
            <w:r>
              <w:rPr>
                <w:sz w:val="20"/>
              </w:rPr>
              <w:t>145</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812</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677</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1,309</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1,104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As of </w:t>
      </w:r>
      <w:r>
        <w:rPr>
          <w:rStyle w:val="Emphasis"/>
          <w:rFonts w:ascii="Times New Roman;Times;serif" w:hAnsi="Times New Roman;Times;serif"/>
          <w:caps w:val="false"/>
          <w:smallCaps w:val="false"/>
          <w:sz w:val="20"/>
        </w:rPr>
        <w:t xml:space="preserve"> March 31, 2026</w:t>
      </w:r>
      <w:r>
        <w:rPr>
          <w:rFonts w:ascii="Times New Roman;Times;serif" w:hAnsi="Times New Roman;Times;serif"/>
          <w:caps w:val="false"/>
          <w:smallCaps w:val="false"/>
          <w:sz w:val="20"/>
        </w:rPr>
        <w:t>, total unrecognized compensation expense related to non-vested stock options, RSUs, and performance-based RSUs where the performance criteria has been established was $8.6 million, net of estimated forfeitures, with a weighted average expense recognition period remaining of 2.7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November 11, 2025, </w:t>
      </w:r>
      <w:r>
        <w:rPr>
          <w:rFonts w:ascii="Times New Roman;Times;serif" w:hAnsi="Times New Roman;Times;serif"/>
          <w:caps w:val="false"/>
          <w:smallCaps w:val="false"/>
          <w:sz w:val="20"/>
        </w:rPr>
        <w:t xml:space="preserve">the Board approved a share repurchase program under which the Company was authorized to repurchase up to $10.0 million of its outstanding shares of common stock. Pursuant to this authorization, the Company was authorized to make repurchases in the open market, including under Rule </w:t>
      </w:r>
      <w:r>
        <w:rPr>
          <w:rStyle w:val="Emphasis"/>
          <w:rFonts w:ascii="Times New Roman;Times;serif" w:hAnsi="Times New Roman;Times;serif"/>
          <w:caps w:val="false"/>
          <w:smallCaps w:val="false"/>
          <w:sz w:val="20"/>
        </w:rPr>
        <w:t>10b5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plans, through privately negotiated transactions, or otherwise. The terms of this program provided that it would terminate on the earlier of </w:t>
      </w:r>
      <w:r>
        <w:rPr>
          <w:rStyle w:val="Emphasis"/>
          <w:rFonts w:ascii="Times New Roman;Times;serif" w:hAnsi="Times New Roman;Times;serif"/>
          <w:caps w:val="false"/>
          <w:smallCaps w:val="false"/>
          <w:sz w:val="20"/>
        </w:rPr>
        <w:t xml:space="preserve">February 26, 2026 </w:t>
      </w:r>
      <w:r>
        <w:rPr>
          <w:rFonts w:ascii="Times New Roman;Times;serif" w:hAnsi="Times New Roman;Times;serif"/>
          <w:caps w:val="false"/>
          <w:smallCaps w:val="false"/>
          <w:sz w:val="20"/>
        </w:rPr>
        <w:t xml:space="preserve">or when the maximum dollar amount had been expended.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March 31, 2026, </w:t>
      </w:r>
      <w:r>
        <w:rPr>
          <w:rFonts w:ascii="Times New Roman;Times;serif" w:hAnsi="Times New Roman;Times;serif"/>
          <w:caps w:val="false"/>
          <w:smallCaps w:val="false"/>
          <w:sz w:val="20"/>
        </w:rPr>
        <w:t xml:space="preserve">the Company repurchased and subsequently retired 222,978 shares of common stock at an aggregate fair value of $5.0 million, reflecting an average price per share of $22.42 (excluding the cost of broker commissions and the 1% share repurchase excise tax imposed by the Inflation Reduction Act of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This share repurchase program terminated in </w:t>
      </w:r>
      <w:r>
        <w:rPr>
          <w:rStyle w:val="Emphasis"/>
          <w:rFonts w:ascii="Times New Roman;Times;serif" w:hAnsi="Times New Roman;Times;serif"/>
          <w:caps w:val="false"/>
          <w:smallCaps w:val="false"/>
          <w:sz w:val="20"/>
        </w:rPr>
        <w:t xml:space="preserve">January 2026 </w:t>
      </w:r>
      <w:r>
        <w:rPr>
          <w:rFonts w:ascii="Times New Roman;Times;serif" w:hAnsi="Times New Roman;Times;serif"/>
          <w:caps w:val="false"/>
          <w:smallCaps w:val="false"/>
          <w:sz w:val="20"/>
        </w:rPr>
        <w:t>when the maximum dollar amount under this program was expended.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March 13, 2026, </w:t>
      </w:r>
      <w:r>
        <w:rPr>
          <w:rFonts w:ascii="Times New Roman;Times;serif" w:hAnsi="Times New Roman;Times;serif"/>
          <w:caps w:val="false"/>
          <w:smallCaps w:val="false"/>
          <w:sz w:val="20"/>
        </w:rPr>
        <w:t xml:space="preserve">the Company announced the adoption of a new share repurchase program approved by the Board under which the Company is authorized to repurchase up to $10.0 million of its outstanding shares of common stock. Pursuant to this authorization, the Company is authorized to make repurchases in the open market, including under Rule </w:t>
      </w:r>
      <w:r>
        <w:rPr>
          <w:rStyle w:val="Emphasis"/>
          <w:rFonts w:ascii="Times New Roman;Times;serif" w:hAnsi="Times New Roman;Times;serif"/>
          <w:caps w:val="false"/>
          <w:smallCaps w:val="false"/>
          <w:sz w:val="20"/>
        </w:rPr>
        <w:t>10b5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plans, through privately negotiated transactions, or otherwise. This share repurchase program terminates on the earlier of </w:t>
      </w:r>
      <w:r>
        <w:rPr>
          <w:rStyle w:val="Emphasis"/>
          <w:rFonts w:ascii="Times New Roman;Times;serif" w:hAnsi="Times New Roman;Times;serif"/>
          <w:caps w:val="false"/>
          <w:smallCaps w:val="false"/>
          <w:sz w:val="20"/>
        </w:rPr>
        <w:t xml:space="preserve">September 12, 2026 </w:t>
      </w:r>
      <w:r>
        <w:rPr>
          <w:rFonts w:ascii="Times New Roman;Times;serif" w:hAnsi="Times New Roman;Times;serif"/>
          <w:caps w:val="false"/>
          <w:smallCaps w:val="false"/>
          <w:sz w:val="20"/>
        </w:rPr>
        <w:t xml:space="preserve">or when the maximum dollar amount under the plan has been expended.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March 31, 2026, </w:t>
      </w:r>
      <w:r>
        <w:rPr>
          <w:rFonts w:ascii="Times New Roman;Times;serif" w:hAnsi="Times New Roman;Times;serif"/>
          <w:caps w:val="false"/>
          <w:smallCaps w:val="false"/>
          <w:sz w:val="20"/>
        </w:rPr>
        <w:t xml:space="preserve">the Company repurchased and subsequently retired 119,367 shares of common stock at an aggregate fair value of $2.5 million under this authorization, reflecting an average price per share of $20.94 (excluding the cost of broker commissions and the 1% share repurchase excise tax imposed by the Inflation Reduction Act of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and the Company continued to repurchase shares pursuant to this authorization during the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2026</w:t>
      </w: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 xml:space="preserve"> repurchasing 90,131 additional shares valued at $1.8 million through </w:t>
      </w:r>
      <w:r>
        <w:rPr>
          <w:rStyle w:val="Emphasis"/>
          <w:rFonts w:ascii="Times New Roman;Times;serif" w:hAnsi="Times New Roman;Times;serif"/>
          <w:caps w:val="false"/>
          <w:smallCaps w:val="false"/>
          <w:sz w:val="20"/>
        </w:rPr>
        <w:t>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ind w:left="0" w:right="0" w:hanging="0"/>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409,000 and 105,000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earnings per share (in thousands, except per share data):</w:t>
      </w:r>
    </w:p>
    <w:p>
      <w:pPr>
        <w:pStyle w:val="TextBody"/>
        <w:bidi w:val="0"/>
        <w:spacing w:before="0" w:after="0"/>
        <w:ind w:left="0" w:right="0" w:hanging="0"/>
        <w:jc w:val="both"/>
        <w:rPr>
          <w:caps w:val="false"/>
          <w:smallCaps w:val="false"/>
        </w:rPr>
      </w:pPr>
      <w:r>
        <w:rPr>
          <w:caps w:val="false"/>
          <w:smallCaps w:val="false"/>
        </w:rPr>
        <w:t> </w:t>
      </w:r>
    </w:p>
    <w:tbl>
      <w:tblPr>
        <w:tblW w:w="6021" w:type="dxa"/>
        <w:jc w:val="left"/>
        <w:tblInd w:w="0" w:type="dxa"/>
        <w:tblLayout w:type="fixed"/>
        <w:tblCellMar>
          <w:top w:w="0" w:type="dxa"/>
          <w:left w:w="0" w:type="dxa"/>
          <w:bottom w:w="0" w:type="dxa"/>
          <w:right w:w="0" w:type="dxa"/>
        </w:tblCellMar>
      </w:tblPr>
      <w:tblGrid>
        <w:gridCol w:w="3245"/>
        <w:gridCol w:w="60"/>
        <w:gridCol w:w="214"/>
        <w:gridCol w:w="1012"/>
        <w:gridCol w:w="102"/>
        <w:gridCol w:w="102"/>
        <w:gridCol w:w="214"/>
        <w:gridCol w:w="1012"/>
        <w:gridCol w:w="60"/>
      </w:tblGrid>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5,910</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4,332</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Weighted-average shares outstanding</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sz w:val="20"/>
              </w:rPr>
            </w:pPr>
            <w:r>
              <w:rPr>
                <w:sz w:val="20"/>
              </w:rPr>
              <w:t>29,376</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sz w:val="20"/>
              </w:rPr>
            </w:pPr>
            <w:r>
              <w:rPr>
                <w:sz w:val="20"/>
              </w:rPr>
              <w:t>30,444</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Effect of dilutive shares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143</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Weighted-average diluted shares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29,424</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30,587</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0.20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0.14</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0.20</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0.14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marketable securities, which were all classified as available for sale and which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sell nor will the Company be required to sell prior to recovery of their amortized cost basis, included the following (in thousands):</w:t>
      </w:r>
    </w:p>
    <w:p>
      <w:pPr>
        <w:pStyle w:val="TextBody"/>
        <w:bidi w:val="0"/>
        <w:spacing w:before="0" w:after="0"/>
        <w:jc w:val="left"/>
        <w:rPr/>
      </w:pPr>
      <w:r>
        <w:rPr/>
        <w:t xml:space="preserve">  </w:t>
      </w:r>
    </w:p>
    <w:tbl>
      <w:tblPr>
        <w:tblW w:w="7406" w:type="dxa"/>
        <w:jc w:val="left"/>
        <w:tblInd w:w="0" w:type="dxa"/>
        <w:tblLayout w:type="fixed"/>
        <w:tblCellMar>
          <w:top w:w="0" w:type="dxa"/>
          <w:left w:w="0" w:type="dxa"/>
          <w:bottom w:w="0" w:type="dxa"/>
          <w:right w:w="0" w:type="dxa"/>
        </w:tblCellMar>
      </w:tblPr>
      <w:tblGrid>
        <w:gridCol w:w="1850"/>
        <w:gridCol w:w="60"/>
        <w:gridCol w:w="203"/>
        <w:gridCol w:w="971"/>
        <w:gridCol w:w="60"/>
        <w:gridCol w:w="60"/>
        <w:gridCol w:w="507"/>
        <w:gridCol w:w="937"/>
        <w:gridCol w:w="60"/>
        <w:gridCol w:w="60"/>
        <w:gridCol w:w="605"/>
        <w:gridCol w:w="899"/>
        <w:gridCol w:w="80"/>
        <w:gridCol w:w="60"/>
        <w:gridCol w:w="163"/>
        <w:gridCol w:w="771"/>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treasury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17,778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17,787</w:t>
            </w:r>
          </w:p>
        </w:tc>
        <w:tc>
          <w:tcPr>
            <w:tcW w:w="60" w:type="dxa"/>
            <w:tcBorders/>
            <w:shd w:fill="FFFFFF" w:val="clear"/>
            <w:vAlign w:val="center"/>
          </w:tcPr>
          <w:p>
            <w:pPr>
              <w:pStyle w:val="TableContents"/>
              <w:bidi w:val="0"/>
              <w:spacing w:before="0" w:after="0"/>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17,787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7386" w:type="dxa"/>
        <w:jc w:val="left"/>
        <w:tblInd w:w="0" w:type="dxa"/>
        <w:tblLayout w:type="fixed"/>
        <w:tblCellMar>
          <w:top w:w="0" w:type="dxa"/>
          <w:left w:w="0" w:type="dxa"/>
          <w:bottom w:w="0" w:type="dxa"/>
          <w:right w:w="0" w:type="dxa"/>
        </w:tblCellMar>
      </w:tblPr>
      <w:tblGrid>
        <w:gridCol w:w="1850"/>
        <w:gridCol w:w="60"/>
        <w:gridCol w:w="203"/>
        <w:gridCol w:w="971"/>
        <w:gridCol w:w="60"/>
        <w:gridCol w:w="60"/>
        <w:gridCol w:w="507"/>
        <w:gridCol w:w="937"/>
        <w:gridCol w:w="60"/>
        <w:gridCol w:w="60"/>
        <w:gridCol w:w="487"/>
        <w:gridCol w:w="1017"/>
        <w:gridCol w:w="60"/>
        <w:gridCol w:w="60"/>
        <w:gridCol w:w="163"/>
        <w:gridCol w:w="771"/>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1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U.S. treasury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20,843</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20,843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carrying amounts reported in the Condensed Consolidated Balance Sheets approximate fair value based on quoted market prices or alternative pricing sources and models utilizing market observable inputs.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any allowance for credit impairments on its available for sale securities. All investments in marketable securities are classified as current assets on the Condensed Consolidated Balance Sheets because the underlying securities mature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balance sheet date.</w:t>
      </w:r>
    </w:p>
    <w:p>
      <w:pPr>
        <w:pStyle w:val="TextBody"/>
        <w:bidi w:val="0"/>
        <w:spacing w:before="0" w:after="0"/>
        <w:jc w:val="left"/>
        <w:rPr/>
      </w:pPr>
      <w:r>
        <w:rPr/>
        <w:t xml:space="preserve">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ind w:left="0" w:right="0" w:hanging="0"/>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13, 2026, </w:t>
      </w:r>
      <w:r>
        <w:rPr>
          <w:rFonts w:ascii="Times New Roman" w:hAnsi="Times New Roman"/>
          <w:caps w:val="false"/>
          <w:smallCaps w:val="false"/>
          <w:sz w:val="20"/>
        </w:rPr>
        <w:t xml:space="preserve">the Company entered into the First Amendment (the "First Amendment") to Amended and Restated Revolving Credit Agreement, amending the Amended and Restated Revolving Credit Agreement dated </w:t>
      </w:r>
      <w:r>
        <w:rPr>
          <w:rStyle w:val="Emphasis"/>
          <w:rFonts w:ascii="Times New Roman" w:hAnsi="Times New Roman"/>
          <w:caps w:val="false"/>
          <w:smallCaps w:val="false"/>
          <w:sz w:val="20"/>
        </w:rPr>
        <w:t>October 6, 2023 (</w:t>
      </w:r>
      <w:r>
        <w:rPr>
          <w:rFonts w:ascii="Times New Roman" w:hAnsi="Times New Roman"/>
          <w:caps w:val="false"/>
          <w:smallCaps w:val="false"/>
          <w:sz w:val="20"/>
        </w:rPr>
        <w:t xml:space="preserve">the “Revolving Credit Facility"; the Revolving Credit Facility, as amended by the First Amendment, the "Amended Revolving Credit Facility"). The First Amendment made certain revisions to the restricted payments provision in the Revolving Credit Facility (including to broaden the scope of certain parameters restricting dividends and share repurchases by the Company),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otherwise change the terms of the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Revolving Credit Facility amended and restated the revolving credit facility dated as of </w:t>
      </w:r>
      <w:r>
        <w:rPr>
          <w:rStyle w:val="Emphasis"/>
          <w:rFonts w:ascii="Times New Roman" w:hAnsi="Times New Roman"/>
          <w:caps w:val="false"/>
          <w:smallCaps w:val="false"/>
          <w:sz w:val="20"/>
        </w:rPr>
        <w:t xml:space="preserve"> November 24, 2014, </w:t>
      </w:r>
      <w:r>
        <w:rPr>
          <w:rFonts w:ascii="Times New Roman" w:hAnsi="Times New Roman"/>
          <w:caps w:val="false"/>
          <w:smallCaps w:val="false"/>
          <w:sz w:val="20"/>
        </w:rPr>
        <w:t>as amended, with certain lenders party thereto from time to time, and Truist, as Administrative Agent for the lenders. Under the Amended Revolving Credit Facility,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borrow up to $50.0 million, which includes a $5.0 million swingline sub-facility and a $5.0 million letter of credit sub-facility, as well as an accordion feature that allows the Company to increase the Amended Revolving Credit Facility by a total of up to $25.0 million, subject to securing additional commitments from existing lenders or new lending institutions. The Amended Revolving Credit Facility has a maturity date of </w:t>
      </w:r>
      <w:r>
        <w:rPr>
          <w:rStyle w:val="Emphasis"/>
          <w:rFonts w:ascii="Times New Roman" w:hAnsi="Times New Roman"/>
          <w:caps w:val="false"/>
          <w:smallCaps w:val="false"/>
          <w:sz w:val="20"/>
        </w:rPr>
        <w:t xml:space="preserve"> October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obligations under the Amended Revolving Credit Facility are unsecured. In addition, if the Company forms or acquires any domestic subsidiaries, the loans and other obligations under the Amended Revolving Credit Facility will be guaranteed by such domestic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the Company’s election, the borrowings under the Amended Revolving Credit Facility, other than the swingline loans, bear interest at either (</w:t>
      </w:r>
      <w:r>
        <w:rPr>
          <w:rStyle w:val="Emphasis"/>
          <w:rFonts w:ascii="Times New Roman" w:hAnsi="Times New Roman"/>
          <w:caps w:val="false"/>
          <w:smallCaps w:val="false"/>
          <w:sz w:val="20"/>
        </w:rPr>
        <w:t>1</w:t>
      </w:r>
      <w:r>
        <w:rPr>
          <w:rFonts w:ascii="Times New Roman" w:hAnsi="Times New Roman"/>
          <w:caps w:val="false"/>
          <w:smallCaps w:val="false"/>
          <w:sz w:val="20"/>
        </w:rPr>
        <w:t>) a base rate defined as the highest of (a) the rate which the Administrative Agent announces from time to time as its prime lending rate, as in effect from time to time, or (b) the Federal Funds Rate, as in effect from time to time, plus </w:t>
      </w:r>
      <w:r>
        <w:rPr>
          <w:rStyle w:val="Emphasis"/>
          <w:rFonts w:ascii="Times New Roman" w:hAnsi="Times New Roman"/>
          <w:caps w:val="false"/>
          <w:smallCaps w:val="false"/>
          <w:sz w:val="20"/>
        </w:rPr>
        <w:t>one</w:t>
      </w:r>
      <w:r>
        <w:rPr>
          <w:rFonts w:ascii="Times New Roman" w:hAnsi="Times New Roman"/>
          <w:caps w:val="false"/>
          <w:smallCaps w:val="false"/>
          <w:sz w:val="20"/>
        </w:rPr>
        <w:t>-half of </w:t>
      </w:r>
      <w:r>
        <w:rPr>
          <w:rStyle w:val="Emphasis"/>
          <w:rFonts w:ascii="Times New Roman" w:hAnsi="Times New Roman"/>
          <w:caps w:val="false"/>
          <w:smallCaps w:val="false"/>
          <w:sz w:val="20"/>
        </w:rPr>
        <w:t>one</w:t>
      </w:r>
      <w:r>
        <w:rPr>
          <w:rFonts w:ascii="Times New Roman" w:hAnsi="Times New Roman"/>
          <w:caps w:val="false"/>
          <w:smallCaps w:val="false"/>
          <w:sz w:val="20"/>
        </w:rPr>
        <w:t> percent (0.50%) per annum (any changes in such rates to be effective as of the date of any change in such rate), plus in each case an applicable margin that varies with the company’s funded debt leverage ratio; or (</w:t>
      </w:r>
      <w:r>
        <w:rPr>
          <w:rStyle w:val="Emphasis"/>
          <w:rFonts w:ascii="Times New Roman" w:hAnsi="Times New Roman"/>
          <w:caps w:val="false"/>
          <w:smallCaps w:val="false"/>
          <w:sz w:val="20"/>
        </w:rPr>
        <w:t>2</w:t>
      </w:r>
      <w:r>
        <w:rPr>
          <w:rFonts w:ascii="Times New Roman" w:hAnsi="Times New Roman"/>
          <w:caps w:val="false"/>
          <w:smallCaps w:val="false"/>
          <w:sz w:val="20"/>
        </w:rPr>
        <w:t>) a term secured overnight financing rate (“SOFR”) defined as the greater of (a)(i) the forward-looking term rate based on SOFR determined as of the reference time for such interest period with a term equivalent to such interest period plus (ii) a term SOFR adjustment equal to 0.10% per annum and (b) zero, plus, in each case, an applicable margin that varies with the Company’s consolidated total leverage ratio. The Company’s borrowings under the swingline loans bear interest at the base rate plus the applicable margin. The initial applicable margin for base rate loans is 0.50% and the initial applicable margin SOFR loans is 1.50%. The applicable margins will be adjusted quarterly, in each case </w:t>
      </w:r>
      <w:r>
        <w:rPr>
          <w:rStyle w:val="Emphasis"/>
          <w:rFonts w:ascii="Times New Roman" w:hAnsi="Times New Roman"/>
          <w:caps w:val="false"/>
          <w:smallCaps w:val="false"/>
          <w:sz w:val="20"/>
        </w:rPr>
        <w:t>two</w:t>
      </w:r>
      <w:r>
        <w:rPr>
          <w:rFonts w:ascii="Times New Roman" w:hAnsi="Times New Roman"/>
          <w:caps w:val="false"/>
          <w:smallCaps w:val="false"/>
          <w:sz w:val="20"/>
        </w:rPr>
        <w:t> (</w:t>
      </w:r>
      <w:r>
        <w:rPr>
          <w:rStyle w:val="Emphasis"/>
          <w:rFonts w:ascii="Times New Roman" w:hAnsi="Times New Roman"/>
          <w:caps w:val="false"/>
          <w:smallCaps w:val="false"/>
          <w:sz w:val="20"/>
        </w:rPr>
        <w:t>2</w:t>
      </w:r>
      <w:r>
        <w:rPr>
          <w:rFonts w:ascii="Times New Roman" w:hAnsi="Times New Roman"/>
          <w:caps w:val="false"/>
          <w:smallCaps w:val="false"/>
          <w:sz w:val="20"/>
        </w:rPr>
        <w:t>) business days after the Administrative Agent's receipt of the Company's quarterly financial statements. The Company is also required to pay a commitment fee accruing on the unused revolving commitment, which fee initially is 20 basis points per annum and a letter of credit fee, accruing at a rate per annum equal to the applicable margin for SOFR loans then in effect on the daily average amount of such lender’s letter of credit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Principal is payable in full at maturity on </w:t>
      </w:r>
      <w:r>
        <w:rPr>
          <w:rStyle w:val="Emphasis"/>
          <w:rFonts w:ascii="Times New Roman" w:hAnsi="Times New Roman"/>
          <w:caps w:val="false"/>
          <w:smallCaps w:val="false"/>
          <w:sz w:val="20"/>
        </w:rPr>
        <w:t xml:space="preserve"> October 6, 2026, </w:t>
      </w:r>
      <w:r>
        <w:rPr>
          <w:rFonts w:ascii="Times New Roman" w:hAnsi="Times New Roman"/>
          <w:caps w:val="false"/>
          <w:smallCaps w:val="false"/>
          <w:sz w:val="20"/>
        </w:rPr>
        <w:t>and there are </w:t>
      </w:r>
      <w:r>
        <w:rPr>
          <w:rStyle w:val="Emphasis"/>
          <w:rFonts w:ascii="Times New Roman" w:hAnsi="Times New Roman"/>
          <w:caps w:val="false"/>
          <w:smallCaps w:val="false"/>
          <w:sz w:val="20"/>
        </w:rPr>
        <w:t>no</w:t>
      </w:r>
      <w:r>
        <w:rPr>
          <w:rFonts w:ascii="Times New Roman" w:hAnsi="Times New Roman"/>
          <w:caps w:val="false"/>
          <w:smallCaps w:val="false"/>
          <w:sz w:val="20"/>
        </w:rPr>
        <w:t> scheduled principal payments prior to maturity. Interest on base rate loans and swingline loans is payable quarterly in arrears, and interest on SOFR loans is payable at the end of each interest period, and in the case of interest periods longer than </w:t>
      </w:r>
      <w:r>
        <w:rPr>
          <w:rStyle w:val="Emphasis"/>
          <w:rFonts w:ascii="Times New Roman" w:hAnsi="Times New Roman"/>
          <w:caps w:val="false"/>
          <w:smallCaps w:val="false"/>
          <w:sz w:val="20"/>
        </w:rPr>
        <w:t>three</w:t>
      </w:r>
      <w:r>
        <w:rPr>
          <w:rFonts w:ascii="Times New Roman" w:hAnsi="Times New Roman"/>
          <w:caps w:val="false"/>
          <w:smallCaps w:val="false"/>
          <w:sz w:val="20"/>
        </w:rPr>
        <w:t> months, on each day which occurs every </w:t>
      </w:r>
      <w:r>
        <w:rPr>
          <w:rStyle w:val="Emphasis"/>
          <w:rFonts w:ascii="Times New Roman" w:hAnsi="Times New Roman"/>
          <w:caps w:val="false"/>
          <w:smallCaps w:val="false"/>
          <w:sz w:val="20"/>
        </w:rPr>
        <w:t>three</w:t>
      </w:r>
      <w:r>
        <w:rPr>
          <w:rFonts w:ascii="Times New Roman" w:hAnsi="Times New Roman"/>
          <w:caps w:val="false"/>
          <w:smallCaps w:val="false"/>
          <w:sz w:val="20"/>
        </w:rPr>
        <w:t> months after the initial date of such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purpose of the Amended Revolving Credit Facility is for general working capital needs, permitted acquisitions (as defined in the Amended and Restated Revolving Credit Agreement), and for stock repurchase and/or redemption transactions that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authorize.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Amended Revolving Credit Facility required the Company to meet certain financial tests,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10"/>
        <w:gridCol w:w="851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 funded debt leverage ratio (consolidated debt/consolidated EBITDA)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greater than 3.0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110"/>
        <w:gridCol w:w="861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an interest coverage ratio (consolidated EBITDA/consolidated interest expense)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to </w:t>
            </w:r>
            <w:r>
              <w:rPr>
                <w:rStyle w:val="Emphasis"/>
                <w:rFonts w:ascii="Times New Roman" w:hAnsi="Times New Roman"/>
                <w:caps w:val="false"/>
                <w:smallCaps w:val="false"/>
                <w:sz w:val="20"/>
              </w:rPr>
              <w:t>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Amended Revolving Credit Facility contains certain customary affirmative and negative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the Company was in compliance with all covenants of the Amended Revolving Credit Facility. There were no balances outstanding on the Amended Revolving Credit Facility as of or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ind w:left="0" w:right="0" w:hanging="0"/>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9.</w:t>
      </w:r>
      <w:r>
        <w:rPr>
          <w:rFonts w:ascii="Times New Roman;Times;serif" w:hAnsi="Times New Roman;Times;serif"/>
          <w:b/>
          <w:caps w:val="false"/>
          <w:smallCaps w:val="false"/>
          <w:sz w:val="20"/>
        </w:rPr>
        <w:t xml:space="preserve">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Times;serif" w:hAnsi="Times New Roman;Times;serif"/>
          <w:b/>
          <w:i/>
          <w:caps w:val="false"/>
          <w:smallCaps w:val="false"/>
          <w:sz w:val="20"/>
        </w:rPr>
        <w:t>Virsys12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pPr>
      <w:r>
        <w:rPr>
          <w:rFonts w:ascii="Times New Roman;Times;serif" w:hAnsi="Times New Roman;Times;serif"/>
          <w:caps w:val="false"/>
          <w:smallCaps w:val="false"/>
          <w:sz w:val="20"/>
        </w:rPr>
        <w:t>On </w:t>
      </w:r>
      <w:r>
        <w:rPr>
          <w:rStyle w:val="Emphasis"/>
          <w:rFonts w:ascii="Times New Roman;Times;serif" w:hAnsi="Times New Roman;Times;serif"/>
          <w:caps w:val="false"/>
          <w:smallCaps w:val="false"/>
          <w:sz w:val="20"/>
        </w:rPr>
        <w:t xml:space="preserve"> October 8, 2025, </w:t>
      </w:r>
      <w:r>
        <w:rPr>
          <w:rFonts w:ascii="Times New Roman;Times;serif" w:hAnsi="Times New Roman;Times;serif"/>
          <w:caps w:val="false"/>
          <w:smallCaps w:val="false"/>
          <w:sz w:val="20"/>
        </w:rPr>
        <w:t>the Company acquired all of the outstanding equity of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LLC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a Brentwood, Tennessee-based healthcare technology company that offers payers and health plans an innovative provider data management suite used for onboarding, credentialing, and network management. The consideration paid at closing for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xml:space="preserve"> consisted of approximately $11.4 million payable in cash, after giving effect to customary purchase price adjustments and a post-closing working capital adjustment. In addition, up to an additional $4.0 million in cash </w:t>
      </w:r>
      <w:r>
        <w:rPr>
          <w:rStyle w:val="Emphasis"/>
          <w:rFonts w:ascii="Times New Roman;Times;serif" w:hAnsi="Times New Roman;Times;serif"/>
          <w:caps w:val="false"/>
          <w:smallCaps w:val="false"/>
          <w:sz w:val="20"/>
        </w:rPr>
        <w:t>may </w:t>
      </w:r>
      <w:r>
        <w:rPr>
          <w:rFonts w:ascii="Times New Roman;Times;serif" w:hAnsi="Times New Roman;Times;serif"/>
          <w:caps w:val="false"/>
          <w:smallCaps w:val="false"/>
          <w:sz w:val="20"/>
        </w:rPr>
        <w:t>be paid over a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-year period following closing, contingent upon the achievement of certain financial targets. This acquisition expanded the Company's existing provider data management and credentialing solution for payers and health plan enterprises, called Network by HealthStreamTM, which is a part of its broader, market-leading Credentialing application suite. The acquisition was accounted for using the acquisition method of business combination under ASC </w:t>
      </w:r>
      <w:r>
        <w:rPr>
          <w:rStyle w:val="Emphasis"/>
          <w:rFonts w:ascii="Times New Roman;Times;serif" w:hAnsi="Times New Roman;Times;serif"/>
          <w:caps w:val="false"/>
          <w:smallCaps w:val="false"/>
          <w:sz w:val="20"/>
        </w:rPr>
        <w:t>805.</w:t>
      </w:r>
      <w:r>
        <w:rPr>
          <w:rFonts w:ascii="Times New Roman;Times;serif" w:hAnsi="Times New Roman;Times;serif"/>
          <w:caps w:val="false"/>
          <w:smallCaps w:val="false"/>
          <w:sz w:val="20"/>
        </w:rPr>
        <w:t xml:space="preserve"> The results of operations for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have been included in the Company’s Condensed Consolidated Financial Statements from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summary of the purchase price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3125"/>
        <w:gridCol w:w="60"/>
        <w:gridCol w:w="125"/>
        <w:gridCol w:w="590"/>
        <w:gridCol w:w="60"/>
      </w:tblGrid>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11,430</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summarizes the preliminary fair value of the assets acquired and liabilities assumed as of the date of acquisition (in thousands):</w:t>
      </w:r>
    </w:p>
    <w:p>
      <w:pPr>
        <w:pStyle w:val="TextBody"/>
        <w:bidi w:val="0"/>
        <w:spacing w:before="0" w:after="0"/>
        <w:ind w:left="0" w:right="0" w:hanging="0"/>
        <w:jc w:val="both"/>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3320"/>
        <w:gridCol w:w="60"/>
        <w:gridCol w:w="125"/>
        <w:gridCol w:w="590"/>
        <w:gridCol w:w="80"/>
      </w:tblGrid>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and unbilled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6,108</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The preliminary fair values of assets acquired and liabilities assumed continue to be subject to change during the measurement period (up to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year from the acquisition date) as the Company finalizes the valuation of these items. The primary areas of the preliminary purchase price allocation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finalized include the composition and valuation of an indemnification asset and liability related to sales tax attributes, which is preliminarily valued at $0.4 million. The primary intangible asset acquired was developed technology. The fair value estimate for developed technology intangible asset included significant assumptions in the prospective financial information, such as revenue growth, obsolescence factor, EBITDA margin, and the discount rate. Additionally, these assumptions are forward looking and could be affected by future economic and market conditions. The goodwill balance is primarily attributed to the assembled workforce, additional market opportunities from offering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products, and expected synergies from integrating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with other products or other combined functional areas within the Company. The goodwill balance is deductible for U.S. income tax purposes.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sets forth the preliminary components of identifiable intangible assets and their estimated useful lives as of the acquisition date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654" w:type="dxa"/>
        <w:jc w:val="left"/>
        <w:tblInd w:w="0" w:type="dxa"/>
        <w:tblLayout w:type="fixed"/>
        <w:tblCellMar>
          <w:top w:w="0" w:type="dxa"/>
          <w:left w:w="0" w:type="dxa"/>
          <w:bottom w:w="0" w:type="dxa"/>
          <w:right w:w="0" w:type="dxa"/>
        </w:tblCellMar>
      </w:tblPr>
      <w:tblGrid>
        <w:gridCol w:w="3770"/>
        <w:gridCol w:w="60"/>
        <w:gridCol w:w="185"/>
        <w:gridCol w:w="719"/>
        <w:gridCol w:w="60"/>
        <w:gridCol w:w="86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Useful life</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 years</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5,900</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 years</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7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 years</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 years</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 subject to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unaudited pro forma financial information summarizes the results of operations of the Company and </w:t>
      </w:r>
      <w:r>
        <w:rPr>
          <w:rStyle w:val="Emphasis"/>
          <w:rFonts w:ascii="Times New Roman" w:hAnsi="Times New Roman"/>
          <w:caps w:val="false"/>
          <w:smallCaps w:val="false"/>
          <w:sz w:val="20"/>
        </w:rPr>
        <w:t>Virsys12</w:t>
      </w:r>
      <w:r>
        <w:rPr>
          <w:rFonts w:ascii="Times New Roman" w:hAnsi="Times New Roman"/>
          <w:caps w:val="false"/>
          <w:smallCaps w:val="false"/>
          <w:sz w:val="20"/>
        </w:rPr>
        <w:t> as though the companies were combined as of </w:t>
      </w:r>
      <w:r>
        <w:rPr>
          <w:rStyle w:val="Emphasis"/>
          <w:rFonts w:ascii="Times New Roman" w:hAnsi="Times New Roman"/>
          <w:caps w:val="false"/>
          <w:smallCaps w:val="false"/>
          <w:sz w:val="20"/>
        </w:rPr>
        <w:t xml:space="preserve"> January 1, 2024 (</w:t>
      </w:r>
      <w:r>
        <w:rPr>
          <w:rFonts w:ascii="Times New Roman" w:hAnsi="Times New Roman"/>
          <w:caps w:val="false"/>
          <w:smallCaps w:val="false"/>
          <w:sz w:val="20"/>
        </w:rPr>
        <w:t>in thousands, except per share data):</w:t>
      </w:r>
    </w:p>
    <w:p>
      <w:pPr>
        <w:pStyle w:val="TextBody"/>
        <w:bidi w:val="0"/>
        <w:spacing w:before="0" w:after="0"/>
        <w:ind w:left="0" w:right="0" w:hanging="0"/>
        <w:jc w:val="both"/>
        <w:rPr>
          <w:caps w:val="false"/>
          <w:smallCaps w:val="false"/>
        </w:rPr>
      </w:pPr>
      <w:r>
        <w:rPr>
          <w:caps w:val="false"/>
          <w:smallCaps w:val="false"/>
        </w:rPr>
        <w:t> </w:t>
      </w:r>
    </w:p>
    <w:tbl>
      <w:tblPr>
        <w:tblW w:w="5274" w:type="dxa"/>
        <w:jc w:val="left"/>
        <w:tblInd w:w="0" w:type="dxa"/>
        <w:tblLayout w:type="fixed"/>
        <w:tblCellMar>
          <w:top w:w="0" w:type="dxa"/>
          <w:left w:w="0" w:type="dxa"/>
          <w:bottom w:w="0" w:type="dxa"/>
          <w:right w:w="0" w:type="dxa"/>
        </w:tblCellMar>
      </w:tblPr>
      <w:tblGrid>
        <w:gridCol w:w="2450"/>
        <w:gridCol w:w="60"/>
        <w:gridCol w:w="472"/>
        <w:gridCol w:w="2232"/>
        <w:gridCol w:w="6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4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75,236</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4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4,139</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4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4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These unaudited pro forma combined results of operations include certain adjustments arising from the acquisition, such as amortization of intangible assets, depreciation of property and equipment, and interest expense related to </w:t>
      </w:r>
      <w:r>
        <w:rPr>
          <w:rStyle w:val="Emphasis"/>
          <w:rFonts w:ascii="Times New Roman" w:hAnsi="Times New Roman"/>
          <w:caps w:val="false"/>
          <w:smallCaps w:val="false"/>
          <w:sz w:val="20"/>
        </w:rPr>
        <w:t>Virsys12's</w:t>
      </w:r>
      <w:r>
        <w:rPr>
          <w:rFonts w:ascii="Times New Roman" w:hAnsi="Times New Roman"/>
          <w:caps w:val="false"/>
          <w:smallCaps w:val="false"/>
          <w:sz w:val="20"/>
        </w:rPr>
        <w:t> previously outstanding debt. The unaudited pro forma combined results of operations is for informational purposes only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indicative of what the Company’s results of operations would have been had the transaction occurred as of </w:t>
      </w:r>
      <w:r>
        <w:rPr>
          <w:rStyle w:val="Emphasis"/>
          <w:rFonts w:ascii="Times New Roman" w:hAnsi="Times New Roman"/>
          <w:caps w:val="false"/>
          <w:smallCaps w:val="false"/>
          <w:sz w:val="20"/>
        </w:rPr>
        <w:t>January 1, 2024 </w:t>
      </w:r>
      <w:r>
        <w:rPr>
          <w:rFonts w:ascii="Times New Roman" w:hAnsi="Times New Roman"/>
          <w:caps w:val="false"/>
          <w:smallCaps w:val="false"/>
          <w:sz w:val="20"/>
        </w:rPr>
        <w:t>or to project the Company’s results of operations in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MissionCare Collective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December 15, 2025, </w:t>
      </w:r>
      <w:r>
        <w:rPr>
          <w:rFonts w:ascii="Times New Roman;Times;serif" w:hAnsi="Times New Roman;Times;serif"/>
          <w:caps w:val="false"/>
          <w:smallCaps w:val="false"/>
          <w:sz w:val="20"/>
        </w:rPr>
        <w:t>the Company acquired all of the outstanding equity of MissionCare Collective, LLC ("MissionCare"), a healthcare workforce company that includes the largest caregiver network in the United States. The consideration paid at closing for MissionCare consisted of approximately $24.9 million payable in cash at closing, after giving effect to customary purchase price adjustments and a post-closing working capital adjustment. In addition, 165,684 shares of HealthStream common stock valued at $4.0 million were issued at closing through a private placement, and up to an additional $10.0 million in cash </w:t>
      </w:r>
      <w:r>
        <w:rPr>
          <w:rStyle w:val="Emphasis"/>
          <w:rFonts w:ascii="Times New Roman;Times;serif" w:hAnsi="Times New Roman;Times;serif"/>
          <w:caps w:val="false"/>
          <w:smallCaps w:val="false"/>
          <w:sz w:val="20"/>
        </w:rPr>
        <w:t xml:space="preserve"> may </w:t>
      </w:r>
      <w:r>
        <w:rPr>
          <w:rFonts w:ascii="Times New Roman;Times;serif" w:hAnsi="Times New Roman;Times;serif"/>
          <w:caps w:val="false"/>
          <w:smallCaps w:val="false"/>
          <w:sz w:val="20"/>
        </w:rPr>
        <w:t>be paid over a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-year period following closing, contingent upon the achievement of certain financial targets. The acquisition will be accounted for using the acquisition method of business combination under ASC </w:t>
      </w:r>
      <w:r>
        <w:rPr>
          <w:rStyle w:val="Emphasis"/>
          <w:rFonts w:ascii="Times New Roman;Times;serif" w:hAnsi="Times New Roman;Times;serif"/>
          <w:caps w:val="false"/>
          <w:smallCaps w:val="false"/>
          <w:sz w:val="20"/>
        </w:rPr>
        <w:t>805.</w:t>
      </w:r>
      <w:r>
        <w:rPr>
          <w:rFonts w:ascii="Times New Roman;Times;serif" w:hAnsi="Times New Roman;Times;serif"/>
          <w:caps w:val="false"/>
          <w:smallCaps w:val="false"/>
          <w:sz w:val="20"/>
        </w:rPr>
        <w:t xml:space="preserve"> The results of operations for MissionCare have been included in the Company’s Condensed Consolidated Financial Statements from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summary of the purchase price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3125"/>
        <w:gridCol w:w="60"/>
        <w:gridCol w:w="125"/>
        <w:gridCol w:w="590"/>
        <w:gridCol w:w="60"/>
      </w:tblGrid>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24,880</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31,580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summarizes the preliminary fair value of the assets acquired and liabilities assumed as of the date of acquisition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3320"/>
        <w:gridCol w:w="60"/>
        <w:gridCol w:w="125"/>
        <w:gridCol w:w="590"/>
        <w:gridCol w:w="80"/>
      </w:tblGrid>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14,993</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18,600</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31,580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The preliminary fair values of assets acquired and liabilities assumed continue to be subject to change during the measurement period (up to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year from the acquisition date) as the Company finalizes the valuation of these items.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March 31, 2026, </w:t>
      </w:r>
      <w:r>
        <w:rPr>
          <w:rFonts w:ascii="Times New Roman;Times;serif" w:hAnsi="Times New Roman;Times;serif"/>
          <w:caps w:val="false"/>
          <w:smallCaps w:val="false"/>
          <w:sz w:val="20"/>
        </w:rPr>
        <w:t xml:space="preserve">the Company recorded adjustments to intangible assets and contingent consideration based on information received during the period from valuation specialists, as well as recorded the post-closing working capital adjustment, which resulted in the Company recording a measurement period adjustment which decreased goodwill by $4.6 million. The measurement period adjustment had an immaterial effect on current or prior period earnings. The primary areas of the preliminary purchase price allocation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finalized include the composition and valuation of an indemnification asset and liability related to sales tax attributes, which is preliminarily valued at $1.0 million. The primary intangible assets acquired were customer relationships and developed technology. The fair value estimate for customer relationships intangible asset included significant assumptions regarding prospective financial information with respect to the acquisition, including with respect to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arising from offering MissionCare products, and expected synergies from integrating MissionCare with other products or other combined functional areas within the Company. The goodwill balance is deductible for U.S. income tax purposes.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preliminary components of identifiable intangible assets and their estimated useful lives as of the acquisition date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39" w:type="dxa"/>
        <w:jc w:val="left"/>
        <w:tblInd w:w="0" w:type="dxa"/>
        <w:tblLayout w:type="fixed"/>
        <w:tblCellMar>
          <w:top w:w="0" w:type="dxa"/>
          <w:left w:w="0" w:type="dxa"/>
          <w:bottom w:w="0" w:type="dxa"/>
          <w:right w:w="0" w:type="dxa"/>
        </w:tblCellMar>
      </w:tblPr>
      <w:tblGrid>
        <w:gridCol w:w="3770"/>
        <w:gridCol w:w="60"/>
        <w:gridCol w:w="155"/>
        <w:gridCol w:w="734"/>
        <w:gridCol w:w="60"/>
        <w:gridCol w:w="860"/>
      </w:tblGrid>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Useful life</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 years</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 years</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 years</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 subject to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18,600</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sz w:val="20"/>
        </w:rPr>
        <w:t>The following unaudited pro forma financial information summarizes the results of operations of the Company and MissionCare as though the companies were combined as of </w:t>
      </w:r>
      <w:r>
        <w:rPr>
          <w:rStyle w:val="Emphasis"/>
          <w:rFonts w:ascii="Times New Roman" w:hAnsi="Times New Roman"/>
          <w:sz w:val="20"/>
        </w:rPr>
        <w:t xml:space="preserve"> January 1, 2024 (</w:t>
      </w:r>
      <w:r>
        <w:rPr>
          <w:rFonts w:ascii="Times New Roman" w:hAnsi="Times New Roman"/>
          <w:sz w:val="20"/>
        </w:rPr>
        <w:t>in thousands, except per share data):</w:t>
      </w:r>
    </w:p>
    <w:p>
      <w:pPr>
        <w:pStyle w:val="TextBody"/>
        <w:bidi w:val="0"/>
        <w:spacing w:before="0" w:after="0"/>
        <w:ind w:left="0" w:right="0" w:hanging="0"/>
        <w:jc w:val="left"/>
        <w:rPr/>
      </w:pPr>
      <w:r>
        <w:rPr/>
        <w:t> </w:t>
      </w:r>
    </w:p>
    <w:tbl>
      <w:tblPr>
        <w:tblW w:w="5274" w:type="dxa"/>
        <w:jc w:val="left"/>
        <w:tblInd w:w="0" w:type="dxa"/>
        <w:tblLayout w:type="fixed"/>
        <w:tblCellMar>
          <w:top w:w="0" w:type="dxa"/>
          <w:left w:w="0" w:type="dxa"/>
          <w:bottom w:w="0" w:type="dxa"/>
          <w:right w:w="0" w:type="dxa"/>
        </w:tblCellMar>
      </w:tblPr>
      <w:tblGrid>
        <w:gridCol w:w="2450"/>
        <w:gridCol w:w="60"/>
        <w:gridCol w:w="472"/>
        <w:gridCol w:w="2232"/>
        <w:gridCol w:w="6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4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75,711</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4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4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4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sz w:val="20"/>
        </w:rPr>
        <w:t xml:space="preserve">These unaudited pro forma combined results of operations include certain adjustments arising from the acquisition, such as amortization of intangible assets. The unaudited pro forma combined results of operations is for informational purposes only and is </w:t>
      </w:r>
      <w:r>
        <w:rPr>
          <w:rStyle w:val="Emphasis"/>
          <w:rFonts w:ascii="Times New Roman" w:hAnsi="Times New Roman"/>
          <w:sz w:val="20"/>
        </w:rPr>
        <w:t>not</w:t>
      </w:r>
      <w:r>
        <w:rPr>
          <w:rFonts w:ascii="Times New Roman" w:hAnsi="Times New Roman"/>
          <w:sz w:val="20"/>
        </w:rPr>
        <w:t xml:space="preserve"> indicative of what the Company’s results of operations would have been had the transaction occurred as of </w:t>
      </w:r>
      <w:r>
        <w:rPr>
          <w:rStyle w:val="Emphasis"/>
          <w:rFonts w:ascii="Times New Roman" w:hAnsi="Times New Roman"/>
          <w:sz w:val="20"/>
        </w:rPr>
        <w:t xml:space="preserve">January 1, 2024 </w:t>
      </w:r>
      <w:r>
        <w:rPr>
          <w:rFonts w:ascii="Times New Roman" w:hAnsi="Times New Roman"/>
          <w:sz w:val="20"/>
        </w:rPr>
        <w:t>or to project the Company’s results of operations in any future period.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sz w:val="20"/>
        </w:rPr>
      </w:pPr>
      <w:bookmarkStart w:id="9" w:name="mda"/>
      <w:bookmarkEnd w:id="9"/>
      <w:r>
        <w:rPr>
          <w:rFonts w:ascii="Times New Roman" w:hAnsi="Times New Roman"/>
          <w:b/>
          <w:sz w:val="20"/>
        </w:rPr>
        <w:t xml:space="preserve">Item 2. </w:t>
      </w:r>
      <w:r>
        <w:rPr>
          <w:rFonts w:ascii="Times New Roman" w:hAnsi="Times New Roman"/>
          <w:b/>
          <w:i/>
          <w:sz w:val="20"/>
        </w:rPr>
        <w:t xml:space="preserve">Management's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Special Cautionary Notice Regarding Forward</w:t>
      </w:r>
      <w:r>
        <w:rPr>
          <w:rFonts w:ascii="Times New Roman" w:hAnsi="Times New Roman"/>
          <w:caps w:val="false"/>
          <w:smallCaps w:val="false"/>
          <w:sz w:val="20"/>
        </w:rPr>
        <w:noBreakHyphen/>
      </w:r>
      <w:r>
        <w:rPr>
          <w:rFonts w:ascii="Times New Roman" w:hAnsi="Times New Roman"/>
          <w:b/>
          <w:caps w:val="false"/>
          <w:smallCaps w:val="false"/>
          <w:sz w:val="20"/>
        </w:rPr>
        <w:t>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read the following discussion and analysis in conjunction with our Condensed Consolidated Financial Statements and related Notes included elsewhere in this Form 10-Q and our audited Consolidated Financial Statements and the Notes thereto for the year ended December 31, 2025, appearing in our Annual Report on Form 10-K that was filed with the Securities and Exchange Commission (“SEC”) on February 26, 2026 (the “2025 Form 10-K”). Statements contained in this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"continue," “estimates,” “expects,” “intends,” “may,” “plans,” “potential,” “predicts,” “projects,” “should,” “will,” “would,” and similar expressions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cautions that forward-looking statements involve known and unknown risks, uncertainties, and other factors that may cause the Company's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evaluating any forward-looking statement, you should specifically consider the information regarding forward-looking statements set forth above and the risks set forth under the caption Part I, Item 1A. Risk Factors in our 2025 Form 10-K and other disclosures in our 2025 Form 10-K and other filings with the SEC from time to time, as well as other cautionary statements contained elsewhere in this Form 10-Q, including our critical accounting policies and estimates as discussed in this Form 10-Q and our 2025 Form 10-K. We undertake no obligation to update or revise any forward-looking statements. You should read this Form 10-Q with the understanding that our actual future results may be materially different from what we currently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Business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primarily provides SaaS based applications for healthcare organizations—all designed to improve business and clinical outcomes by supporting people who deliver patient care. We are focused on helping individuals and organizations in healthcare meet their ongoing learning, clinical development, credentialing, and scheduling needs, through both our enterprise applications and emerging career networks. We also provide our solutions to nursing schools and nursing students.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managed and organized around a single platform strategy, also referred to as our One HealthStream approach. At the center of this single platform strategy is our hStream technology platform. By enabling our applications through hStream, we believe that stand-alone applications, which already provide a powerful value proposition on their own, are beginning to leverage each other to more efficiently and effectively empower our customers to manage their businesses and improve their outcomes. Further, the Company’s internal structure and executive leadership are likewise shaped by the organizing principle of a single platform, including with regard to technology, operations, accounting, internal reporting (including the nature of information reviewed by our key decision makers), organizational structure, compensation, performance assessment, and resource allocation.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financial metrics for the first quarter of 2026 are set forth in the bullets below.</w:t>
      </w:r>
    </w:p>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of $81.2 million, up 10.5% from $73.5 million in the first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of $7.5 million, up 71.6% from $4.4 million in the first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of $5.9 million, up 36.4% from $4.3 million in the first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110"/>
        <w:gridCol w:w="932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Earnings per share (“EPS”) of $0.20 per share (diluted), up from $0.14 per share (diluted) in the first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65"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w:t>
            </w:r>
            <w:r>
              <w:rPr>
                <w:rFonts w:ascii="Times New Roman" w:hAnsi="Times New Roman"/>
                <w:caps w:val="false"/>
                <w:smallCaps w:val="false"/>
                <w:sz w:val="18"/>
              </w:rPr>
              <w:t>1</w:t>
            </w:r>
            <w:r>
              <w:rPr>
                <w:rFonts w:ascii="Times New Roman" w:hAnsi="Times New Roman"/>
                <w:caps w:val="false"/>
                <w:smallCaps w:val="false"/>
                <w:sz w:val="20"/>
              </w:rPr>
              <w:t> of $20.1 million, up 24.1% from $16.2 million in the first quarter of 2025</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1</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Adjusted EBITDA is a non-GAAP financial measure. A reconciliation of adjusted EBITDA to net income and disclosure regarding why we believe adjusted EBITDA provides useful information to investors is included later in this Form 10-Q.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first quarter of 2025, we entered into an agreement to sublease a portion of our office space in the Capitol View building in Nashville, Tennessee to optimize our workforce performance to deliver positive results for customers, employees, and shareholders. HealthStream’s corporate headquarters remains in Nashville in the Capitol View building, while we continue to hire new employees both locally and nationally to support our growth. The sublease commenced in April 2025 and will expire in October 2031. We recorded sublease income, net of initial direct cost amortization, of $0.8 million during the three months ended March 31, 2026. In addition, we expect to record sublease income, net, of approximately $2.4 million during the last nine months of 2026 and $3.2 million annually thereafter for the remaining term of the sublease under the caption 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Macroeconomic and other conditions in the United States that directly or indirectly impact the healthcare industry are challenging in certain respects and may become more challenging based on recent and contemplated changes to various policies and regulations. While healthcare costs continue to increase, government cuts or reimbursement rate reductions affecting healthcare organizations, evolving tariff and trade policies affecting healthcare-related goods and materials, as well as uncertainty surrounding potential policy, regulatory, and economic shifts, continue to be challenging for our healthcare customers. In particular, the federal budget reconciliation legislation enacted on July 4, 2025 includes significant policy changes that may adversely impact healthcare provider organizations, including changes that are expected to decrease access to health insurance and result in significant cuts to federal healthcare spending, particularly within the Medicaid program. We believe that these challenges and uncertainties, particularly among healthcare provider organizations with patient populations more dependent on government-funded reimbursement, have caused, and may continue to cause, some delays in purchasing and non-renewals of our products and services, particularly in relation to elective or non-mandatory products and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Macroeconomic challenges also persist in the United States in terms of inflationary pressures that have moderated from recent periods but continue to affect cost structures, ongoing elevated interest rate levels, heightened geopolitical tensions (including as a result of ongoing conflicts in the Middle East), and strained global trade relations. We believe that many of our customers have experienced increased labor, supply chain, capital, and other expenditures associated with recent inflationary pressures. These conditions and challenges impacting the United States economy and our customers in the healthcare industry have adversely affected, and may continue to adversely impact, our business and results of operations. </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Key Financial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utilizes the following financial metrics in connection with managing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Revenues, net</w:t>
            </w:r>
            <w:r>
              <w:rPr>
                <w:rFonts w:ascii="Times New Roman" w:hAnsi="Times New Roman"/>
                <w:caps w:val="false"/>
                <w:smallCaps w:val="false"/>
                <w:sz w:val="20"/>
              </w:rPr>
              <w:t>. Revenues, net, reflect income generated by the sales of goods and services related to our operations. Revenues, net, were $81.2 million for the three months ended March 31, 2026, compared to $73.5 million for the three months ended March 31, 2025. Management utilizes revenue in connection with managing our business and believes that this metric provides useful information to investors as a key indicator of the growth and success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Income</w:t>
            </w:r>
            <w:r>
              <w:rPr>
                <w:rFonts w:ascii="Times New Roman" w:hAnsi="Times New Roman"/>
                <w:caps w:val="false"/>
                <w:smallCaps w:val="false"/>
                <w:sz w:val="20"/>
              </w:rPr>
              <w:t>. Net income represents revenues, net, less all expenses. Net income was $5.9 million for the three months ended March 31, 2026, compared to $4.3 million for the three months ended March 31, 2025. Management utilizes net income in connection with managing our business, including with regard to our capital deployment strategies.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Adjusted EBITDA</w:t>
            </w:r>
            <w:r>
              <w:rPr>
                <w:rFonts w:ascii="Times New Roman" w:hAnsi="Times New Roman"/>
                <w:caps w:val="false"/>
                <w:smallCaps w:val="false"/>
                <w:sz w:val="20"/>
              </w:rPr>
              <w:t>. Adjusted EBITDA, calculated as set forth below under “Reconciliation of Non-GAAP Financial Measures,” is utilized by our 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investors to assess the Company’s ongoing operations. Additionally, certain short-term cash incentive bonuses and performance-based equity award grants are based, in whole or in part, on the achievement of adjusted EBITDA (as defined in applicable bonus and equity grant documentation) targets. Adjusted EBITDA was $20.1 million for the three months ended March 31, 2026, compared to $16.2 million for the three months ended March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Capital Expenditures</w:t>
            </w:r>
            <w:r>
              <w:rPr>
                <w:rFonts w:ascii="Times New Roman" w:hAnsi="Times New Roman"/>
                <w:caps w:val="false"/>
                <w:smallCaps w:val="false"/>
                <w:sz w:val="20"/>
              </w:rPr>
              <w:t>. Capital expenditures represent cash payments incurred for purchases of property and equipment and during the development phase for projects to develop software and content. Capital expenditures were $7.5 million for the three months ended March 31, 2026, compared to $8.8 million for the three months ended March 31, 2025. Management utilizes this metric in connection with managing the allocation of capitalized expenditures in which the Company invests related to the development of its products and believes that this metric is a key indicator of investment in products relative to their current and expected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Notes to the Consolidated Financial Statements in our 2025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2025 Form 10-K.</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March 31, 2026 Compared to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Revenues, net. </w:t>
      </w:r>
      <w:r>
        <w:rPr>
          <w:rFonts w:ascii="Times New Roman" w:hAnsi="Times New Roman"/>
          <w:caps w:val="false"/>
          <w:smallCaps w:val="false"/>
          <w:sz w:val="20"/>
        </w:rPr>
        <w:t>Revenues increased $7.7 million, or 11%, to $81.2 million for the three months ended March 31, 2026 from $73.5 million for the three months ended March 31, 2025. Subscription revenues increased by $7.6 million, or 11%, and professional services revenues increased by $0.1 million compared to the first quarter of 2025. Compared to the first quarter of 2025, revenue growth for the first quarter of 2026 was positively impacted by $5.7 million of growth across our existing portfolio of solutions and $3.4 million from our acquisitions of Virsys12 and MissionCare completed during the three months ended December 31, 2025, but was partially offset by a $1.4 million reduction from legacy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comparison of revenues by revenue source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5990" w:type="dxa"/>
        <w:jc w:val="left"/>
        <w:tblInd w:w="0" w:type="dxa"/>
        <w:tblLayout w:type="fixed"/>
        <w:tblCellMar>
          <w:top w:w="0" w:type="dxa"/>
          <w:left w:w="0" w:type="dxa"/>
          <w:bottom w:w="0" w:type="dxa"/>
          <w:right w:w="0" w:type="dxa"/>
        </w:tblCellMar>
      </w:tblPr>
      <w:tblGrid>
        <w:gridCol w:w="1745"/>
        <w:gridCol w:w="60"/>
        <w:gridCol w:w="152"/>
        <w:gridCol w:w="722"/>
        <w:gridCol w:w="226"/>
        <w:gridCol w:w="73"/>
        <w:gridCol w:w="152"/>
        <w:gridCol w:w="722"/>
        <w:gridCol w:w="226"/>
        <w:gridCol w:w="73"/>
        <w:gridCol w:w="341"/>
        <w:gridCol w:w="1313"/>
        <w:gridCol w:w="1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Change</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78,392</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70,789</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13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2,811</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2,696</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ind w:left="0" w:right="0" w:hanging="0"/>
              <w:jc w:val="left"/>
              <w:rPr/>
            </w:pPr>
            <w:r>
              <w:rPr/>
              <w:t> </w:t>
            </w:r>
          </w:p>
        </w:tc>
        <w:tc>
          <w:tcPr>
            <w:tcW w:w="13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81,203</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73,485</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13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2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2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2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Cost of Revenues (excluding Depreciation and Amortization). </w:t>
      </w:r>
      <w:r>
        <w:rPr>
          <w:rFonts w:ascii="Times New Roman" w:hAnsi="Times New Roman"/>
          <w:caps w:val="false"/>
          <w:smallCaps w:val="false"/>
          <w:sz w:val="20"/>
        </w:rPr>
        <w:t>Cost of revenues increased $2.3 million, or 9%, to $27.8 million for the three months ended March 31, 2026, from $25.5 million for the three months ended March 31, 2025. Cost of revenues as a percentage of revenues were 34% and 35% for the three months ended March 31, 2026 and 2025, respectively. The increase in amount is primarily associated with investments in several areas of our business, primarily in our platform and SaaS applications, resulting in higher labor costs, increased royalties expense, and higher third-party software and cloud hosting expenses, coupled with increases in expenses from the Virsys12 and MissionCare acquisitions.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Development.</w:t>
      </w:r>
      <w:r>
        <w:rPr>
          <w:rFonts w:ascii="Times New Roman" w:hAnsi="Times New Roman"/>
          <w:caps w:val="false"/>
          <w:smallCaps w:val="false"/>
          <w:sz w:val="20"/>
        </w:rPr>
        <w:t xml:space="preserve"> Product development expenses increased $1.6 million, or 13%, to $13.6 million for the three months ended March 31, 2026, from $12.0 million for the three months ended March 31, 2025. Product development expenses as a percentage of revenues were 17% and 16% for the three months ended March 31, 2026 and 2025, respectively. The increase in expense is primarily due to an increase in labor costs along with increases in expenses from the Virsys12 and MissionCare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Sales and marketing expenses, including personnel costs, increased $0.9 million, or 7%, to $13.0 million for the three months ended March 31, 2026, from $12.1 million for the three months ended March 31, 2025. Sales and marketing expenses were 16% and 17% of revenues for the three months ended March 31, 2026 and 2025, respectively. The increase in amount is primarily due to increased sales commissions and higher labor costs, coupled with increases in expenses from the Virsys12 and MissionCare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 and Administrative.</w:t>
      </w:r>
      <w:r>
        <w:rPr>
          <w:rFonts w:ascii="Times New Roman" w:hAnsi="Times New Roman"/>
          <w:caps w:val="false"/>
          <w:smallCaps w:val="false"/>
          <w:sz w:val="20"/>
        </w:rPr>
        <w:t> General and administrative expenses decreased $0.7 million, or 8%, to $8.0 million for the three months ended March 31, 2026, from $8.7 million for the three months ended March 31, 2025. General and administrative expenses were 10% and 12% of revenues for the three months ended March 31, 2026 and 2025, respectively. The decrease in amount is primarily due to sublease income associated with the office sublease that commenced during the second quarter of 2025 as noted above, partially offset by increases in expenses from the Virsys12 and MissionCare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and Amortization. </w:t>
      </w:r>
      <w:r>
        <w:rPr>
          <w:rFonts w:ascii="Times New Roman" w:hAnsi="Times New Roman"/>
          <w:caps w:val="false"/>
          <w:smallCaps w:val="false"/>
          <w:sz w:val="20"/>
        </w:rPr>
        <w:t>Depreciation and amortization expense increased $0.6 million, or 6%, to $11.4 million for the three months ended March 31, 2026, from $10.8 million for the three months ended March 31, 2025. This increase in amount is due to increased amortization associated with capitalized software coupled with increased amortization associated with the acquired intangibles from Virsys12 and MissionCare.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Interest Income</w:t>
      </w:r>
      <w:r>
        <w:rPr>
          <w:rFonts w:ascii="Times New Roman" w:hAnsi="Times New Roman"/>
          <w:caps w:val="false"/>
          <w:smallCaps w:val="false"/>
          <w:sz w:val="20"/>
        </w:rPr>
        <w:t>. Interest income was $0.4 million and $0.9 million for the three months ended March 31, 2026 and 2025, respectively. This decrease is a result of lower cash balances and lower interest rates on invested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Expense, Net</w:t>
      </w:r>
      <w:r>
        <w:rPr>
          <w:rFonts w:ascii="Times New Roman" w:hAnsi="Times New Roman"/>
          <w:caps w:val="false"/>
          <w:smallCaps w:val="false"/>
          <w:sz w:val="20"/>
        </w:rPr>
        <w:t>. Other expense, net was $0.1 million for both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Income Tax Provision. </w:t>
      </w:r>
      <w:r>
        <w:rPr>
          <w:rFonts w:ascii="Times New Roman" w:hAnsi="Times New Roman"/>
          <w:caps w:val="false"/>
          <w:smallCaps w:val="false"/>
          <w:sz w:val="20"/>
        </w:rPr>
        <w:t>The Company recorded a provision for income taxes of $1.9 million for the three months ended March 31, 2026, compared to $0.9 million for the three months ended March 31, 2025. The Company’s effective tax rate was 24% for the three months ended March 31, 2026, compared to 17% for the three months ended March 31, 2025. The Company’s effective tax rate primarily reflects the statutory corporate income tax rate, the net effect of state taxes, foreign income taxes, the effect of various permanent tax differences, and recognition of discrete tax items.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Net Income. </w:t>
      </w:r>
      <w:r>
        <w:rPr>
          <w:rFonts w:ascii="Times New Roman" w:hAnsi="Times New Roman"/>
          <w:caps w:val="false"/>
          <w:smallCaps w:val="false"/>
          <w:sz w:val="20"/>
        </w:rPr>
        <w:t>Net income was $5.9 million and $4.3 million for the three months ended March 31, 2026 and 2025, respectively. EPS was $0.20 per share (diluted) and $0.14 per share (diluted)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was $20.1 million for the three months ended March 31, 2026, compared to $16.2 million for the three months ended March 31, 2025. See “Reconciliation of Non-GAAP Financial Measures” below for our reconciliation of adjusted EBITDA to the most directly comparable measure under US GAAP and disclosure regarding why we believe adjusted EBITDA provides useful information to investors.</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Form 10-Q presents adjusted EBITDA, which is a non-GAAP financial measure used by management in analyzing our financial results and ongoing operational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better assess the Company’s financial results, management believes that net income before interest, income taxes, stock-based compensation, depreciation and amortization, impairments of long-lived assets, changes in fair value of contingent consideration,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Beginning with the presentation of adjusted EBITDA for the year ended December 31, 2025, the Company has included adjustments in the definition of adjusted EBITDA for impairment of long-lived assets and changes in fair value of contingent consideration because the Company believes that these amounts may not be reflective of the underlying operational performance of our business and that including these adjustments is consistent with the intended purpose of adjusted EBITDA with respect to reflecting the underlying operating performance of our business and comparing the Company’s operational performance between periods. We believe that adjusted EBITDA is useful to investors to assess the Company’s ongoing operating performance and to compare the Company’s operating performance between periods. In addition, certain short-term cash incentive bonuses and performance-based equity awards are based on the achievement of adjusted EBITDA (as defined in applicable bonus and equity grant documentation)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is a non-GAAP financial measure and should not be considered as a measure of financial performance under GAAP. Because adjusted EBITDA is not a measurement determined in accordance with GAAP, adjusted EBITDA is susceptible to varying calculations. Accordingly, adjusted EBITDA, as presented, may not be comparable to other similarly titled measures of other companies and has limitations as an analytical tool.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reconciliation of adjusted EBITDA to the most directly comparable GAAP measure, net income, is set forth below (in thousands).</w:t>
      </w:r>
    </w:p>
    <w:p>
      <w:pPr>
        <w:pStyle w:val="TextBody"/>
        <w:bidi w:val="0"/>
        <w:spacing w:before="0" w:after="0"/>
        <w:ind w:left="0" w:right="0" w:hanging="0"/>
        <w:jc w:val="both"/>
        <w:rPr>
          <w:caps w:val="false"/>
          <w:smallCaps w:val="false"/>
        </w:rPr>
      </w:pPr>
      <w:r>
        <w:rPr>
          <w:caps w:val="false"/>
          <w:smallCaps w:val="false"/>
        </w:rPr>
        <w:t> </w:t>
      </w:r>
    </w:p>
    <w:tbl>
      <w:tblPr>
        <w:tblW w:w="5742" w:type="dxa"/>
        <w:jc w:val="left"/>
        <w:tblInd w:w="0" w:type="dxa"/>
        <w:tblLayout w:type="fixed"/>
        <w:tblCellMar>
          <w:top w:w="0" w:type="dxa"/>
          <w:left w:w="0" w:type="dxa"/>
          <w:bottom w:w="0" w:type="dxa"/>
          <w:right w:w="0" w:type="dxa"/>
        </w:tblCellMar>
      </w:tblPr>
      <w:tblGrid>
        <w:gridCol w:w="2900"/>
        <w:gridCol w:w="60"/>
        <w:gridCol w:w="215"/>
        <w:gridCol w:w="1016"/>
        <w:gridCol w:w="137"/>
        <w:gridCol w:w="103"/>
        <w:gridCol w:w="215"/>
        <w:gridCol w:w="1016"/>
        <w:gridCol w:w="80"/>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11,365</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10,755</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20,105</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increased by $0.1 million to $27.1 million during the three months ended March 31, 2026. The increase in net cash provided by operating activities is primarily due to higher cash receipts from customers during the period, partially offset by higher payments for personnel related expenses and sales commissions. Our days sales outstanding ("DSO") was 39 days for the first quarter of 2026 compared to 37 days for the first quarter of 2025.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general corporate expenses, and initial direct costs related to the sublease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$6.3 million for the three months ended March 31, 2026, compared to $7.2 million for the three months ended March 31, 2025. During the three months ended March 31, 2026, the Company invested in marketable securities of $10.2 million, made payments for capitalized software development of $6.7 million, purchased strategic investments of $1.8 million, purchased property and equipment of $0.7 million, and paid a $0.3 million post-closing working capital adjustment related to the acquisition of MissionCare. These uses of cash were partially offset by $13.4 million in maturities of marketable securities. During the three months ended March 31, 2025, the Company invested in marketable securities of $9.2 million, made payments for capitalized software development of $7.8 million, purchased property and equipment of $1.1 million. and purchased an investment of $0.5 million. These uses of cash were partially offset by $11.3 million in maturities of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was $8.3 million for the three months ended March 31, 2026, compared to $2.0 million for the three months ended March 31, 2025. The uses of cash for the three months ended March 31, 2026 included $6.7 million for repurchases of common stock, $1.0 million for the payment of cash dividends, and $0.6 million for the payment of employee payroll taxes in relation to the vesting of restricted share units. The uses of cash for the three months ended March 31, 2025 included $1.1 million for the payment of employee payroll taxes in relation to the vesting of restricted share units and $0.9 million for the payment of cash dividends.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balance sheet reflects negative working capital of $3.5 million at March 31, 2026, compared to negative working capital of $4.5 million at December 31, 2025. The change in working capital is primarily a result of an increase in cash and cash equivalents. The Company’s primary source of liquidity as of March 31, 2026 was $48.7 million of cash and cash equivalents and $17.8 million of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has a $50.0 million revolving credit facility, the availability of which is subject to certain covenants and minimum liquidity requirements. There currently are no outstanding borrowings under the revolving credit facility. The revolving credit facility expires on October 6, 2026, which we intend to renew on or prior to its expiration. For additional information regarding our revolving credit facility, see Note 8 to the Condensed Consolidated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On February 20, 2023, we announced that our Board approved a quarterly dividend policy, under which we have paid dividends on a quarterly basis since our adoption of this policy. Under this dividend policy, the Board declared, and the Company paid, quarterly cash dividends on our common stock at the rate of $0.025 per share, $0.028 per share, and $0.031 per share during the years ended December 31, 2023, December 31, 2024, and December 31, 2025, respectively. On February 23, 2026, the Board approved a quarterly cash dividend under this policy of $0.035 per share, which was paid on March 20, 2026 to holders of record of our common stock on March 9, 2026. In addition, on May 4, 2026, the Board approved a quarterly cash dividend under this policy of $0.035 per share, which will be payable on May 29, 2026 to holders of record of our common stock on May 18, 2026.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shd w:fill="FFFFFF" w:val="clear"/>
        </w:rPr>
        <w:t>T</w:t>
      </w:r>
      <w:r>
        <w:rPr>
          <w:rFonts w:ascii="Times New Roman;Times;serif" w:hAnsi="Times New Roman;Times;serif"/>
          <w:sz w:val="20"/>
        </w:rPr>
        <w:t xml:space="preserve">he dividend policy and the declaration and payment of each quarterly cash dividend will be subject to our Board’s continuing determination that the policy and the declaration and payment of dividends thereunder are in the best interests of our shareholders and are in compliance with applicable law and our credit agreement. Our Board retains the power to modify, suspend, or cancel the dividend policy and quarterly dividends thereunder in any manner and at any time that our Board may deem necessary or appropriate. </w:t>
      </w:r>
    </w:p>
    <w:p>
      <w:pPr>
        <w:pStyle w:val="TextBody"/>
        <w:bidi w:val="0"/>
        <w:jc w:val="both"/>
        <w:rPr/>
      </w:pPr>
      <w:r>
        <w:rPr/>
        <w:t xml:space="preserve">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November 11, 2025, the Board approved a share repurchase program under which the Company was authorized to repurchase up to $10.0 million of its outstanding shares of common stock. Pursuant to this authorization, the Company was authorized to make repurchases in the open market, including under Rule 10b5-1 plans, through privately negotiated transactions, or otherwise. The terms of this program provided that it would terminate on the earlier of February 26, 2026, or when the maximum dollar amount had been expended. During the three months ended March 31, 2026, the Company repurchased and subsequently retired 222,978 shares of common stock at an aggregate fair value of $5.0 million, reflecting an average price per share of $22.42 (excluding the cost of broker commissions and the 1% share repurchase excise tax imposed by the Inflation Reduction Act of 2022). This program terminated in January 2026 when the maximum dollar amount under this program was expended.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March 13, 2026, the Company announced the adoption of a new share repurchase program approved by the Board under which the Company is authorized to repurchase up to $10.0 million of its outstanding shares of common stock. Pursuant to this authorization, the Company is authorized to make repurchases in the open market, including under Rule 10b5-1 plans, through privately negotiated transactions, or otherwise. This share repurchase program terminates on the earlier of September 12, 2026 or when the maximum dollar amount under the plan has been expended. During the three months ended March 31, 2026, the Company repurchased 119,367 shares of common stock at an aggregate fair value of $2.5 million under this authorization, reflecting an average price per share of $20.94 (excluding the cost of broker commissions and the 1% share repurchase excise tax imposed by the Inflation Reduction Act of 2022), and the Company continued to repurchase shares pursuant to this authorization during the second quarter of 2026</w:t>
      </w: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 repurchasing 90,131 additional shares valued at $1.8 million through April 30, 2026. This share repurchase program does not require the Company to acquire any amount of shares and may be suspended, modified, or discontinued at any time.</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We believe that our existing cash, cash equivalents, marketable securities, cash generated from operations, and available borrowings under our revolving credit facility (available through October 6, 2026) will be sufficient to meet anticipated working capital needs, new product development, pay our quarterly dividends, any share repurchases we may elect to make under any future share repurchase program, and fund capital expenditures for at least the next 12 months and for the foreseeable future thereafter.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debt, or a combination thereof.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our revolving credit facility would be dependent on the covenant calculations at the time of borrowing. As of March 31, 2026, we were in compliance with all covenants under our revolving credit facility. There can be no assurance that amounts available for borrowing under our revolving credit facility will be sufficient to consummate any possible acquisitions, and we cannot provide assurance that if we need additional financing, it will be available on terms favorable to us or at all. Failure to generate sufficient cash flow from operations or raise additional capital when required in sufficient amounts and on terms acceptable to us could harm our business, financial condition, and results of operations.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10" w:name="qqmdr"/>
      <w:bookmarkEnd w:id="10"/>
      <w:r>
        <w:rPr>
          <w:rFonts w:ascii="Times New Roman;Times;serif" w:hAnsi="Times New Roman;Times;serif"/>
          <w:b/>
          <w:sz w:val="20"/>
        </w:rPr>
        <w:t xml:space="preserve">Item 3. </w:t>
      </w:r>
      <w:r>
        <w:rPr>
          <w:rFonts w:ascii="Times New Roman;Times;serif" w:hAnsi="Times New Roman;Times;serif"/>
          <w:b/>
          <w:i/>
          <w:sz w:val="20"/>
        </w:rPr>
        <w:t>Quantitative and Qualitative Disclosures about Market Risk</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market risk from changes in interest rates, foreign currency risk, and investment risk. We do not have any commodity price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2026,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were $66.5 million at March 31, 2026. Assuming a hypothetical 10% decrease in interest rates for invested balances, interest income from cash and investments would decrease on an annualized basis by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Condensed Consolidated Financial Statements due to changes in market prices, observable price changes, and impairments to our strategic investments. These changes could be material based on market conditions and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bookmarkStart w:id="11" w:name="cps"/>
      <w:bookmarkEnd w:id="11"/>
      <w:r>
        <w:rPr>
          <w:rFonts w:ascii="Times New Roman;Times;serif" w:hAnsi="Times New Roman;Times;serif"/>
          <w:b/>
          <w:sz w:val="20"/>
        </w:rPr>
        <w:t xml:space="preserve">Item 4. </w:t>
      </w:r>
      <w:r>
        <w:rPr>
          <w:rFonts w:ascii="Times New Roman;Times;serif" w:hAnsi="Times New Roman;Times;serif"/>
          <w:b/>
          <w:i/>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Form 10-Q.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change in HealthStream’s internal control over financial reporting that occurred during the first quarter of 2026 that has materially affected, or that is reasonably likely to materially affect, HealthStream’s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partii"/>
      <w:bookmarkEnd w:id="12"/>
      <w:r>
        <w:rPr>
          <w:rFonts w:ascii="Times New Roman" w:hAnsi="Times New Roman"/>
          <w:b/>
          <w:caps w:val="false"/>
          <w:smallCaps w:val="false"/>
          <w:sz w:val="20"/>
        </w:rPr>
        <w:t>PART II</w:t>
      </w:r>
      <w:r>
        <w:rPr>
          <w:rFonts w:ascii="Times New Roman" w:hAnsi="Times New Roman"/>
          <w:caps w:val="false"/>
          <w:smallCaps w:val="false"/>
          <w:sz w:val="20"/>
        </w:rPr>
        <w:t> </w:t>
        <w:noBreakHyphen/>
        <w:t xml:space="preserve"> </w:t>
      </w:r>
      <w:r>
        <w:rPr>
          <w:rFonts w:ascii="Times New Roman" w:hAnsi="Times New Roman"/>
          <w:b/>
          <w:caps w:val="false"/>
          <w:smallCaps w:val="false"/>
          <w:sz w:val="20"/>
        </w:rPr>
        <w:t xml:space="preserve">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Item_1_Legal_Proceedings"/>
      <w:bookmarkEnd w:id="13"/>
      <w:r>
        <w:rPr>
          <w:rFonts w:ascii="Times New Roman" w:hAnsi="Times New Roman"/>
          <w:b/>
          <w:caps w:val="false"/>
          <w:smallCaps w:val="false"/>
          <w:sz w:val="20"/>
        </w:rPr>
        <w:t xml:space="preserve">Item 1. </w:t>
      </w: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4" w:name="risks"/>
      <w:bookmarkEnd w:id="14"/>
      <w:r>
        <w:rPr>
          <w:rFonts w:ascii="Times New Roman" w:hAnsi="Times New Roman"/>
          <w:b/>
          <w:caps w:val="false"/>
          <w:smallCaps w:val="false"/>
          <w:sz w:val="20"/>
        </w:rPr>
        <w:t xml:space="preserve">Item 1A. </w:t>
      </w:r>
      <w:r>
        <w:rPr>
          <w:rFonts w:ascii="Times New Roman" w:hAnsi="Times New Roman"/>
          <w:b/>
          <w:i/>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risk factors previously disclosed in Part I, Item 1A of the 2025 Form 10-K.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15" w:name="Item_2_Sales_of_Equity"/>
      <w:bookmarkEnd w:id="15"/>
      <w:r>
        <w:rPr>
          <w:rFonts w:ascii="Times New Roman;Times;serif" w:hAnsi="Times New Roman;Times;serif"/>
          <w:b/>
          <w:sz w:val="20"/>
        </w:rPr>
        <w:t xml:space="preserve">Item 2. </w:t>
      </w:r>
      <w:r>
        <w:rPr>
          <w:rFonts w:ascii="Times New Roman;Times;serif" w:hAnsi="Times New Roman;Times;serif"/>
          <w:b/>
          <w:i/>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11, 2025, the Company's Board of Directors approved a share repurchase program under which the Company was authorized to repurchase up to $10.0 million of its outstanding shares of common stock. Pursuant to this authorization, the Company was authorized to make repurchases in the open market, including under Rule 10b5-1 plans, through privately negotiated transactions, or otherwise. The terms of this program provided that it would terminate on the earlier of February 26, 2026 or when the maximum dollar amount had been expended. During the three months ended March 31, 2026, the Company repurchased and subsequently retired 222,978 shares of common stock at an aggregate fair value of $5.0 million, reflecting an average price per share of $22.42 (excluding the cost of broker commissions and the 1% share repurchase excise tax imposed by the Inflation Reduction Act of 2022). This share repurchase program terminated in January 2026 when the maximum dollar amount under this program was expended.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13, 2026, the Company announced the adoption of a new share repurchase program approved by the Board of Directors under which the Company is authorized to repurchase up to $10.0 million of its outstanding shares of common stock. Pursuant to this authorization, the Company is authorized to make repurchases in the open market, including under Rule 10b5-1 plans, through privately negotiated transactions, or otherwise. This share repurchase program terminates on the earlier of September 12, 2026 or when the maximum dollar amount under the plan is expended. During the three months ended March 31, 2026, the Company repurchased 119,367 shares of common stock at an aggregate fair value of $2.5 million under this authorization, reflecting an average price per share of $20.94 (excluding the cost of broker commissions and the 1% share repurchase excise tax imposed by the Inflation Reduction Act of 2022), and the Company continued to repurchase shares pursuant to this authorization during the second quarter of 2026</w:t>
      </w:r>
      <w:r>
        <w:rPr>
          <w:rFonts w:ascii="Times New Roman" w:hAnsi="Times New Roman"/>
          <w:i/>
          <w:caps w:val="false"/>
          <w:smallCaps w:val="false"/>
          <w:sz w:val="20"/>
        </w:rPr>
        <w:t>,</w:t>
      </w:r>
      <w:r>
        <w:rPr>
          <w:rFonts w:ascii="Times New Roman" w:hAnsi="Times New Roman"/>
          <w:caps w:val="false"/>
          <w:smallCaps w:val="false"/>
          <w:sz w:val="20"/>
        </w:rPr>
        <w:t> repurchasing 90,131 additional shares valued at $1.8 million through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information with respect to HealthStream's repurchases of common stock during the 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8"/>
        <w:gridCol w:w="60"/>
        <w:gridCol w:w="115"/>
        <w:gridCol w:w="1335"/>
        <w:gridCol w:w="60"/>
        <w:gridCol w:w="60"/>
        <w:gridCol w:w="262"/>
        <w:gridCol w:w="1017"/>
        <w:gridCol w:w="60"/>
        <w:gridCol w:w="60"/>
        <w:gridCol w:w="196"/>
        <w:gridCol w:w="2289"/>
        <w:gridCol w:w="60"/>
        <w:gridCol w:w="60"/>
        <w:gridCol w:w="410"/>
        <w:gridCol w:w="2790"/>
        <w:gridCol w:w="63"/>
      </w:tblGrid>
      <w:tr>
        <w:trPr/>
        <w:tc>
          <w:tcPr>
            <w:tcW w:w="130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 Total number of shares (or units) 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 Average price paid per share (or unit)(1)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 Total number of shares (or units) purchased as part of publicly announced plans or programs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 Maximum number (or approximate dollar value) of shares (or units) that may yet be purchased under the plans or programs</w:t>
            </w:r>
          </w:p>
        </w:tc>
        <w:tc>
          <w:tcPr>
            <w:tcW w:w="63" w:type="dxa"/>
            <w:tcBorders/>
            <w:shd w:fill="FFFFFF" w:val="clear"/>
            <w:vAlign w:val="center"/>
          </w:tcPr>
          <w:p>
            <w:pPr>
              <w:pStyle w:val="TableContents"/>
              <w:bidi w:val="0"/>
              <w:spacing w:before="0" w:after="283"/>
              <w:jc w:val="left"/>
              <w:rPr/>
            </w:pPr>
            <w:r>
              <w:rPr/>
              <w:t> </w:t>
            </w:r>
          </w:p>
        </w:tc>
      </w:tr>
      <w:tr>
        <w:trPr/>
        <w:tc>
          <w:tcPr>
            <w:tcW w:w="13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 #1 (January 1 - January 31)</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22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90"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r>
      <w:tr>
        <w:trPr/>
        <w:tc>
          <w:tcPr>
            <w:tcW w:w="13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 #2 (February 1 - February 28)</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228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ind w:left="0" w:right="0" w:hanging="0"/>
              <w:jc w:val="left"/>
              <w:rPr/>
            </w:pPr>
            <w:r>
              <w:rPr/>
              <w:t> </w:t>
            </w:r>
          </w:p>
        </w:tc>
        <w:tc>
          <w:tcPr>
            <w:tcW w:w="2790"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r>
      <w:tr>
        <w:trPr/>
        <w:tc>
          <w:tcPr>
            <w:tcW w:w="13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 #3 (March 1 - March 31)</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7,500,127</w:t>
            </w:r>
          </w:p>
        </w:tc>
        <w:tc>
          <w:tcPr>
            <w:tcW w:w="63" w:type="dxa"/>
            <w:tcBorders/>
            <w:shd w:fill="CCEEFF" w:val="clear"/>
            <w:vAlign w:val="center"/>
          </w:tcPr>
          <w:p>
            <w:pPr>
              <w:pStyle w:val="TableContents"/>
              <w:bidi w:val="0"/>
              <w:spacing w:before="0" w:after="283"/>
              <w:jc w:val="left"/>
              <w:rPr/>
            </w:pPr>
            <w:r>
              <w:rPr/>
              <w:t> </w:t>
            </w:r>
          </w:p>
        </w:tc>
      </w:tr>
      <w:tr>
        <w:trPr/>
        <w:tc>
          <w:tcPr>
            <w:tcW w:w="13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7,500,127</w:t>
            </w:r>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(1) The weighted average price paid per share of common stock does not include the cost of broker commissions or the 1% share repurchase excise tax imposed by the Inflation Reduction Act of 2022.</w:t>
      </w:r>
    </w:p>
    <w:p>
      <w:pPr>
        <w:pStyle w:val="TextBody"/>
        <w:bidi w:val="0"/>
        <w:spacing w:before="0" w:after="283"/>
        <w:jc w:val="left"/>
        <w:rPr/>
      </w:pPr>
      <w:r>
        <w:rPr/>
        <w:t xml:space="preserve">  </w:t>
      </w:r>
    </w:p>
    <w:p>
      <w:pPr>
        <w:pStyle w:val="TextBody"/>
        <w:bidi w:val="0"/>
        <w:spacing w:before="0" w:after="0"/>
        <w:ind w:left="0" w:right="0" w:hanging="0"/>
        <w:jc w:val="both"/>
        <w:rPr/>
      </w:pPr>
      <w:bookmarkStart w:id="16" w:name="Item_5_Other_Info"/>
      <w:bookmarkEnd w:id="16"/>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w:t>
      </w:r>
      <w:r>
        <w:rPr>
          <w:rFonts w:ascii="Times New Roman" w:hAnsi="Times New Roman"/>
          <w:b/>
          <w:i/>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None. Without limiting the generality of the foregoing,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director or officer of the Company adopted or terminated any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any “non-Rule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trading arrangement,” as such terms are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addition, on </w:t>
      </w:r>
      <w:r>
        <w:rPr>
          <w:rStyle w:val="Emphasis"/>
          <w:rFonts w:ascii="Times New Roman" w:hAnsi="Times New Roman"/>
          <w:caps w:val="false"/>
          <w:smallCaps w:val="false"/>
          <w:sz w:val="20"/>
        </w:rPr>
        <w:t xml:space="preserve">November 21, 2025, </w:t>
      </w:r>
      <w:r>
        <w:rPr>
          <w:rFonts w:ascii="Times New Roman" w:hAnsi="Times New Roman"/>
          <w:caps w:val="false"/>
          <w:smallCaps w:val="false"/>
          <w:sz w:val="20"/>
        </w:rPr>
        <w:t xml:space="preserve">Linda Rebrovick, a member of the Company’s Board of Directors, adopted a trading arrangement that was intended to satisfy the affirmative defense conditions of Rule </w:t>
      </w:r>
      <w:r>
        <w:rPr>
          <w:rStyle w:val="Emphasis"/>
          <w:rFonts w:ascii="Times New Roman" w:hAnsi="Times New Roman"/>
          <w:caps w:val="false"/>
          <w:smallCaps w:val="false"/>
          <w:sz w:val="20"/>
        </w:rPr>
        <w:t>10b5</w:t>
        <w:noBreakHyphen/>
        <w:t>1</w:t>
      </w:r>
      <w:r>
        <w:rPr>
          <w:rFonts w:ascii="Times New Roman" w:hAnsi="Times New Roman"/>
          <w:caps w:val="false"/>
          <w:smallCaps w:val="false"/>
          <w:sz w:val="20"/>
        </w:rPr>
        <w:t xml:space="preserve">(c) under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The trading arrangement, which became effective on </w:t>
      </w:r>
      <w:r>
        <w:rPr>
          <w:rStyle w:val="Emphasis"/>
          <w:rFonts w:ascii="Times New Roman" w:hAnsi="Times New Roman"/>
          <w:caps w:val="false"/>
          <w:smallCaps w:val="false"/>
          <w:sz w:val="20"/>
        </w:rPr>
        <w:t xml:space="preserve">March 4, 2026, </w:t>
      </w:r>
      <w:r>
        <w:rPr>
          <w:rFonts w:ascii="Times New Roman" w:hAnsi="Times New Roman"/>
          <w:caps w:val="false"/>
          <w:smallCaps w:val="false"/>
          <w:sz w:val="20"/>
        </w:rPr>
        <w:t xml:space="preserve">and has an expiration date of </w:t>
      </w:r>
      <w:r>
        <w:rPr>
          <w:rStyle w:val="Emphasis"/>
          <w:rFonts w:ascii="Times New Roman" w:hAnsi="Times New Roman"/>
          <w:caps w:val="false"/>
          <w:smallCaps w:val="false"/>
          <w:sz w:val="20"/>
        </w:rPr>
        <w:t xml:space="preserve">December 31, 2026, </w:t>
      </w:r>
      <w:r>
        <w:rPr>
          <w:rFonts w:ascii="Times New Roman" w:hAnsi="Times New Roman"/>
          <w:caps w:val="false"/>
          <w:smallCaps w:val="false"/>
          <w:sz w:val="20"/>
        </w:rPr>
        <w:t>provides for the sale of up to an aggregate of 22,000 shares of the Company’s common stock pursuant to pre</w:t>
        <w:noBreakHyphen/>
        <w:t>established instructions regarding the timing and amount of shares to be sold.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sales to date have occurred under the plan. Disclosure of the adoption of this trading arrangement was inadvertently omitted from the Company’s Annual Report on Form </w:t>
      </w:r>
      <w:r>
        <w:rPr>
          <w:rStyle w:val="Emphasis"/>
          <w:rFonts w:ascii="Times New Roman" w:hAnsi="Times New Roman"/>
          <w:caps w:val="false"/>
          <w:smallCaps w:val="false"/>
          <w:sz w:val="20"/>
        </w:rPr>
        <w:t>10</w:t>
        <w:noBreakHyphen/>
        <w:t>K</w:t>
      </w:r>
      <w:r>
        <w:rPr>
          <w:rFonts w:ascii="Times New Roman" w:hAnsi="Times New Roman"/>
          <w:caps w:val="false"/>
          <w:smallCaps w:val="false"/>
          <w:sz w:val="20"/>
        </w:rPr>
        <w:t xml:space="preserve">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filed on </w:t>
      </w:r>
      <w:r>
        <w:rPr>
          <w:rStyle w:val="Emphasis"/>
          <w:rFonts w:ascii="Times New Roman" w:hAnsi="Times New Roman"/>
          <w:caps w:val="false"/>
          <w:smallCaps w:val="false"/>
          <w:sz w:val="20"/>
        </w:rPr>
        <w:t>February 26, 2026.</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7" w:name="exs"/>
      <w:bookmarkEnd w:id="17"/>
      <w:r>
        <w:rPr>
          <w:rFonts w:ascii="Times New Roman" w:hAnsi="Times New Roman"/>
          <w:b/>
          <w:caps w:val="false"/>
          <w:smallCaps w:val="false"/>
          <w:sz w:val="20"/>
        </w:rPr>
        <w:t xml:space="preserve">Item 6. </w:t>
      </w:r>
      <w:r>
        <w:rPr>
          <w:rFonts w:ascii="Times New Roman" w:hAnsi="Times New Roman"/>
          <w:b/>
          <w:i/>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60"/>
        <w:gridCol w:w="230"/>
        <w:gridCol w:w="7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7"/>
        <w:gridCol w:w="9568"/>
      </w:tblGrid>
      <w:tr>
        <w:trPr/>
        <w:tc>
          <w:tcPr>
            <w:tcW w:w="637" w:type="dxa"/>
            <w:tcBorders/>
            <w:vAlign w:val="center"/>
          </w:tcPr>
          <w:p>
            <w:pPr>
              <w:pStyle w:val="TableContents"/>
              <w:bidi w:val="0"/>
              <w:spacing w:before="0" w:after="283"/>
              <w:jc w:val="left"/>
              <w:rPr/>
            </w:pPr>
            <w:r>
              <w:rPr/>
              <w:t>10.1</w:t>
            </w:r>
          </w:p>
        </w:tc>
        <w:tc>
          <w:tcPr>
            <w:tcW w:w="9568" w:type="dxa"/>
            <w:tcBorders/>
            <w:vAlign w:val="center"/>
          </w:tcPr>
          <w:p>
            <w:pPr>
              <w:pStyle w:val="TableContents"/>
              <w:bidi w:val="0"/>
              <w:spacing w:before="0" w:after="283"/>
              <w:jc w:val="left"/>
              <w:rPr/>
            </w:pPr>
            <w:hyperlink r:id="rId2">
              <w:r>
                <w:rPr>
                  <w:rStyle w:val="InternetLink"/>
                </w:rPr>
                <w:t>First Amendment to Amended and Restated Revolving Credit Agreement, dated March 13, 2026 by and between HealthStream, Inc. and Truist Bank (incorporated by reference to Exhibit 10.1 to the Company's Current Report on Form 8-K filed March 13, 2026)</w:t>
              </w:r>
            </w:hyperlink>
          </w:p>
        </w:tc>
      </w:tr>
      <w:tr>
        <w:trPr/>
        <w:tc>
          <w:tcPr>
            <w:tcW w:w="637" w:type="dxa"/>
            <w:tcBorders/>
            <w:vAlign w:val="center"/>
          </w:tcPr>
          <w:p>
            <w:pPr>
              <w:pStyle w:val="TableContents"/>
              <w:bidi w:val="0"/>
              <w:spacing w:before="0" w:after="283"/>
              <w:jc w:val="left"/>
              <w:rPr/>
            </w:pPr>
            <w:r>
              <w:rPr/>
              <w:t>10.2^*</w:t>
            </w:r>
          </w:p>
        </w:tc>
        <w:tc>
          <w:tcPr>
            <w:tcW w:w="9568" w:type="dxa"/>
            <w:tcBorders/>
            <w:vAlign w:val="center"/>
          </w:tcPr>
          <w:p>
            <w:pPr>
              <w:pStyle w:val="TableContents"/>
              <w:bidi w:val="0"/>
              <w:spacing w:before="0" w:after="283"/>
              <w:jc w:val="left"/>
              <w:rPr/>
            </w:pPr>
            <w:hyperlink w:anchor="ex_950355.htm">
              <w:r>
                <w:rPr>
                  <w:rStyle w:val="InternetLink"/>
                </w:rPr>
                <w:t>HealthStream, Inc. Amended and Restated 2026 Cash Incentive Bonus Plan</w:t>
              </w:r>
            </w:hyperlink>
          </w:p>
        </w:tc>
      </w:tr>
      <w:tr>
        <w:trPr/>
        <w:tc>
          <w:tcPr>
            <w:tcW w:w="6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w:t>
            </w:r>
          </w:p>
        </w:tc>
        <w:tc>
          <w:tcPr>
            <w:tcW w:w="9568" w:type="dxa"/>
            <w:tcBorders/>
            <w:vAlign w:val="center"/>
          </w:tcPr>
          <w:p>
            <w:pPr>
              <w:pStyle w:val="TableContents"/>
              <w:bidi w:val="0"/>
              <w:spacing w:before="0" w:after="0"/>
              <w:ind w:left="0" w:right="0" w:hanging="0"/>
              <w:jc w:val="both"/>
              <w:rPr/>
            </w:pPr>
            <w:hyperlink w:anchor="ex_911737.htm">
              <w:r>
                <w:rPr>
                  <w:rStyle w:val="InternetLink"/>
                  <w:rFonts w:ascii="Times New Roman" w:hAnsi="Times New Roman"/>
                  <w:caps w:val="false"/>
                  <w:smallCaps w:val="false"/>
                  <w:sz w:val="20"/>
                </w:rPr>
                <w:t>Certification of the Chief Executive Officer Pursuant to Section 302 of the Sarbanes-Oxley Act of 2002</w:t>
              </w:r>
            </w:hyperlink>
          </w:p>
        </w:tc>
      </w:tr>
      <w:tr>
        <w:trPr/>
        <w:tc>
          <w:tcPr>
            <w:tcW w:w="6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31.2*</w:t>
            </w:r>
          </w:p>
        </w:tc>
        <w:tc>
          <w:tcPr>
            <w:tcW w:w="9568" w:type="dxa"/>
            <w:tcBorders/>
            <w:vAlign w:val="center"/>
          </w:tcPr>
          <w:p>
            <w:pPr>
              <w:pStyle w:val="TableContents"/>
              <w:bidi w:val="0"/>
              <w:spacing w:before="0" w:after="0"/>
              <w:ind w:left="0" w:right="0" w:hanging="0"/>
              <w:jc w:val="both"/>
              <w:rPr/>
            </w:pPr>
            <w:hyperlink w:anchor="ex_911738.htm">
              <w:r>
                <w:rPr>
                  <w:rStyle w:val="InternetLink"/>
                  <w:rFonts w:ascii="Times New Roman" w:hAnsi="Times New Roman"/>
                  <w:caps w:val="false"/>
                  <w:smallCaps w:val="false"/>
                  <w:sz w:val="20"/>
                </w:rPr>
                <w:t>Certification of the Principal Financial Officer Pursuant to Section 302 of the Sarbanes-Oxley Act of 2002</w:t>
              </w:r>
            </w:hyperlink>
          </w:p>
        </w:tc>
      </w:tr>
      <w:tr>
        <w:trPr/>
        <w:tc>
          <w:tcPr>
            <w:tcW w:w="6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32.1*</w:t>
            </w:r>
          </w:p>
        </w:tc>
        <w:tc>
          <w:tcPr>
            <w:tcW w:w="9568" w:type="dxa"/>
            <w:tcBorders/>
            <w:vAlign w:val="center"/>
          </w:tcPr>
          <w:p>
            <w:pPr>
              <w:pStyle w:val="TableContents"/>
              <w:bidi w:val="0"/>
              <w:spacing w:before="0" w:after="0"/>
              <w:ind w:left="0" w:right="0" w:hanging="0"/>
              <w:jc w:val="both"/>
              <w:rPr/>
            </w:pPr>
            <w:hyperlink w:anchor="ex_911739.htm">
              <w:r>
                <w:rPr>
                  <w:rStyle w:val="InternetLink"/>
                  <w:rFonts w:ascii="Times New Roman" w:hAnsi="Times New Roman"/>
                  <w:caps w:val="false"/>
                  <w:smallCaps w:val="false"/>
                  <w:sz w:val="20"/>
                </w:rPr>
                <w:t>Certification Pursuant to 18 U.S.C. Section 1350, as Adopted Pursuant to Section 906 of the Sarbanes-Oxley Act of 2002</w:t>
              </w:r>
            </w:hyperlink>
          </w:p>
        </w:tc>
      </w:tr>
      <w:tr>
        <w:trPr/>
        <w:tc>
          <w:tcPr>
            <w:tcW w:w="6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32.2*</w:t>
            </w:r>
          </w:p>
        </w:tc>
        <w:tc>
          <w:tcPr>
            <w:tcW w:w="9568" w:type="dxa"/>
            <w:tcBorders/>
            <w:vAlign w:val="center"/>
          </w:tcPr>
          <w:p>
            <w:pPr>
              <w:pStyle w:val="TableContents"/>
              <w:bidi w:val="0"/>
              <w:spacing w:before="0" w:after="0"/>
              <w:ind w:left="0" w:right="0" w:hanging="0"/>
              <w:jc w:val="both"/>
              <w:rPr/>
            </w:pPr>
            <w:hyperlink w:anchor="ex_911740.htm">
              <w:r>
                <w:rPr>
                  <w:rStyle w:val="InternetLink"/>
                  <w:rFonts w:ascii="Times New Roman" w:hAnsi="Times New Roman"/>
                  <w:caps w:val="false"/>
                  <w:smallCaps w:val="false"/>
                  <w:sz w:val="20"/>
                </w:rPr>
                <w:t>Certification Pursuant to 18 U.S.C. Section 1350, as Adopted Pursuant to Section 906 of the Sarbanes-Oxley Act of 2002</w:t>
              </w:r>
            </w:hyperlink>
          </w:p>
        </w:tc>
      </w:tr>
      <w:tr>
        <w:trPr/>
        <w:tc>
          <w:tcPr>
            <w:tcW w:w="6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INS</w:t>
            </w:r>
          </w:p>
        </w:tc>
        <w:tc>
          <w:tcPr>
            <w:tcW w:w="95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Instance Document – The instant document does not appear in the Interactive Data File because its XBRL tags are embedded within the Inline XBRL document.</w:t>
            </w:r>
          </w:p>
        </w:tc>
      </w:tr>
      <w:tr>
        <w:trPr/>
        <w:tc>
          <w:tcPr>
            <w:tcW w:w="6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SCH</w:t>
            </w:r>
          </w:p>
        </w:tc>
        <w:tc>
          <w:tcPr>
            <w:tcW w:w="95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6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CAL</w:t>
            </w:r>
          </w:p>
        </w:tc>
        <w:tc>
          <w:tcPr>
            <w:tcW w:w="95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6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DEF</w:t>
            </w:r>
          </w:p>
        </w:tc>
        <w:tc>
          <w:tcPr>
            <w:tcW w:w="95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6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LAB</w:t>
            </w:r>
          </w:p>
        </w:tc>
        <w:tc>
          <w:tcPr>
            <w:tcW w:w="95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6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PRE</w:t>
            </w:r>
          </w:p>
        </w:tc>
        <w:tc>
          <w:tcPr>
            <w:tcW w:w="95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637" w:type="dxa"/>
            <w:tcBorders/>
            <w:vAlign w:val="center"/>
          </w:tcPr>
          <w:p>
            <w:pPr>
              <w:pStyle w:val="TableContents"/>
              <w:bidi w:val="0"/>
              <w:spacing w:before="0" w:after="283"/>
              <w:jc w:val="left"/>
              <w:rPr/>
            </w:pPr>
            <w:r>
              <w:rPr/>
              <w:t>104</w:t>
            </w:r>
          </w:p>
        </w:tc>
        <w:tc>
          <w:tcPr>
            <w:tcW w:w="9568" w:type="dxa"/>
            <w:tcBorders/>
            <w:vAlign w:val="center"/>
          </w:tcPr>
          <w:p>
            <w:pPr>
              <w:pStyle w:val="TableContents"/>
              <w:bidi w:val="0"/>
              <w:spacing w:before="0" w:after="283"/>
              <w:jc w:val="left"/>
              <w:rPr/>
            </w:pPr>
            <w:r>
              <w:rPr/>
              <w:t>The cover page from the Company’s Quarterly Report on Form 10-Q for the quarter ended March 31, 2026, has been formatted in Inline XBRL</w:t>
            </w:r>
          </w:p>
        </w:tc>
      </w:tr>
      <w:tr>
        <w:trPr/>
        <w:tc>
          <w:tcPr>
            <w:tcW w:w="637" w:type="dxa"/>
            <w:tcBorders/>
            <w:vAlign w:val="center"/>
          </w:tcPr>
          <w:p>
            <w:pPr>
              <w:pStyle w:val="TableContents"/>
              <w:bidi w:val="0"/>
              <w:spacing w:before="0" w:after="283"/>
              <w:jc w:val="left"/>
              <w:rPr/>
            </w:pPr>
            <w:r>
              <w:rPr/>
              <w:t>^</w:t>
            </w:r>
          </w:p>
        </w:tc>
        <w:tc>
          <w:tcPr>
            <w:tcW w:w="9568" w:type="dxa"/>
            <w:tcBorders/>
            <w:vAlign w:val="center"/>
          </w:tcPr>
          <w:p>
            <w:pPr>
              <w:pStyle w:val="TableContents"/>
              <w:bidi w:val="0"/>
              <w:spacing w:before="0" w:after="283"/>
              <w:jc w:val="left"/>
              <w:rPr/>
            </w:pPr>
            <w:r>
              <w:rPr/>
              <w:t>Management contract or compensatory plan or arrangement</w:t>
            </w:r>
          </w:p>
        </w:tc>
      </w:tr>
      <w:tr>
        <w:trPr/>
        <w:tc>
          <w:tcPr>
            <w:tcW w:w="637" w:type="dxa"/>
            <w:tcBorders/>
            <w:vAlign w:val="center"/>
          </w:tcPr>
          <w:p>
            <w:pPr>
              <w:pStyle w:val="TableContents"/>
              <w:bidi w:val="0"/>
              <w:spacing w:before="0" w:after="283"/>
              <w:jc w:val="left"/>
              <w:rPr/>
            </w:pPr>
            <w:r>
              <w:rPr/>
              <w:t>*</w:t>
            </w:r>
          </w:p>
        </w:tc>
        <w:tc>
          <w:tcPr>
            <w:tcW w:w="9568" w:type="dxa"/>
            <w:tcBorders/>
            <w:vAlign w:val="center"/>
          </w:tcPr>
          <w:p>
            <w:pPr>
              <w:pStyle w:val="TableContents"/>
              <w:bidi w:val="0"/>
              <w:spacing w:before="0" w:after="283"/>
              <w:jc w:val="left"/>
              <w:rPr/>
            </w:pPr>
            <w:r>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8" w:name="sigs"/>
      <w:bookmarkEnd w:id="18"/>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95" w:type="dxa"/>
        <w:jc w:val="left"/>
        <w:tblInd w:w="0" w:type="dxa"/>
        <w:tblLayout w:type="fixed"/>
        <w:tblCellMar>
          <w:top w:w="0" w:type="dxa"/>
          <w:left w:w="0" w:type="dxa"/>
          <w:bottom w:w="0" w:type="dxa"/>
          <w:right w:w="0" w:type="dxa"/>
        </w:tblCellMar>
      </w:tblPr>
      <w:tblGrid>
        <w:gridCol w:w="1235"/>
        <w:gridCol w:w="320"/>
        <w:gridCol w:w="60"/>
        <w:gridCol w:w="1880"/>
      </w:tblGrid>
      <w:tr>
        <w:trPr/>
        <w:tc>
          <w:tcPr>
            <w:tcW w:w="1235" w:type="dxa"/>
            <w:tcBorders/>
            <w:vAlign w:val="center"/>
          </w:tcPr>
          <w:p>
            <w:pPr>
              <w:pStyle w:val="TableContents"/>
              <w:bidi w:val="0"/>
              <w:spacing w:before="0" w:after="283"/>
              <w:jc w:val="left"/>
              <w:rPr/>
            </w:pPr>
            <w:r>
              <w:rPr/>
              <w:t> </w:t>
            </w:r>
          </w:p>
        </w:tc>
        <w:tc>
          <w:tcPr>
            <w:tcW w:w="2260" w:type="dxa"/>
            <w:gridSpan w:val="3"/>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INC.</w:t>
            </w:r>
          </w:p>
        </w:tc>
      </w:tr>
      <w:tr>
        <w:trPr/>
        <w:tc>
          <w:tcPr>
            <w:tcW w:w="12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May 6, 2026</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60" w:type="dxa"/>
            <w:tcBorders/>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Scott A. Roberts</w:t>
            </w:r>
          </w:p>
        </w:tc>
      </w:tr>
      <w:tr>
        <w:trPr/>
        <w:tc>
          <w:tcPr>
            <w:tcW w:w="12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2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23 </w:t>
      </w:r>
    </w:p>
    <w:p>
      <w:pPr>
        <w:pStyle w:val="TextBody"/>
        <w:bidi w:val="0"/>
        <w:spacing w:before="0" w:after="0"/>
        <w:ind w:left="0" w:right="0" w:hanging="0"/>
        <w:jc w:val="right"/>
        <w:rPr>
          <w:rFonts w:ascii="Times New Roman" w:hAnsi="Times New Roman"/>
          <w:caps w:val="false"/>
          <w:smallCaps w:val="false"/>
          <w:sz w:val="20"/>
        </w:rPr>
      </w:pPr>
      <w:bookmarkStart w:id="19" w:name="ex_950355.htm"/>
      <w:bookmarkStart w:id="20" w:name="ksex_950355"/>
      <w:bookmarkEnd w:id="19"/>
      <w:bookmarkEnd w:id="20"/>
      <w:r>
        <w:rPr>
          <w:rFonts w:ascii="Times New Roman" w:hAnsi="Times New Roman"/>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HealthStream,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2026 Amended and Restated Cash Incentive Bonus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HealthStream, Inc. 2022 Omnibus Incentive Plan, the Compensation Committee (the “Committee”) of the Board of Directors of HealthStream, Inc. (the “Company”) hereby establishes this 2026 Amended and Restated Cash Incentive Bonus Plan (the “Plan”). The Plan is the cash-based, short-term incentive portion of HealthStream's incentive compensation structure for certain executive officers, as well as the vice presidents, associate vice presidents, senior directors, and directors of the Company (such individuals referred to collectively as “Management”). The purpose of the Plan is to specify appropriate opportunities to earn a cash bonus with respect to the Company’s 2026 fiscal year in order to reward Management for facilitating the Company’s achievement of certain levels of financial performance during fiscal year 2026 and to further align their interests with those of the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Annual Bonus</w:t>
            </w:r>
            <w:r>
              <w:rPr>
                <w:rFonts w:ascii="Times New Roman" w:hAnsi="Times New Roman"/>
                <w:caps w:val="false"/>
                <w:smallCaps w:val="false"/>
                <w:sz w:val="20"/>
              </w:rPr>
              <w:t> – The annual bonus paid to Management after the Committee determines the applicable financial measure has been achieved.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Adjusted EBITDA</w:t>
            </w:r>
            <w:r>
              <w:rPr>
                <w:rFonts w:ascii="Times New Roman" w:hAnsi="Times New Roman"/>
                <w:caps w:val="false"/>
                <w:smallCaps w:val="false"/>
                <w:sz w:val="20"/>
              </w:rPr>
              <w:t> – The Company’s Adjusted EBITDA for the 2026 fiscal year calculated as set forth in the “Reconciliation of Non-GAAP Financial Measures” in the Company’s annual report on Form 10-K and as updated under subsequent quarterly filings under Form 10-Q or the Company’s quarterly earnings releases filed under Forms 8-K; provided the following are excluded from the calculation of Adjusted EBITDA: (i) acquisition and divestiture expenses incurred within the calendar year to the extent such expenses are in excess of the amount originally allocated to such purpose in the Company’s 2026 budget; and (ii) Adjusted EBITDA (profit/loss) from acquisitions and divestitures consummated during 2026 (collectively, the “Excluded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Revenue</w:t>
            </w:r>
            <w:r>
              <w:rPr>
                <w:rFonts w:ascii="Times New Roman" w:hAnsi="Times New Roman"/>
                <w:caps w:val="false"/>
                <w:smallCaps w:val="false"/>
                <w:sz w:val="20"/>
              </w:rPr>
              <w:t> – The Company’s GAAP revenue for the 2026 fiscal year as reported in the Company’s annual report on Form 10-K, including the GAAP revenue recognized by the Company from acquisitions and divestitures consummated during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Revenue Growth</w:t>
            </w:r>
            <w:r>
              <w:rPr>
                <w:rFonts w:ascii="Times New Roman" w:hAnsi="Times New Roman"/>
                <w:caps w:val="false"/>
                <w:smallCaps w:val="false"/>
                <w:sz w:val="20"/>
              </w:rPr>
              <w:t> </w:t>
            </w:r>
            <w:r>
              <w:rPr>
                <w:rFonts w:ascii="Times New Roman" w:hAnsi="Times New Roman"/>
                <w:b/>
                <w:caps w:val="false"/>
                <w:smallCaps w:val="false"/>
                <w:sz w:val="20"/>
              </w:rPr>
              <w:t xml:space="preserve">Percentage </w:t>
            </w:r>
            <w:r>
              <w:rPr>
                <w:rFonts w:ascii="Times New Roman" w:hAnsi="Times New Roman"/>
                <w:caps w:val="false"/>
                <w:smallCaps w:val="false"/>
                <w:sz w:val="20"/>
              </w:rPr>
              <w:t>– The Company’s Revenue Growth Percentage for the 2026 fiscal year is the percentage increase in 2026 Revenue compared to the Company’s GAAP revenue for the 2025 fiscal year as reported in the Company’s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Incremental Threshold Adjusted EBITDA </w:t>
            </w:r>
            <w:r>
              <w:rPr>
                <w:rFonts w:ascii="Times New Roman" w:hAnsi="Times New Roman"/>
                <w:caps w:val="false"/>
                <w:smallCaps w:val="false"/>
                <w:sz w:val="20"/>
              </w:rPr>
              <w:t> – the amount of Adjusted EBITDA before bonuses less Threshold Adjusted EBITDA; as such Threshold Adjusted EBITDA amount is established by the Committee. Incremental Threshold Adjusted EBITDA funds the Threshold Bonus Pool as set forth in the “Payout” section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Incremental Target Adjusted EBITDA</w:t>
            </w:r>
            <w:r>
              <w:rPr>
                <w:rFonts w:ascii="Times New Roman" w:hAnsi="Times New Roman"/>
                <w:caps w:val="false"/>
                <w:smallCaps w:val="false"/>
                <w:sz w:val="20"/>
              </w:rPr>
              <w:t> – the amount of Adjusted EBITDA before bonuses less Target Adjusted EBITDA; as such Target Adjusted EBITDA amount is established by the Committee. Incremental Target EBITDA funds the Target Bonus Pool as set forth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2026 Financial Measure and Plan Principles: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Measure</w:t>
            </w:r>
            <w:r>
              <w:rPr>
                <w:rFonts w:ascii="Times New Roman" w:hAnsi="Times New Roman"/>
                <w:caps w:val="false"/>
                <w:smallCaps w:val="false"/>
                <w:sz w:val="20"/>
              </w:rPr>
              <w:t> – For purposes of the Threshold and Target Bonus Pools, Adjusted EBITDA before bonuses will be the financial measure for 2026. For the Stretch Bonus Pool (as defined below), the Revenue Growth Percentage will be the financial measure for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0"/>
        <w:gridCol w:w="10015"/>
      </w:tblGrid>
      <w:tr>
        <w:trPr/>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Funding Principle </w:t>
            </w:r>
            <w:r>
              <w:rPr>
                <w:rFonts w:ascii="Times New Roman" w:hAnsi="Times New Roman"/>
                <w:caps w:val="false"/>
                <w:smallCaps w:val="false"/>
                <w:sz w:val="20"/>
              </w:rPr>
              <w:t>– The Annual Bonus will be funded: (i) first from the amount of Incremental Threshold Adjusted EBITDA that exceeds Threshold Adjusted EBITDA, (ii) then from the amount of Incremental Target Adjusted EBITDA that exceeds Target Adjusted EBITDA, and (iii) finally, for Executives and Vice Presidents only, according to the achievement of Revenue Growth Percentage targets established by the Committee. Notwithstanding the foregoing, the Committee may elect to fund, or recommend that the Board fund, any Company-wide program or initiative within the Committee’s or the Board’s discretion, including, but not limited to the Company’s annual 401(k) discretionary match after 100% achievement of the Maximum Annual Bonus (as defined below) and prior to any payout of the Stretch Bonus Amount set forth herein; provided, however, that such election shall not cause the Target Bonus Pool (as defined below) to fall below 100% funding.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Five groups are eligible for participation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caps w:val="false"/>
          <w:smallCaps w:val="false"/>
        </w:rPr>
      </w:pPr>
      <w:r>
        <w:rPr>
          <w:caps w:val="false"/>
          <w:smallCaps w:val="false"/>
        </w:rPr>
        <w:t>•         </w:t>
      </w:r>
      <w:r>
        <w:rPr>
          <w:rFonts w:ascii="Times New Roman" w:hAnsi="Times New Roman"/>
          <w:b/>
          <w:caps w:val="false"/>
          <w:smallCaps w:val="false"/>
          <w:sz w:val="20"/>
        </w:rPr>
        <w:t>Executive Team</w:t>
      </w:r>
      <w:r>
        <w:rPr>
          <w:rFonts w:ascii="Times New Roman" w:hAnsi="Times New Roman"/>
          <w:caps w:val="false"/>
          <w:smallCaps w:val="false"/>
          <w:sz w:val="20"/>
        </w:rPr>
        <w:t xml:space="preserve"> – The maximum Annual Bonus (prior to giving effect to any payment of any Stretch Bonus Amount) that (i) the Chief Executive Officer of HealthStream and Executive Vice Presidents shall be eligible to receive under the Plan shall be an amount equal to 40% of such member’s base salary; and (ii) Senior Vice Presidents shall be eligible to receive under the Plan shall be an amount equal to 35% of such member’s base salary. Unless otherwise excluded below, the Executive Team eligible for participation includes the Chief Executive Officer, Executive Vice Presidents, and Senior Vice Presidents of the Company (collectively, the “Executives”).</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110"/>
        <w:gridCol w:w="59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 xml:space="preserve">Vice Presidents </w:t>
            </w:r>
            <w:r>
              <w:rPr>
                <w:rFonts w:ascii="Times New Roman" w:hAnsi="Times New Roman"/>
                <w:caps w:val="false"/>
                <w:smallCaps w:val="false"/>
                <w:sz w:val="20"/>
              </w:rPr>
              <w:t>– The maximum Annual Bonus that Vice Presidents</w:t>
            </w:r>
          </w:p>
        </w:tc>
      </w:tr>
    </w:tbl>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shall be eligible to receive under the Plan shall be an amount equal to 20% of such Vice President’s base salary.</w:t>
      </w:r>
    </w:p>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60"/>
        <w:gridCol w:w="110"/>
        <w:gridCol w:w="66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 xml:space="preserve">Associate Vice Presidents </w:t>
            </w:r>
            <w:r>
              <w:rPr>
                <w:rFonts w:ascii="Times New Roman" w:hAnsi="Times New Roman"/>
                <w:caps w:val="false"/>
                <w:smallCaps w:val="false"/>
                <w:sz w:val="20"/>
              </w:rPr>
              <w:t>– The maximum Annual Bonus that Associate Vice</w:t>
            </w:r>
          </w:p>
        </w:tc>
      </w:tr>
    </w:tbl>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Presidents shall be eligible to receive under the Plan shall be an amount equal to</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18% of such Associate Vice President’s 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caps w:val="false"/>
          <w:smallCaps w:val="false"/>
        </w:rPr>
      </w:pPr>
      <w:r>
        <w:rPr>
          <w:caps w:val="false"/>
          <w:smallCaps w:val="false"/>
        </w:rPr>
        <w:t>•         </w:t>
      </w:r>
      <w:r>
        <w:rPr>
          <w:rFonts w:ascii="Times New Roman" w:hAnsi="Times New Roman"/>
          <w:b/>
          <w:caps w:val="false"/>
          <w:smallCaps w:val="false"/>
          <w:sz w:val="20"/>
        </w:rPr>
        <w:t xml:space="preserve">Senior Directors </w:t>
      </w:r>
      <w:r>
        <w:rPr>
          <w:rFonts w:ascii="Times New Roman" w:hAnsi="Times New Roman"/>
          <w:caps w:val="false"/>
          <w:smallCaps w:val="false"/>
          <w:sz w:val="20"/>
        </w:rPr>
        <w:t>– The maximum Annual Bonus that Senior Directors shall be eligible to receive under the Plan shall be an amount equal to 10% of such Senior Director’s base salary. For purposes of clarity, Directors do not include members of the Board of Directors, but are management-level employees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caps w:val="false"/>
          <w:smallCaps w:val="false"/>
        </w:rPr>
      </w:pPr>
      <w:r>
        <w:rPr>
          <w:caps w:val="false"/>
          <w:smallCaps w:val="false"/>
        </w:rPr>
        <w:t>•         </w:t>
      </w:r>
      <w:r>
        <w:rPr>
          <w:rFonts w:ascii="Times New Roman" w:hAnsi="Times New Roman"/>
          <w:b/>
          <w:caps w:val="false"/>
          <w:smallCaps w:val="false"/>
          <w:sz w:val="20"/>
        </w:rPr>
        <w:t xml:space="preserve">Directors </w:t>
      </w:r>
      <w:r>
        <w:rPr>
          <w:rFonts w:ascii="Times New Roman" w:hAnsi="Times New Roman"/>
          <w:caps w:val="false"/>
          <w:smallCaps w:val="false"/>
          <w:sz w:val="20"/>
        </w:rPr>
        <w:t>– The maximum Annual Bonus that Directors shall be eligible to receive under the Plan shall be an amount equal to 8% of such Director’s base salary. For purposes of clarity, Directors do not include members of the Board of Directors, but are management-level employees of the Company.</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60"/>
        <w:gridCol w:w="110"/>
        <w:gridCol w:w="68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Employment Requirements</w:t>
            </w:r>
            <w:r>
              <w:rPr>
                <w:rFonts w:ascii="Times New Roman" w:hAnsi="Times New Roman"/>
                <w:caps w:val="false"/>
                <w:smallCaps w:val="false"/>
                <w:sz w:val="20"/>
              </w:rPr>
              <w:t> – Participants in the Plan who were employed with</w:t>
            </w:r>
          </w:p>
        </w:tc>
      </w:tr>
    </w:tbl>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the Company through December 31, 2026 shall be eligible to receive bonus payments, if any, under the Plan regardless of whether such employees are employed on the date such payments are actually made. Notwithstanding the foregoing, in the case of death or disability, the participant’s pro rata share from January 1, 2026 through the date of participant’s death or disability shall be awarded.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caps w:val="false"/>
          <w:smallCaps w:val="false"/>
        </w:rPr>
      </w:pPr>
      <w:r>
        <w:rPr>
          <w:caps w:val="false"/>
          <w:smallCaps w:val="false"/>
        </w:rPr>
        <w:t>•         </w:t>
      </w:r>
      <w:r>
        <w:rPr>
          <w:rFonts w:ascii="Times New Roman" w:hAnsi="Times New Roman"/>
          <w:b/>
          <w:caps w:val="false"/>
          <w:smallCaps w:val="false"/>
          <w:sz w:val="20"/>
        </w:rPr>
        <w:t>Exclusions</w:t>
      </w:r>
      <w:r>
        <w:rPr>
          <w:rFonts w:ascii="Times New Roman" w:hAnsi="Times New Roman"/>
          <w:caps w:val="false"/>
          <w:smallCaps w:val="false"/>
          <w:sz w:val="20"/>
        </w:rPr>
        <w:t xml:space="preserve"> – Except as otherwise noted in this Plan, members of the Executive Team and of Management with a commission-based incentive compensation plan shall not be eligible to participate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Payout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Payouts under the Plan shall be determined as follows:</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60"/>
        <w:gridCol w:w="170"/>
        <w:gridCol w:w="7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7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Annual Bonus payable to any participant in this Plan will be determined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Adjusted EBITDA before bonuses is less than or equal to Threshold Adjusted EBITDA, a participant will receive no Annual Bonus.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Incremental Threshold Adjusted EBITDA funds the Threshold Bonus Pool, a participant will receive a percentage of his or her maximum Annual Bonus payable as set forth above under “The Plan-Eligibility” (the “Maximum Annual Bonus”) in an amount between 0% and 25% of the Maximum Annual Bonus payable to such participant, based on the amount of bonus pool that is funded for that range (the “Threshold Bonus Pool”). The Threshold Bonus Pool shall be funded by every dollar of Incremental Threshold Adjusted EBITDA until the Threshold Pool is fully funded. The Threshold Bonus Pool is fully funded at the point in which the Threshold Adjusted EBITDA is reached after bonus payments equal to 25% of the Maximum Annual Bonus for all participants is achieved.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the Threshold Bonus Pool is fully funded, a participant will then be eligible to receive an Annual Bonus in an amount between 26% and 100% of the Maximum Annual Bonus payable to such participant, based on the amount of bonus pool that is funded for that range (the “Target Bonus Pool”). The Target Bonus Pool shall be funded by (i) thirty-nine cents of every dollar of Incremental Target Adjusted EBITDA for between 26% and 50% of the Maximum Annual Bonus and (ii) forty-eight cents of every dollar of Incremental Target Adjusted EBITDA for between 51% and 100% of the Maximum Annual Bonus until the Target Bonus Pool is fully funded. The Target Bonus Pool is fully funded at the point in which the Target Adjusted EBITDA is reached after bonus payments equal to the remaining 75% of the Maximum Annual Bonus amount (at which point 100% of the Maximum Annual Bonus in the aggregate would be earned); provided Executives and Vice Presidents shall also be eligible to receive a Stretch Bonus Amount as set forth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Solely for Executives, including the Senior Vice President, Sales, and Vice President, in the event that Target Bonus Pool is fully funded, each Executive and Vice President will then be eligible to receive—in addition to their Maximum Annual Bonus, which has already been earned—an additional payment (the “Stretch Bonus Amount”) in an amount equal to a percentage between (i) 0% and 16% of the base salary payable to such Executive and (ii) 0% and 8% of the base salary payable to such Vice President, based on the amount of bonus pool that is funded for that range (the “Stretch Bonus Pool”). The Stretch Bonus Pool shall be funded according to the achievement of Revenue Growth Percentage targets established by the Committee, which Revenue Growth Percentages targets may include achievement of a minimum threshold of organic revenue growth prior to the commencement of any funding for the Stretch Bonus Pool. For purposes of clarity, Executives and Vice Presidents shall become eligible to begin achieving the Stretch Bonus Amount after 100% of the Maximum Annual Bonus is achieved, and payment for any Stretch Bonus Amount an Executive or Vice President achieves shall be in addition to the 100% Maximum Annual Bonus. For the avoidance of doubt, the Senior Vice President, Sales shall be eligible to participate in the Stretch Bonus Amount, but no other component of the Annual Bonus set forth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Annual Bonus payouts made to the Executive Team, Vice Presidents, Associate Vice Presidents, Senior Directors, or Directors pursuant to the Plan shall be payable at such time as bonuses are paid generally to executive officers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Annual Bonus paid or payable to any recipient pursuant to the Plan shall be subject to forfeiture, repayment, reimbursement or other recoupment (i) to the extent provided in the Company’s Amended and Restated Compensation Recoupment Policy, as it may be amended from time to time (the “Current Recoupment Policy”), (ii) to the extent that such recipient in the future becomes subject to any other recoupment or clawback policy hereafter adopted by the Company, including any such policy (or amended version of the Current Recoupment Policy) adopted by the Company to comply with the requirements of any applicable laws, rules or regulations, including pursuant to final SEC rules and/or final Nasdaq listing standards with respect to recoupment adopted in connection with the Dodd-Frank Wall Street Reform and Consumer Protection Act (such final rules and final Nasdaq listing standards, the “Dodd-Frank Clawback Requirements”) (such policies referenced in clause (i) or this clause (ii), collectively, the “Policies”), and (iii) to the extent otherwise provided under applicable legal requirements, SEC rules or Nasdaq listing standards which impose mandatory recoupment, as in effect from time to time (including pursuant to the Dodd-Frank Clawback Requirements). The Company may utilize any method of recovery specified in the Policies in connection with any such recoupment pursuant to the terms of the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1" w:name="ex_911737.htm"/>
      <w:bookmarkStart w:id="22" w:name="ksex_911737"/>
      <w:bookmarkEnd w:id="21"/>
      <w:bookmarkEnd w:id="22"/>
      <w:r>
        <w:rPr>
          <w:rFonts w:ascii="Times New Roman" w:hAnsi="Times New Roman"/>
          <w:caps w:val="false"/>
          <w:smallCaps w:val="false"/>
          <w:sz w:val="20"/>
        </w:rPr>
        <w:t>EXHIBIT 31.1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Robert A. Frist, Jr.,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HealthStream,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580" w:type="dxa"/>
        <w:jc w:val="left"/>
        <w:tblInd w:w="0" w:type="dxa"/>
        <w:tblLayout w:type="fixed"/>
        <w:tblCellMar>
          <w:top w:w="0" w:type="dxa"/>
          <w:left w:w="0" w:type="dxa"/>
          <w:bottom w:w="28" w:type="dxa"/>
          <w:right w:w="0" w:type="dxa"/>
        </w:tblCellMar>
      </w:tblPr>
      <w:tblGrid>
        <w:gridCol w:w="1535"/>
        <w:gridCol w:w="60"/>
        <w:gridCol w:w="1985"/>
      </w:tblGrid>
      <w:tr>
        <w:trPr/>
        <w:tc>
          <w:tcPr>
            <w:tcW w:w="153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May 6, 2026</w:t>
            </w:r>
          </w:p>
        </w:tc>
        <w:tc>
          <w:tcPr>
            <w:tcW w:w="60" w:type="dxa"/>
            <w:tcBorders>
              <w:bottom w:val="single" w:sz="2" w:space="0" w:color="000000"/>
            </w:tcBorders>
            <w:vAlign w:val="center"/>
          </w:tcPr>
          <w:p>
            <w:pPr>
              <w:pStyle w:val="TableContents"/>
              <w:bidi w:val="0"/>
              <w:spacing w:before="0" w:after="283"/>
              <w:jc w:val="both"/>
              <w:rPr/>
            </w:pPr>
            <w:r>
              <w:rPr/>
              <w:t> </w:t>
            </w:r>
          </w:p>
        </w:tc>
        <w:tc>
          <w:tcPr>
            <w:tcW w:w="198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Robert A. Frist, Jr.</w:t>
            </w:r>
          </w:p>
        </w:tc>
      </w:tr>
      <w:tr>
        <w:trPr/>
        <w:tc>
          <w:tcPr>
            <w:tcW w:w="15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98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15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98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3" w:name="ex_911738.htm"/>
      <w:bookmarkStart w:id="24" w:name="ksex_911738"/>
      <w:bookmarkEnd w:id="23"/>
      <w:bookmarkEnd w:id="24"/>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Scott A. Roberts,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HealthStream,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28" w:type="dxa"/>
          <w:right w:w="0" w:type="dxa"/>
        </w:tblCellMar>
      </w:tblPr>
      <w:tblGrid>
        <w:gridCol w:w="1535"/>
        <w:gridCol w:w="60"/>
        <w:gridCol w:w="1880"/>
      </w:tblGrid>
      <w:tr>
        <w:trPr/>
        <w:tc>
          <w:tcPr>
            <w:tcW w:w="153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May 6, 2026</w:t>
            </w:r>
          </w:p>
        </w:tc>
        <w:tc>
          <w:tcPr>
            <w:tcW w:w="60" w:type="dxa"/>
            <w:tcBorders>
              <w:bottom w:val="single" w:sz="2" w:space="0" w:color="000000"/>
            </w:tcBorders>
            <w:vAlign w:val="center"/>
          </w:tcPr>
          <w:p>
            <w:pPr>
              <w:pStyle w:val="TableContents"/>
              <w:bidi w:val="0"/>
              <w:spacing w:before="0" w:after="283"/>
              <w:jc w:val="both"/>
              <w:rPr/>
            </w:pPr>
            <w:r>
              <w:rPr/>
              <w:t> </w:t>
            </w:r>
          </w:p>
        </w:tc>
        <w:tc>
          <w:tcPr>
            <w:tcW w:w="188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Scott A. Roberts</w:t>
            </w:r>
          </w:p>
        </w:tc>
      </w:tr>
      <w:tr>
        <w:trPr/>
        <w:tc>
          <w:tcPr>
            <w:tcW w:w="15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8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5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8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caps w:val="false"/>
          <w:smallCaps w:val="false"/>
          <w:sz w:val="20"/>
        </w:rPr>
      </w:pPr>
      <w:bookmarkStart w:id="25" w:name="ex_911739.htm"/>
      <w:bookmarkStart w:id="26" w:name="ksex_911739"/>
      <w:bookmarkEnd w:id="25"/>
      <w:bookmarkEnd w:id="26"/>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HealthStream, Inc. (the “Company”) on Form 10-Q for the period ending </w:t>
      </w:r>
      <w:bookmarkStart w:id="27" w:name="led176023F2021891631222411188"/>
      <w:bookmarkEnd w:id="27"/>
      <w:r>
        <w:rPr>
          <w:rFonts w:ascii="Times New Roman" w:hAnsi="Times New Roman"/>
          <w:caps w:val="false"/>
          <w:smallCaps w:val="false"/>
          <w:sz w:val="20"/>
        </w:rPr>
        <w:t>March 31, 2026, as filed with the Securities and Exchange Commission on the date hereof (the “Report”), Robert A. Frist, Jr., Chief Executive Officer of the Company, certifies,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28" w:type="dxa"/>
          <w:right w:w="0" w:type="dxa"/>
        </w:tblCellMar>
      </w:tblPr>
      <w:tblGrid>
        <w:gridCol w:w="1985"/>
      </w:tblGrid>
      <w:tr>
        <w:trPr/>
        <w:tc>
          <w:tcPr>
            <w:tcW w:w="198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Robert A. Frist, Jr.</w:t>
            </w:r>
          </w:p>
        </w:tc>
      </w:tr>
      <w:tr>
        <w:trPr/>
        <w:tc>
          <w:tcPr>
            <w:tcW w:w="19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19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985" w:type="dxa"/>
            <w:tcBorders/>
            <w:tcMar>
              <w:bottom w:w="0" w:type="dxa"/>
            </w:tcMar>
            <w:vAlign w:val="center"/>
          </w:tcPr>
          <w:p>
            <w:pPr>
              <w:pStyle w:val="TableContents"/>
              <w:bidi w:val="0"/>
              <w:spacing w:before="0" w:after="283"/>
              <w:jc w:val="left"/>
              <w:rPr/>
            </w:pPr>
            <w:r>
              <w:rPr/>
              <w:t>May 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caps w:val="false"/>
          <w:smallCaps w:val="false"/>
          <w:sz w:val="20"/>
        </w:rPr>
      </w:pPr>
      <w:bookmarkStart w:id="28" w:name="ex_911740.htm"/>
      <w:bookmarkStart w:id="29" w:name="ksex_911740"/>
      <w:bookmarkEnd w:id="28"/>
      <w:bookmarkEnd w:id="29"/>
      <w:r>
        <w:rPr>
          <w:rFonts w:ascii="Times New Roman" w:hAnsi="Times New Roman"/>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HealthStream, Inc. (the “Company”) on Form 10-Q for the period ending </w:t>
      </w:r>
      <w:bookmarkStart w:id="30" w:name="led176021F2022271646689229750"/>
      <w:bookmarkEnd w:id="30"/>
      <w:r>
        <w:rPr>
          <w:rFonts w:ascii="Times New Roman" w:hAnsi="Times New Roman"/>
          <w:caps w:val="false"/>
          <w:smallCaps w:val="false"/>
          <w:sz w:val="20"/>
        </w:rPr>
        <w:t>March 31, 2026, as filed with the Securities and Exchange Commission on the date hereof (the “Report”), Scott A. Roberts, Chief Financial Officer of the Company, certifies,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28" w:type="dxa"/>
          <w:right w:w="0" w:type="dxa"/>
        </w:tblCellMar>
      </w:tblPr>
      <w:tblGrid>
        <w:gridCol w:w="1880"/>
      </w:tblGrid>
      <w:tr>
        <w:trPr/>
        <w:tc>
          <w:tcPr>
            <w:tcW w:w="188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Scott A. Roberts</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880" w:type="dxa"/>
            <w:tcBorders/>
            <w:tcMar>
              <w:bottom w:w="0" w:type="dxa"/>
            </w:tcMar>
            <w:vAlign w:val="center"/>
          </w:tcPr>
          <w:p>
            <w:pPr>
              <w:pStyle w:val="TableContents"/>
              <w:bidi w:val="0"/>
              <w:spacing w:before="0" w:after="283"/>
              <w:jc w:val="left"/>
              <w:rPr/>
            </w:pPr>
            <w:r>
              <w:rPr/>
              <w:t>May 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95565/000143774926008226/ex_932586.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15944</Words>
  <Characters>89088</Characters>
  <CharactersWithSpaces>105976</CharactersWithSpaces>
  <Paragraphs>3620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