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89" w:lineRule="exact"/>
        <w:rPr>
          <w:sz w:val="24"/>
          <w:szCs w:val="24"/>
          <w:color w:val="auto"/>
        </w:rPr>
      </w:pPr>
    </w:p>
    <w:p>
      <w:pPr>
        <w:ind w:left="3580" w:right="2460" w:hanging="3572"/>
        <w:spacing w:after="0" w:line="386" w:lineRule="auto"/>
        <w:tabs>
          <w:tab w:leader="none" w:pos="60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2018</w:t>
      </w:r>
    </w:p>
    <w:p>
      <w:pPr>
        <w:spacing w:after="0" w:line="195"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8" w:lineRule="exact"/>
        <w:rPr>
          <w:sz w:val="24"/>
          <w:szCs w:val="24"/>
          <w:color w:val="auto"/>
        </w:rPr>
      </w:pPr>
    </w:p>
    <w:tbl>
      <w:tblPr>
        <w:tblLayout w:type="fixed"/>
        <w:tblInd w:w="1660" w:type="dxa"/>
        <w:tblCellMar>
          <w:top w:w="0" w:type="dxa"/>
          <w:left w:w="0" w:type="dxa"/>
          <w:bottom w:w="0" w:type="dxa"/>
          <w:right w:w="0" w:type="dxa"/>
        </w:tblCellMar>
      </w:tblPr>
      <w:tr>
        <w:trPr>
          <w:trHeight w:val="226"/>
        </w:trPr>
        <w:tc>
          <w:tcPr>
            <w:tcW w:w="5580" w:type="dxa"/>
            <w:vAlign w:val="bottom"/>
          </w:tcPr>
          <w:p>
            <w:pPr>
              <w:ind w:left="21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23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80"/>
        </w:trPr>
        <w:tc>
          <w:tcPr>
            <w:tcW w:w="5580" w:type="dxa"/>
            <w:vAlign w:val="bottom"/>
          </w:tcPr>
          <w:p>
            <w:pPr>
              <w:jc w:val="center"/>
              <w:ind w:left="2456"/>
              <w:spacing w:after="0"/>
              <w:rPr>
                <w:sz w:val="20"/>
                <w:szCs w:val="20"/>
                <w:color w:val="auto"/>
              </w:rPr>
            </w:pPr>
            <w:r>
              <w:rPr>
                <w:rFonts w:ascii="Times New Roman" w:cs="Times New Roman" w:eastAsia="Times New Roman" w:hAnsi="Times New Roman"/>
                <w:sz w:val="16"/>
                <w:szCs w:val="16"/>
                <w:b w:val="1"/>
                <w:bCs w:val="1"/>
                <w:color w:val="auto"/>
              </w:rPr>
              <w:t>Commission File Number 000-27701</w:t>
            </w:r>
          </w:p>
        </w:tc>
        <w:tc>
          <w:tcPr>
            <w:tcW w:w="2360" w:type="dxa"/>
            <w:vAlign w:val="bottom"/>
          </w:tcPr>
          <w:p>
            <w:pPr>
              <w:spacing w:after="0"/>
              <w:rPr>
                <w:sz w:val="24"/>
                <w:szCs w:val="24"/>
                <w:color w:val="auto"/>
              </w:rPr>
            </w:pPr>
          </w:p>
        </w:tc>
      </w:tr>
      <w:tr>
        <w:trPr>
          <w:trHeight w:val="423"/>
        </w:trPr>
        <w:tc>
          <w:tcPr>
            <w:tcW w:w="7940" w:type="dxa"/>
            <w:vAlign w:val="bottom"/>
            <w:gridSpan w:val="2"/>
          </w:tcPr>
          <w:p>
            <w:pPr>
              <w:jc w:val="center"/>
              <w:ind w:left="76"/>
              <w:spacing w:after="0"/>
              <w:rPr>
                <w:sz w:val="20"/>
                <w:szCs w:val="20"/>
                <w:color w:val="auto"/>
              </w:rPr>
            </w:pPr>
            <w:r>
              <w:rPr>
                <w:rFonts w:ascii="Times New Roman" w:cs="Times New Roman" w:eastAsia="Times New Roman" w:hAnsi="Times New Roman"/>
                <w:sz w:val="32"/>
                <w:szCs w:val="32"/>
                <w:b w:val="1"/>
                <w:bCs w:val="1"/>
                <w:color w:val="auto"/>
              </w:rPr>
              <w:t>HEALTHSTREAM, INC.</w:t>
            </w:r>
          </w:p>
        </w:tc>
      </w:tr>
      <w:tr>
        <w:trPr>
          <w:trHeight w:val="176"/>
        </w:trPr>
        <w:tc>
          <w:tcPr>
            <w:tcW w:w="5580" w:type="dxa"/>
            <w:vAlign w:val="bottom"/>
          </w:tcPr>
          <w:p>
            <w:pPr>
              <w:jc w:val="center"/>
              <w:ind w:left="2436"/>
              <w:spacing w:after="0"/>
              <w:rPr>
                <w:sz w:val="20"/>
                <w:szCs w:val="20"/>
                <w:color w:val="auto"/>
              </w:rPr>
            </w:pPr>
            <w:r>
              <w:rPr>
                <w:rFonts w:ascii="Times New Roman" w:cs="Times New Roman" w:eastAsia="Times New Roman" w:hAnsi="Times New Roman"/>
                <w:sz w:val="14"/>
                <w:szCs w:val="14"/>
                <w:i w:val="1"/>
                <w:iCs w:val="1"/>
                <w:color w:val="auto"/>
                <w:w w:val="96"/>
              </w:rPr>
              <w:t>(Exact name of registrant as specified in its charter)</w:t>
            </w:r>
          </w:p>
        </w:tc>
        <w:tc>
          <w:tcPr>
            <w:tcW w:w="2360" w:type="dxa"/>
            <w:vAlign w:val="bottom"/>
          </w:tcPr>
          <w:p>
            <w:pPr>
              <w:spacing w:after="0"/>
              <w:rPr>
                <w:sz w:val="15"/>
                <w:szCs w:val="15"/>
                <w:color w:val="auto"/>
              </w:rPr>
            </w:pPr>
          </w:p>
        </w:tc>
      </w:tr>
      <w:tr>
        <w:trPr>
          <w:trHeight w:val="256"/>
        </w:trPr>
        <w:tc>
          <w:tcPr>
            <w:tcW w:w="5580" w:type="dxa"/>
            <w:vAlign w:val="bottom"/>
          </w:tcPr>
          <w:p>
            <w:pPr>
              <w:jc w:val="center"/>
              <w:ind w:right="3196"/>
              <w:spacing w:after="0"/>
              <w:rPr>
                <w:sz w:val="20"/>
                <w:szCs w:val="20"/>
                <w:color w:val="auto"/>
              </w:rPr>
            </w:pPr>
            <w:r>
              <w:rPr>
                <w:rFonts w:ascii="Times New Roman" w:cs="Times New Roman" w:eastAsia="Times New Roman" w:hAnsi="Times New Roman"/>
                <w:sz w:val="16"/>
                <w:szCs w:val="16"/>
                <w:b w:val="1"/>
                <w:bCs w:val="1"/>
                <w:color w:val="auto"/>
              </w:rPr>
              <w:t>Tennessee</w:t>
            </w:r>
          </w:p>
        </w:tc>
        <w:tc>
          <w:tcPr>
            <w:tcW w:w="2360" w:type="dxa"/>
            <w:vAlign w:val="bottom"/>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62-1443555</w:t>
            </w:r>
          </w:p>
        </w:tc>
      </w:tr>
      <w:tr>
        <w:trPr>
          <w:trHeight w:val="149"/>
        </w:trPr>
        <w:tc>
          <w:tcPr>
            <w:tcW w:w="5580" w:type="dxa"/>
            <w:vAlign w:val="bottom"/>
          </w:tcPr>
          <w:p>
            <w:pPr>
              <w:jc w:val="center"/>
              <w:ind w:right="3196"/>
              <w:spacing w:after="0" w:line="149" w:lineRule="exact"/>
              <w:rPr>
                <w:sz w:val="20"/>
                <w:szCs w:val="20"/>
                <w:color w:val="auto"/>
              </w:rPr>
            </w:pPr>
            <w:r>
              <w:rPr>
                <w:rFonts w:ascii="Times New Roman" w:cs="Times New Roman" w:eastAsia="Times New Roman" w:hAnsi="Times New Roman"/>
                <w:sz w:val="14"/>
                <w:szCs w:val="14"/>
                <w:i w:val="1"/>
                <w:iCs w:val="1"/>
                <w:color w:val="auto"/>
                <w:w w:val="96"/>
              </w:rPr>
              <w:t>(State or other jurisdiction of</w:t>
            </w:r>
          </w:p>
        </w:tc>
        <w:tc>
          <w:tcPr>
            <w:tcW w:w="2360" w:type="dxa"/>
            <w:vAlign w:val="bottom"/>
          </w:tcPr>
          <w:p>
            <w:pPr>
              <w:jc w:val="center"/>
              <w:ind w:left="343"/>
              <w:spacing w:after="0" w:line="149" w:lineRule="exact"/>
              <w:rPr>
                <w:sz w:val="20"/>
                <w:szCs w:val="20"/>
                <w:color w:val="auto"/>
              </w:rPr>
            </w:pPr>
            <w:r>
              <w:rPr>
                <w:rFonts w:ascii="Times New Roman" w:cs="Times New Roman" w:eastAsia="Times New Roman" w:hAnsi="Times New Roman"/>
                <w:sz w:val="14"/>
                <w:szCs w:val="14"/>
                <w:i w:val="1"/>
                <w:iCs w:val="1"/>
                <w:color w:val="auto"/>
                <w:w w:val="96"/>
              </w:rPr>
              <w:t>(I.R.S. Employer Identification No.)</w:t>
            </w:r>
          </w:p>
        </w:tc>
      </w:tr>
      <w:tr>
        <w:trPr>
          <w:trHeight w:val="176"/>
        </w:trPr>
        <w:tc>
          <w:tcPr>
            <w:tcW w:w="5580" w:type="dxa"/>
            <w:vAlign w:val="bottom"/>
          </w:tcPr>
          <w:p>
            <w:pPr>
              <w:jc w:val="center"/>
              <w:ind w:right="3196"/>
              <w:spacing w:after="0"/>
              <w:rPr>
                <w:sz w:val="20"/>
                <w:szCs w:val="20"/>
                <w:color w:val="auto"/>
              </w:rPr>
            </w:pPr>
            <w:r>
              <w:rPr>
                <w:rFonts w:ascii="Times New Roman" w:cs="Times New Roman" w:eastAsia="Times New Roman" w:hAnsi="Times New Roman"/>
                <w:sz w:val="14"/>
                <w:szCs w:val="14"/>
                <w:i w:val="1"/>
                <w:iCs w:val="1"/>
                <w:color w:val="auto"/>
                <w:w w:val="95"/>
              </w:rPr>
              <w:t>incorporation or organization)</w:t>
            </w:r>
          </w:p>
        </w:tc>
        <w:tc>
          <w:tcPr>
            <w:tcW w:w="2360" w:type="dxa"/>
            <w:vAlign w:val="bottom"/>
          </w:tcPr>
          <w:p>
            <w:pPr>
              <w:spacing w:after="0"/>
              <w:rPr>
                <w:sz w:val="15"/>
                <w:szCs w:val="15"/>
                <w:color w:val="auto"/>
              </w:rPr>
            </w:pPr>
          </w:p>
        </w:tc>
      </w:tr>
      <w:tr>
        <w:trPr>
          <w:trHeight w:val="265"/>
        </w:trPr>
        <w:tc>
          <w:tcPr>
            <w:tcW w:w="5580" w:type="dxa"/>
            <w:vAlign w:val="bottom"/>
          </w:tcPr>
          <w:p>
            <w:pPr>
              <w:jc w:val="center"/>
              <w:ind w:right="3196"/>
              <w:spacing w:after="0"/>
              <w:rPr>
                <w:sz w:val="20"/>
                <w:szCs w:val="20"/>
                <w:color w:val="auto"/>
              </w:rPr>
            </w:pPr>
            <w:r>
              <w:rPr>
                <w:rFonts w:ascii="Times New Roman" w:cs="Times New Roman" w:eastAsia="Times New Roman" w:hAnsi="Times New Roman"/>
                <w:sz w:val="16"/>
                <w:szCs w:val="16"/>
                <w:b w:val="1"/>
                <w:bCs w:val="1"/>
                <w:color w:val="auto"/>
              </w:rPr>
              <w:t>209 10th Avenue South, Suite 450</w:t>
            </w:r>
          </w:p>
        </w:tc>
        <w:tc>
          <w:tcPr>
            <w:tcW w:w="2360" w:type="dxa"/>
            <w:vAlign w:val="bottom"/>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37203</w:t>
            </w:r>
          </w:p>
        </w:tc>
      </w:tr>
      <w:tr>
        <w:trPr>
          <w:trHeight w:val="216"/>
        </w:trPr>
        <w:tc>
          <w:tcPr>
            <w:tcW w:w="5580" w:type="dxa"/>
            <w:vAlign w:val="bottom"/>
          </w:tcPr>
          <w:p>
            <w:pPr>
              <w:jc w:val="center"/>
              <w:ind w:right="3196"/>
              <w:spacing w:after="0"/>
              <w:rPr>
                <w:sz w:val="20"/>
                <w:szCs w:val="20"/>
                <w:color w:val="auto"/>
              </w:rPr>
            </w:pPr>
            <w:r>
              <w:rPr>
                <w:rFonts w:ascii="Times New Roman" w:cs="Times New Roman" w:eastAsia="Times New Roman" w:hAnsi="Times New Roman"/>
                <w:sz w:val="16"/>
                <w:szCs w:val="16"/>
                <w:b w:val="1"/>
                <w:bCs w:val="1"/>
                <w:color w:val="auto"/>
              </w:rPr>
              <w:t>Nashville, Tennessee</w:t>
            </w:r>
          </w:p>
        </w:tc>
        <w:tc>
          <w:tcPr>
            <w:tcW w:w="2360" w:type="dxa"/>
            <w:vAlign w:val="bottom"/>
          </w:tcPr>
          <w:p>
            <w:pPr>
              <w:jc w:val="center"/>
              <w:ind w:left="343"/>
              <w:spacing w:after="0"/>
              <w:rPr>
                <w:sz w:val="20"/>
                <w:szCs w:val="20"/>
                <w:color w:val="auto"/>
              </w:rPr>
            </w:pPr>
            <w:r>
              <w:rPr>
                <w:rFonts w:ascii="Times New Roman" w:cs="Times New Roman" w:eastAsia="Times New Roman" w:hAnsi="Times New Roman"/>
                <w:sz w:val="14"/>
                <w:szCs w:val="14"/>
                <w:i w:val="1"/>
                <w:iCs w:val="1"/>
                <w:color w:val="auto"/>
                <w:w w:val="94"/>
              </w:rPr>
              <w:t>(Zip Code)</w:t>
            </w:r>
          </w:p>
        </w:tc>
      </w:tr>
      <w:tr>
        <w:trPr>
          <w:trHeight w:val="181"/>
        </w:trPr>
        <w:tc>
          <w:tcPr>
            <w:tcW w:w="5580" w:type="dxa"/>
            <w:vAlign w:val="bottom"/>
          </w:tcPr>
          <w:p>
            <w:pPr>
              <w:jc w:val="center"/>
              <w:ind w:right="3196"/>
              <w:spacing w:after="0"/>
              <w:rPr>
                <w:sz w:val="20"/>
                <w:szCs w:val="20"/>
                <w:color w:val="auto"/>
              </w:rPr>
            </w:pPr>
            <w:r>
              <w:rPr>
                <w:rFonts w:ascii="Times New Roman" w:cs="Times New Roman" w:eastAsia="Times New Roman" w:hAnsi="Times New Roman"/>
                <w:sz w:val="14"/>
                <w:szCs w:val="14"/>
                <w:i w:val="1"/>
                <w:iCs w:val="1"/>
                <w:color w:val="auto"/>
                <w:w w:val="95"/>
              </w:rPr>
              <w:t>(Address of principal executive offices)</w:t>
            </w:r>
          </w:p>
        </w:tc>
        <w:tc>
          <w:tcPr>
            <w:tcW w:w="2360" w:type="dxa"/>
            <w:vAlign w:val="bottom"/>
          </w:tcPr>
          <w:p>
            <w:pPr>
              <w:spacing w:after="0"/>
              <w:rPr>
                <w:sz w:val="15"/>
                <w:szCs w:val="15"/>
                <w:color w:val="auto"/>
              </w:rPr>
            </w:pPr>
          </w:p>
        </w:tc>
      </w:tr>
    </w:tbl>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(615) 301-3100</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2" w:lineRule="exact"/>
        <w:rPr>
          <w:sz w:val="24"/>
          <w:szCs w:val="24"/>
          <w:color w:val="auto"/>
        </w:rPr>
      </w:pPr>
    </w:p>
    <w:tbl>
      <w:tblPr>
        <w:tblLayout w:type="fixed"/>
        <w:tblInd w:w="1840" w:type="dxa"/>
        <w:tblCellMar>
          <w:top w:w="0" w:type="dxa"/>
          <w:left w:w="0" w:type="dxa"/>
          <w:bottom w:w="0" w:type="dxa"/>
          <w:right w:w="0" w:type="dxa"/>
        </w:tblCellMar>
      </w:tblPr>
      <w:tr>
        <w:trPr>
          <w:trHeight w:val="172"/>
        </w:trPr>
        <w:tc>
          <w:tcPr>
            <w:tcW w:w="420" w:type="dxa"/>
            <w:vAlign w:val="bottom"/>
          </w:tcPr>
          <w:p>
            <w:pPr>
              <w:spacing w:after="0"/>
              <w:rPr>
                <w:sz w:val="15"/>
                <w:szCs w:val="15"/>
                <w:color w:val="auto"/>
              </w:rPr>
            </w:pPr>
          </w:p>
        </w:tc>
        <w:tc>
          <w:tcPr>
            <w:tcW w:w="5000" w:type="dxa"/>
            <w:vAlign w:val="bottom"/>
            <w:gridSpan w:val="2"/>
          </w:tcPr>
          <w:p>
            <w:pPr>
              <w:jc w:val="right"/>
              <w:ind w:right="3819"/>
              <w:spacing w:after="0"/>
              <w:rPr>
                <w:sz w:val="20"/>
                <w:szCs w:val="20"/>
                <w:color w:val="auto"/>
              </w:rPr>
            </w:pPr>
            <w:r>
              <w:rPr>
                <w:rFonts w:ascii="Times New Roman" w:cs="Times New Roman" w:eastAsia="Times New Roman" w:hAnsi="Times New Roman"/>
                <w:sz w:val="15"/>
                <w:szCs w:val="15"/>
                <w:color w:val="auto"/>
                <w:w w:val="99"/>
              </w:rPr>
              <w:t>Title of each class</w:t>
            </w:r>
          </w:p>
        </w:tc>
        <w:tc>
          <w:tcPr>
            <w:tcW w:w="2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900" w:type="dxa"/>
            <w:vAlign w:val="bottom"/>
            <w:vMerge w:val="restart"/>
          </w:tcPr>
          <w:p>
            <w:pPr>
              <w:jc w:val="right"/>
              <w:ind w:right="3399"/>
              <w:spacing w:after="0"/>
              <w:rPr>
                <w:sz w:val="20"/>
                <w:szCs w:val="20"/>
                <w:color w:val="auto"/>
              </w:rPr>
            </w:pPr>
            <w:r>
              <w:rPr>
                <w:rFonts w:ascii="Times New Roman" w:cs="Times New Roman" w:eastAsia="Times New Roman" w:hAnsi="Times New Roman"/>
                <w:sz w:val="16"/>
                <w:szCs w:val="16"/>
                <w:color w:val="auto"/>
              </w:rPr>
              <w:t>Value</w:t>
            </w:r>
          </w:p>
        </w:tc>
        <w:tc>
          <w:tcPr>
            <w:tcW w:w="2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Common Stock, No Par</w:t>
            </w:r>
          </w:p>
        </w:tc>
        <w:tc>
          <w:tcPr>
            <w:tcW w:w="3900" w:type="dxa"/>
            <w:vAlign w:val="bottom"/>
            <w:vMerge w:val="continue"/>
          </w:tcPr>
          <w:p>
            <w:pPr>
              <w:spacing w:after="0"/>
              <w:rPr>
                <w:sz w:val="17"/>
                <w:szCs w:val="17"/>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73" w:lineRule="exact"/>
        <w:rPr>
          <w:sz w:val="24"/>
          <w:szCs w:val="24"/>
          <w:color w:val="auto"/>
        </w:rPr>
      </w:pPr>
    </w:p>
    <w:p>
      <w:pPr>
        <w:ind w:right="3400"/>
        <w:spacing w:after="0" w:line="255"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of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jc w:val="both"/>
        <w:ind w:right="2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ind w:right="2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p>
      <w:pPr>
        <w:spacing w:after="0" w:line="173" w:lineRule="exact"/>
        <w:tabs>
          <w:tab w:leader="none" w:pos="2500" w:val="left"/>
          <w:tab w:leader="none" w:pos="5680" w:val="left"/>
          <w:tab w:leader="none" w:pos="884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13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10" w:lineRule="exact"/>
        <w:rPr>
          <w:sz w:val="24"/>
          <w:szCs w:val="24"/>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10" w:lineRule="exact"/>
        <w:rPr>
          <w:sz w:val="24"/>
          <w:szCs w:val="24"/>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The aggregate market value of the Common Stock issued and outstanding and held by non-affiliates of the Registrant, based upon the closing sales price for the Common Stock on the Nasdaq Global Select Market on June 30, 2018 was approximately $703.7 million. All executive officers and directors of the registrant have been deemed, solely for the purpose of the foregoing calculation, to be “affiliates” of the registrant.</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February 21, 2019, there were 32,329,409 shares of the Registrant’s common stock outstanding.</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Portions of the Registrant’s definitive Proxy Statement for its 2019 Annual Meeting of Shareholders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1" w:name="page2"/>
    <w:bookmarkEnd w:id="1"/>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46"/>
        </w:trPr>
        <w:tc>
          <w:tcPr>
            <w:tcW w:w="5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60" w:type="dxa"/>
            <w:vAlign w:val="bottom"/>
            <w:gridSpan w:val="7"/>
          </w:tcPr>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HEALTHSTREAM, INC.</w:t>
            </w:r>
          </w:p>
        </w:tc>
      </w:tr>
      <w:tr>
        <w:trPr>
          <w:trHeight w:val="343"/>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60" w:type="dxa"/>
            <w:vAlign w:val="bottom"/>
            <w:gridSpan w:val="7"/>
          </w:tcPr>
          <w:p>
            <w:pPr>
              <w:jc w:val="center"/>
              <w:ind w:right="2040"/>
              <w:spacing w:after="0"/>
              <w:rPr>
                <w:sz w:val="20"/>
                <w:szCs w:val="20"/>
                <w:color w:val="auto"/>
              </w:rPr>
            </w:pPr>
            <w:r>
              <w:rPr>
                <w:rFonts w:ascii="Times New Roman" w:cs="Times New Roman" w:eastAsia="Times New Roman" w:hAnsi="Times New Roman"/>
                <w:sz w:val="17"/>
                <w:szCs w:val="17"/>
                <w:b w:val="1"/>
                <w:bCs w:val="1"/>
                <w:color w:val="auto"/>
                <w:w w:val="99"/>
              </w:rPr>
              <w:t>TABLE OF CONTENTS</w:t>
            </w:r>
          </w:p>
        </w:tc>
      </w:tr>
      <w:tr>
        <w:trPr>
          <w:trHeight w:val="226"/>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20" w:type="dxa"/>
            <w:vAlign w:val="bottom"/>
            <w:gridSpan w:val="8"/>
          </w:tcPr>
          <w:p>
            <w:pPr>
              <w:jc w:val="center"/>
              <w:ind w:right="158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tc>
      </w:tr>
      <w:tr>
        <w:trPr>
          <w:trHeight w:val="542"/>
        </w:trPr>
        <w:tc>
          <w:tcPr>
            <w:tcW w:w="520" w:type="dxa"/>
            <w:vAlign w:val="bottom"/>
            <w:tcBorders>
              <w:bottom w:val="single" w:sz="8" w:color="0000EE"/>
            </w:tcBorders>
          </w:tcPr>
          <w:p>
            <w:pPr>
              <w:spacing w:after="0"/>
              <w:rPr>
                <w:rFonts w:ascii="Times New Roman" w:cs="Times New Roman" w:eastAsia="Times New Roman" w:hAnsi="Times New Roman"/>
                <w:sz w:val="17"/>
                <w:szCs w:val="17"/>
                <w:color w:val="0000EE"/>
                <w:w w:val="93"/>
              </w:rPr>
            </w:pPr>
            <w:hyperlink w:anchor="page3">
              <w:r>
                <w:rPr>
                  <w:rFonts w:ascii="Times New Roman" w:cs="Times New Roman" w:eastAsia="Times New Roman" w:hAnsi="Times New Roman"/>
                  <w:sz w:val="17"/>
                  <w:szCs w:val="17"/>
                  <w:color w:val="0000EE"/>
                  <w:w w:val="93"/>
                </w:rPr>
                <w:t>PART I</w:t>
              </w:r>
            </w:hyperlink>
          </w:p>
        </w:tc>
        <w:tc>
          <w:tcPr>
            <w:tcW w:w="58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w:t>
            </w:r>
          </w:p>
        </w:tc>
        <w:tc>
          <w:tcPr>
            <w:tcW w:w="200" w:type="dxa"/>
            <w:vAlign w:val="bottom"/>
          </w:tcPr>
          <w:p>
            <w:pPr>
              <w:spacing w:after="0"/>
              <w:rPr>
                <w:sz w:val="19"/>
                <w:szCs w:val="19"/>
                <w:color w:val="auto"/>
              </w:rPr>
            </w:pPr>
          </w:p>
        </w:tc>
        <w:tc>
          <w:tcPr>
            <w:tcW w:w="7660" w:type="dxa"/>
            <w:vAlign w:val="bottom"/>
            <w:gridSpan w:val="21"/>
          </w:tcPr>
          <w:p>
            <w:pPr>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Business.</w:t>
              </w:r>
            </w:hyperlink>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1A.</w:t>
            </w:r>
          </w:p>
        </w:tc>
        <w:tc>
          <w:tcPr>
            <w:tcW w:w="200" w:type="dxa"/>
            <w:vAlign w:val="bottom"/>
          </w:tcPr>
          <w:p>
            <w:pPr>
              <w:spacing w:after="0"/>
              <w:rPr>
                <w:sz w:val="19"/>
                <w:szCs w:val="19"/>
                <w:color w:val="auto"/>
              </w:rPr>
            </w:pPr>
          </w:p>
        </w:tc>
        <w:tc>
          <w:tcPr>
            <w:tcW w:w="86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8"/>
              </w:rPr>
            </w:pPr>
            <w:hyperlink w:anchor="page12">
              <w:r>
                <w:rPr>
                  <w:rFonts w:ascii="Times New Roman" w:cs="Times New Roman" w:eastAsia="Times New Roman" w:hAnsi="Times New Roman"/>
                  <w:sz w:val="17"/>
                  <w:szCs w:val="17"/>
                  <w:color w:val="0000EE"/>
                  <w:w w:val="98"/>
                </w:rPr>
                <w:t>Risk Factors</w:t>
              </w:r>
            </w:hyperlink>
          </w:p>
        </w:tc>
        <w:tc>
          <w:tcPr>
            <w:tcW w:w="6800" w:type="dxa"/>
            <w:vAlign w:val="bottom"/>
            <w:gridSpan w:val="17"/>
          </w:tcPr>
          <w:p>
            <w:pPr>
              <w:spacing w:after="0"/>
              <w:rPr>
                <w:sz w:val="19"/>
                <w:szCs w:val="19"/>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1B.</w:t>
            </w:r>
          </w:p>
        </w:tc>
        <w:tc>
          <w:tcPr>
            <w:tcW w:w="200" w:type="dxa"/>
            <w:vAlign w:val="bottom"/>
          </w:tcPr>
          <w:p>
            <w:pPr>
              <w:spacing w:after="0"/>
              <w:rPr>
                <w:sz w:val="19"/>
                <w:szCs w:val="19"/>
                <w:color w:val="auto"/>
              </w:rPr>
            </w:pPr>
          </w:p>
        </w:tc>
        <w:tc>
          <w:tcPr>
            <w:tcW w:w="194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w w:val="99"/>
              </w:rPr>
            </w:pPr>
            <w:hyperlink w:anchor="page23">
              <w:r>
                <w:rPr>
                  <w:rFonts w:ascii="Times New Roman" w:cs="Times New Roman" w:eastAsia="Times New Roman" w:hAnsi="Times New Roman"/>
                  <w:sz w:val="17"/>
                  <w:szCs w:val="17"/>
                  <w:color w:val="0000EE"/>
                  <w:w w:val="99"/>
                </w:rPr>
                <w:t>Unresolved Staff Comments</w:t>
              </w:r>
            </w:hyperlink>
          </w:p>
        </w:tc>
        <w:tc>
          <w:tcPr>
            <w:tcW w:w="5720" w:type="dxa"/>
            <w:vAlign w:val="bottom"/>
            <w:gridSpan w:val="10"/>
          </w:tcPr>
          <w:p>
            <w:pPr>
              <w:spacing w:after="0"/>
              <w:rPr>
                <w:sz w:val="19"/>
                <w:szCs w:val="19"/>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2.</w:t>
            </w:r>
          </w:p>
        </w:tc>
        <w:tc>
          <w:tcPr>
            <w:tcW w:w="200" w:type="dxa"/>
            <w:vAlign w:val="bottom"/>
          </w:tcPr>
          <w:p>
            <w:pPr>
              <w:spacing w:after="0"/>
              <w:rPr>
                <w:sz w:val="19"/>
                <w:szCs w:val="19"/>
                <w:color w:val="auto"/>
              </w:rPr>
            </w:pPr>
          </w:p>
        </w:tc>
        <w:tc>
          <w:tcPr>
            <w:tcW w:w="7660" w:type="dxa"/>
            <w:vAlign w:val="bottom"/>
            <w:gridSpan w:val="21"/>
          </w:tcPr>
          <w:p>
            <w:pPr>
              <w:spacing w:after="0"/>
              <w:rPr>
                <w:rFonts w:ascii="Times New Roman" w:cs="Times New Roman" w:eastAsia="Times New Roman" w:hAnsi="Times New Roman"/>
                <w:sz w:val="17"/>
                <w:szCs w:val="17"/>
                <w:color w:val="0000EE"/>
              </w:rPr>
            </w:pPr>
            <w:hyperlink w:anchor="page23">
              <w:r>
                <w:rPr>
                  <w:rFonts w:ascii="Times New Roman" w:cs="Times New Roman" w:eastAsia="Times New Roman" w:hAnsi="Times New Roman"/>
                  <w:sz w:val="17"/>
                  <w:szCs w:val="17"/>
                  <w:color w:val="0000EE"/>
                </w:rPr>
                <w:t>Properties</w:t>
              </w:r>
            </w:hyperlink>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3.</w:t>
            </w:r>
          </w:p>
        </w:tc>
        <w:tc>
          <w:tcPr>
            <w:tcW w:w="200" w:type="dxa"/>
            <w:vAlign w:val="bottom"/>
          </w:tcPr>
          <w:p>
            <w:pPr>
              <w:spacing w:after="0"/>
              <w:rPr>
                <w:sz w:val="19"/>
                <w:szCs w:val="19"/>
                <w:color w:val="auto"/>
              </w:rPr>
            </w:pPr>
          </w:p>
        </w:tc>
        <w:tc>
          <w:tcPr>
            <w:tcW w:w="126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w w:val="98"/>
              </w:rPr>
            </w:pPr>
            <w:hyperlink w:anchor="page23">
              <w:r>
                <w:rPr>
                  <w:rFonts w:ascii="Times New Roman" w:cs="Times New Roman" w:eastAsia="Times New Roman" w:hAnsi="Times New Roman"/>
                  <w:sz w:val="17"/>
                  <w:szCs w:val="17"/>
                  <w:color w:val="0000EE"/>
                  <w:w w:val="98"/>
                </w:rPr>
                <w:t>Legal Proceedings</w:t>
              </w:r>
            </w:hyperlink>
          </w:p>
        </w:tc>
        <w:tc>
          <w:tcPr>
            <w:tcW w:w="6400" w:type="dxa"/>
            <w:vAlign w:val="bottom"/>
            <w:gridSpan w:val="15"/>
          </w:tcPr>
          <w:p>
            <w:pPr>
              <w:spacing w:after="0"/>
              <w:rPr>
                <w:sz w:val="19"/>
                <w:szCs w:val="19"/>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4.</w:t>
            </w:r>
          </w:p>
        </w:tc>
        <w:tc>
          <w:tcPr>
            <w:tcW w:w="200" w:type="dxa"/>
            <w:vAlign w:val="bottom"/>
          </w:tcPr>
          <w:p>
            <w:pPr>
              <w:spacing w:after="0"/>
              <w:rPr>
                <w:sz w:val="19"/>
                <w:szCs w:val="19"/>
                <w:color w:val="auto"/>
              </w:rPr>
            </w:pPr>
          </w:p>
        </w:tc>
        <w:tc>
          <w:tcPr>
            <w:tcW w:w="7660" w:type="dxa"/>
            <w:vAlign w:val="bottom"/>
            <w:gridSpan w:val="21"/>
          </w:tcPr>
          <w:p>
            <w:pPr>
              <w:spacing w:after="0"/>
              <w:rPr>
                <w:rFonts w:ascii="Times New Roman" w:cs="Times New Roman" w:eastAsia="Times New Roman" w:hAnsi="Times New Roman"/>
                <w:sz w:val="17"/>
                <w:szCs w:val="17"/>
                <w:color w:val="0000EE"/>
              </w:rPr>
            </w:pPr>
            <w:hyperlink w:anchor="page23">
              <w:r>
                <w:rPr>
                  <w:rFonts w:ascii="Times New Roman" w:cs="Times New Roman" w:eastAsia="Times New Roman" w:hAnsi="Times New Roman"/>
                  <w:sz w:val="17"/>
                  <w:szCs w:val="17"/>
                  <w:color w:val="0000EE"/>
                </w:rPr>
                <w:t>Mine Safety Disclosures</w:t>
              </w:r>
            </w:hyperlink>
          </w:p>
        </w:tc>
      </w:tr>
      <w:tr>
        <w:trPr>
          <w:trHeight w:val="426"/>
        </w:trPr>
        <w:tc>
          <w:tcPr>
            <w:tcW w:w="58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4"/>
              </w:rPr>
            </w:pPr>
            <w:hyperlink w:anchor="page24">
              <w:r>
                <w:rPr>
                  <w:rFonts w:ascii="Times New Roman" w:cs="Times New Roman" w:eastAsia="Times New Roman" w:hAnsi="Times New Roman"/>
                  <w:sz w:val="17"/>
                  <w:szCs w:val="17"/>
                  <w:color w:val="0000EE"/>
                  <w:w w:val="94"/>
                </w:rPr>
                <w:t>PART II</w:t>
              </w:r>
            </w:hyperlink>
          </w:p>
        </w:tc>
        <w:tc>
          <w:tcPr>
            <w:tcW w:w="5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5.</w:t>
            </w:r>
          </w:p>
        </w:tc>
        <w:tc>
          <w:tcPr>
            <w:tcW w:w="200" w:type="dxa"/>
            <w:vAlign w:val="bottom"/>
          </w:tcPr>
          <w:p>
            <w:pPr>
              <w:spacing w:after="0"/>
              <w:rPr>
                <w:sz w:val="19"/>
                <w:szCs w:val="19"/>
                <w:color w:val="auto"/>
              </w:rPr>
            </w:pPr>
          </w:p>
        </w:tc>
        <w:tc>
          <w:tcPr>
            <w:tcW w:w="766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w w:val="99"/>
              </w:rPr>
            </w:pPr>
            <w:hyperlink w:anchor="page24">
              <w:r>
                <w:rPr>
                  <w:rFonts w:ascii="Times New Roman" w:cs="Times New Roman" w:eastAsia="Times New Roman" w:hAnsi="Times New Roman"/>
                  <w:sz w:val="17"/>
                  <w:szCs w:val="17"/>
                  <w:color w:val="0000EE"/>
                  <w:w w:val="99"/>
                </w:rPr>
                <w:t>Market for Registrant’s Common Equity, Related Stockholder Matters and Issuer Purchases of Equity Securities</w:t>
              </w:r>
            </w:hyperlink>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6.</w:t>
            </w:r>
          </w:p>
        </w:tc>
        <w:tc>
          <w:tcPr>
            <w:tcW w:w="200" w:type="dxa"/>
            <w:vAlign w:val="bottom"/>
          </w:tcPr>
          <w:p>
            <w:pPr>
              <w:spacing w:after="0"/>
              <w:rPr>
                <w:sz w:val="19"/>
                <w:szCs w:val="19"/>
                <w:color w:val="auto"/>
              </w:rPr>
            </w:pPr>
          </w:p>
        </w:tc>
        <w:tc>
          <w:tcPr>
            <w:tcW w:w="166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8"/>
              </w:rPr>
            </w:pPr>
            <w:hyperlink w:anchor="page26">
              <w:r>
                <w:rPr>
                  <w:rFonts w:ascii="Times New Roman" w:cs="Times New Roman" w:eastAsia="Times New Roman" w:hAnsi="Times New Roman"/>
                  <w:sz w:val="17"/>
                  <w:szCs w:val="17"/>
                  <w:color w:val="0000EE"/>
                  <w:w w:val="98"/>
                </w:rPr>
                <w:t>Selected Financial Data.</w:t>
              </w:r>
            </w:hyperlink>
          </w:p>
        </w:tc>
        <w:tc>
          <w:tcPr>
            <w:tcW w:w="6000" w:type="dxa"/>
            <w:vAlign w:val="bottom"/>
            <w:gridSpan w:val="13"/>
          </w:tcPr>
          <w:p>
            <w:pPr>
              <w:spacing w:after="0"/>
              <w:rPr>
                <w:sz w:val="19"/>
                <w:szCs w:val="19"/>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7.</w:t>
            </w:r>
          </w:p>
        </w:tc>
        <w:tc>
          <w:tcPr>
            <w:tcW w:w="200" w:type="dxa"/>
            <w:vAlign w:val="bottom"/>
          </w:tcPr>
          <w:p>
            <w:pPr>
              <w:spacing w:after="0"/>
              <w:rPr>
                <w:sz w:val="19"/>
                <w:szCs w:val="19"/>
                <w:color w:val="auto"/>
              </w:rPr>
            </w:pPr>
          </w:p>
        </w:tc>
        <w:tc>
          <w:tcPr>
            <w:tcW w:w="7660" w:type="dxa"/>
            <w:vAlign w:val="bottom"/>
            <w:gridSpan w:val="21"/>
          </w:tcPr>
          <w:p>
            <w:pPr>
              <w:spacing w:after="0"/>
              <w:rPr>
                <w:rFonts w:ascii="Times New Roman" w:cs="Times New Roman" w:eastAsia="Times New Roman" w:hAnsi="Times New Roman"/>
                <w:sz w:val="17"/>
                <w:szCs w:val="17"/>
                <w:color w:val="0000EE"/>
              </w:rPr>
            </w:pPr>
            <w:hyperlink w:anchor="page26">
              <w:r>
                <w:rPr>
                  <w:rFonts w:ascii="Times New Roman" w:cs="Times New Roman" w:eastAsia="Times New Roman" w:hAnsi="Times New Roman"/>
                  <w:sz w:val="17"/>
                  <w:szCs w:val="17"/>
                  <w:color w:val="0000EE"/>
                </w:rPr>
                <w:t>Management’s Discussion and Analysis of Financial Condition and Results of Operations</w:t>
              </w:r>
            </w:hyperlink>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7A.</w:t>
            </w:r>
          </w:p>
        </w:tc>
        <w:tc>
          <w:tcPr>
            <w:tcW w:w="200" w:type="dxa"/>
            <w:vAlign w:val="bottom"/>
          </w:tcPr>
          <w:p>
            <w:pPr>
              <w:spacing w:after="0"/>
              <w:rPr>
                <w:sz w:val="19"/>
                <w:szCs w:val="19"/>
                <w:color w:val="auto"/>
              </w:rPr>
            </w:pPr>
          </w:p>
        </w:tc>
        <w:tc>
          <w:tcPr>
            <w:tcW w:w="418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7"/>
                <w:szCs w:val="17"/>
                <w:color w:val="0000EE"/>
                <w:w w:val="99"/>
              </w:rPr>
            </w:pPr>
            <w:hyperlink w:anchor="page39">
              <w:r>
                <w:rPr>
                  <w:rFonts w:ascii="Times New Roman" w:cs="Times New Roman" w:eastAsia="Times New Roman" w:hAnsi="Times New Roman"/>
                  <w:sz w:val="17"/>
                  <w:szCs w:val="17"/>
                  <w:color w:val="0000EE"/>
                  <w:w w:val="99"/>
                </w:rPr>
                <w:t>Quantitative and Qualitative Disclosures About Market Risk.</w:t>
              </w:r>
            </w:hyperlink>
          </w:p>
        </w:tc>
        <w:tc>
          <w:tcPr>
            <w:tcW w:w="1940" w:type="dxa"/>
            <w:vAlign w:val="bottom"/>
            <w:tcBorders>
              <w:top w:val="single" w:sz="8" w:color="0000EE"/>
            </w:tcBorders>
            <w:gridSpan w:val="2"/>
          </w:tcPr>
          <w:p>
            <w:pPr>
              <w:spacing w:after="0"/>
              <w:rPr>
                <w:sz w:val="19"/>
                <w:szCs w:val="19"/>
                <w:color w:val="auto"/>
              </w:rPr>
            </w:pPr>
          </w:p>
        </w:tc>
        <w:tc>
          <w:tcPr>
            <w:tcW w:w="1540" w:type="dxa"/>
            <w:vAlign w:val="bottom"/>
            <w:gridSpan w:val="3"/>
          </w:tcPr>
          <w:p>
            <w:pPr>
              <w:spacing w:after="0"/>
              <w:rPr>
                <w:sz w:val="19"/>
                <w:szCs w:val="19"/>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8.</w:t>
            </w:r>
          </w:p>
        </w:tc>
        <w:tc>
          <w:tcPr>
            <w:tcW w:w="200" w:type="dxa"/>
            <w:vAlign w:val="bottom"/>
          </w:tcPr>
          <w:p>
            <w:pPr>
              <w:spacing w:after="0"/>
              <w:rPr>
                <w:sz w:val="19"/>
                <w:szCs w:val="19"/>
                <w:color w:val="auto"/>
              </w:rPr>
            </w:pPr>
          </w:p>
        </w:tc>
        <w:tc>
          <w:tcPr>
            <w:tcW w:w="320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9"/>
              </w:rPr>
            </w:pPr>
            <w:hyperlink w:anchor="page40">
              <w:r>
                <w:rPr>
                  <w:rFonts w:ascii="Times New Roman" w:cs="Times New Roman" w:eastAsia="Times New Roman" w:hAnsi="Times New Roman"/>
                  <w:sz w:val="17"/>
                  <w:szCs w:val="17"/>
                  <w:color w:val="0000EE"/>
                  <w:w w:val="99"/>
                </w:rPr>
                <w:t>Financial Statements and Supplementary Data.</w:t>
              </w:r>
            </w:hyperlink>
          </w:p>
        </w:tc>
        <w:tc>
          <w:tcPr>
            <w:tcW w:w="4460" w:type="dxa"/>
            <w:vAlign w:val="bottom"/>
            <w:gridSpan w:val="7"/>
          </w:tcPr>
          <w:p>
            <w:pPr>
              <w:spacing w:after="0"/>
              <w:rPr>
                <w:sz w:val="19"/>
                <w:szCs w:val="19"/>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9.</w:t>
            </w:r>
          </w:p>
        </w:tc>
        <w:tc>
          <w:tcPr>
            <w:tcW w:w="200" w:type="dxa"/>
            <w:vAlign w:val="bottom"/>
          </w:tcPr>
          <w:p>
            <w:pPr>
              <w:spacing w:after="0"/>
              <w:rPr>
                <w:sz w:val="19"/>
                <w:szCs w:val="19"/>
                <w:color w:val="auto"/>
              </w:rPr>
            </w:pPr>
          </w:p>
        </w:tc>
        <w:tc>
          <w:tcPr>
            <w:tcW w:w="7660" w:type="dxa"/>
            <w:vAlign w:val="bottom"/>
            <w:gridSpan w:val="21"/>
          </w:tcPr>
          <w:p>
            <w:pPr>
              <w:spacing w:after="0"/>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Changes in and Disagreements with Accountants on Accounting and Financial Disclosure</w:t>
              </w:r>
            </w:hyperlink>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9A.</w:t>
            </w:r>
          </w:p>
        </w:tc>
        <w:tc>
          <w:tcPr>
            <w:tcW w:w="200" w:type="dxa"/>
            <w:vAlign w:val="bottom"/>
          </w:tcPr>
          <w:p>
            <w:pPr>
              <w:spacing w:after="0"/>
              <w:rPr>
                <w:sz w:val="19"/>
                <w:szCs w:val="19"/>
                <w:color w:val="auto"/>
              </w:rPr>
            </w:pPr>
          </w:p>
        </w:tc>
        <w:tc>
          <w:tcPr>
            <w:tcW w:w="168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7"/>
                <w:szCs w:val="17"/>
                <w:color w:val="0000EE"/>
                <w:w w:val="99"/>
              </w:rPr>
            </w:pPr>
            <w:hyperlink w:anchor="page68">
              <w:r>
                <w:rPr>
                  <w:rFonts w:ascii="Times New Roman" w:cs="Times New Roman" w:eastAsia="Times New Roman" w:hAnsi="Times New Roman"/>
                  <w:sz w:val="17"/>
                  <w:szCs w:val="17"/>
                  <w:color w:val="0000EE"/>
                  <w:w w:val="99"/>
                </w:rPr>
                <w:t>Controls and Procedures</w:t>
              </w:r>
            </w:hyperlink>
          </w:p>
        </w:tc>
        <w:tc>
          <w:tcPr>
            <w:tcW w:w="4460" w:type="dxa"/>
            <w:vAlign w:val="bottom"/>
            <w:tcBorders>
              <w:top w:val="single" w:sz="8" w:color="0000EE"/>
            </w:tcBorders>
            <w:gridSpan w:val="10"/>
          </w:tcPr>
          <w:p>
            <w:pPr>
              <w:spacing w:after="0"/>
              <w:rPr>
                <w:sz w:val="19"/>
                <w:szCs w:val="19"/>
                <w:color w:val="auto"/>
              </w:rPr>
            </w:pPr>
          </w:p>
        </w:tc>
        <w:tc>
          <w:tcPr>
            <w:tcW w:w="1520" w:type="dxa"/>
            <w:vAlign w:val="bottom"/>
            <w:gridSpan w:val="2"/>
          </w:tcPr>
          <w:p>
            <w:pPr>
              <w:spacing w:after="0"/>
              <w:rPr>
                <w:sz w:val="19"/>
                <w:szCs w:val="19"/>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9B.</w:t>
            </w:r>
          </w:p>
        </w:tc>
        <w:tc>
          <w:tcPr>
            <w:tcW w:w="200" w:type="dxa"/>
            <w:vAlign w:val="bottom"/>
          </w:tcPr>
          <w:p>
            <w:pPr>
              <w:spacing w:after="0"/>
              <w:rPr>
                <w:sz w:val="19"/>
                <w:szCs w:val="19"/>
                <w:color w:val="auto"/>
              </w:rPr>
            </w:pPr>
          </w:p>
        </w:tc>
        <w:tc>
          <w:tcPr>
            <w:tcW w:w="7660" w:type="dxa"/>
            <w:vAlign w:val="bottom"/>
            <w:gridSpan w:val="21"/>
          </w:tcPr>
          <w:p>
            <w:pPr>
              <w:spacing w:after="0"/>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Other Information</w:t>
              </w:r>
            </w:hyperlink>
          </w:p>
        </w:tc>
      </w:tr>
      <w:tr>
        <w:trPr>
          <w:trHeight w:val="426"/>
        </w:trPr>
        <w:tc>
          <w:tcPr>
            <w:tcW w:w="640" w:type="dxa"/>
            <w:vAlign w:val="bottom"/>
            <w:tcBorders>
              <w:bottom w:val="single" w:sz="8" w:color="0000EE"/>
            </w:tcBorders>
            <w:gridSpan w:val="3"/>
          </w:tcPr>
          <w:p>
            <w:pPr>
              <w:spacing w:after="0"/>
              <w:rPr>
                <w:rFonts w:ascii="Times New Roman" w:cs="Times New Roman" w:eastAsia="Times New Roman" w:hAnsi="Times New Roman"/>
                <w:sz w:val="17"/>
                <w:szCs w:val="17"/>
                <w:color w:val="0000EE"/>
                <w:w w:val="95"/>
              </w:rPr>
            </w:pPr>
            <w:hyperlink w:anchor="page69">
              <w:r>
                <w:rPr>
                  <w:rFonts w:ascii="Times New Roman" w:cs="Times New Roman" w:eastAsia="Times New Roman" w:hAnsi="Times New Roman"/>
                  <w:sz w:val="17"/>
                  <w:szCs w:val="17"/>
                  <w:color w:val="0000EE"/>
                  <w:w w:val="95"/>
                </w:rPr>
                <w:t>PART III</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10.</w:t>
            </w:r>
          </w:p>
        </w:tc>
        <w:tc>
          <w:tcPr>
            <w:tcW w:w="200" w:type="dxa"/>
            <w:vAlign w:val="bottom"/>
          </w:tcPr>
          <w:p>
            <w:pPr>
              <w:spacing w:after="0"/>
              <w:rPr>
                <w:sz w:val="19"/>
                <w:szCs w:val="19"/>
                <w:color w:val="auto"/>
              </w:rPr>
            </w:pPr>
          </w:p>
        </w:tc>
        <w:tc>
          <w:tcPr>
            <w:tcW w:w="388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w w:val="99"/>
              </w:rPr>
            </w:pPr>
            <w:hyperlink w:anchor="page69">
              <w:r>
                <w:rPr>
                  <w:rFonts w:ascii="Times New Roman" w:cs="Times New Roman" w:eastAsia="Times New Roman" w:hAnsi="Times New Roman"/>
                  <w:sz w:val="17"/>
                  <w:szCs w:val="17"/>
                  <w:color w:val="0000EE"/>
                  <w:w w:val="99"/>
                </w:rPr>
                <w:t>Directors, Executive Officers and Corporate Governance</w:t>
              </w:r>
            </w:hyperlink>
          </w:p>
        </w:tc>
        <w:tc>
          <w:tcPr>
            <w:tcW w:w="3780" w:type="dxa"/>
            <w:vAlign w:val="bottom"/>
            <w:gridSpan w:val="6"/>
          </w:tcPr>
          <w:p>
            <w:pPr>
              <w:spacing w:after="0"/>
              <w:rPr>
                <w:sz w:val="19"/>
                <w:szCs w:val="19"/>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11.</w:t>
            </w:r>
          </w:p>
        </w:tc>
        <w:tc>
          <w:tcPr>
            <w:tcW w:w="200" w:type="dxa"/>
            <w:vAlign w:val="bottom"/>
          </w:tcPr>
          <w:p>
            <w:pPr>
              <w:spacing w:after="0"/>
              <w:rPr>
                <w:sz w:val="19"/>
                <w:szCs w:val="19"/>
                <w:color w:val="auto"/>
              </w:rPr>
            </w:pPr>
          </w:p>
        </w:tc>
        <w:tc>
          <w:tcPr>
            <w:tcW w:w="7660" w:type="dxa"/>
            <w:vAlign w:val="bottom"/>
            <w:gridSpan w:val="21"/>
          </w:tcPr>
          <w:p>
            <w:pPr>
              <w:spacing w:after="0"/>
              <w:rPr>
                <w:rFonts w:ascii="Times New Roman" w:cs="Times New Roman" w:eastAsia="Times New Roman" w:hAnsi="Times New Roman"/>
                <w:sz w:val="17"/>
                <w:szCs w:val="17"/>
                <w:color w:val="0000EE"/>
              </w:rPr>
            </w:pPr>
            <w:hyperlink w:anchor="page69">
              <w:r>
                <w:rPr>
                  <w:rFonts w:ascii="Times New Roman" w:cs="Times New Roman" w:eastAsia="Times New Roman" w:hAnsi="Times New Roman"/>
                  <w:sz w:val="17"/>
                  <w:szCs w:val="17"/>
                  <w:color w:val="0000EE"/>
                </w:rPr>
                <w:t>Executive Compensation</w:t>
              </w:r>
            </w:hyperlink>
          </w:p>
        </w:tc>
      </w:tr>
      <w:tr>
        <w:trPr>
          <w:trHeight w:val="20"/>
        </w:trPr>
        <w:tc>
          <w:tcPr>
            <w:tcW w:w="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12.</w:t>
            </w:r>
          </w:p>
        </w:tc>
        <w:tc>
          <w:tcPr>
            <w:tcW w:w="200" w:type="dxa"/>
            <w:vAlign w:val="bottom"/>
          </w:tcPr>
          <w:p>
            <w:pPr>
              <w:spacing w:after="0"/>
              <w:rPr>
                <w:sz w:val="19"/>
                <w:szCs w:val="19"/>
                <w:color w:val="auto"/>
              </w:rPr>
            </w:pPr>
          </w:p>
        </w:tc>
        <w:tc>
          <w:tcPr>
            <w:tcW w:w="6920" w:type="dxa"/>
            <w:vAlign w:val="bottom"/>
            <w:tcBorders>
              <w:bottom w:val="single" w:sz="8" w:color="0000EE"/>
            </w:tcBorders>
            <w:gridSpan w:val="20"/>
          </w:tcPr>
          <w:p>
            <w:pPr>
              <w:spacing w:after="0"/>
              <w:rPr>
                <w:rFonts w:ascii="Times New Roman" w:cs="Times New Roman" w:eastAsia="Times New Roman" w:hAnsi="Times New Roman"/>
                <w:sz w:val="17"/>
                <w:szCs w:val="17"/>
                <w:color w:val="0000EE"/>
              </w:rPr>
            </w:pPr>
            <w:hyperlink w:anchor="page69">
              <w:r>
                <w:rPr>
                  <w:rFonts w:ascii="Times New Roman" w:cs="Times New Roman" w:eastAsia="Times New Roman" w:hAnsi="Times New Roman"/>
                  <w:sz w:val="17"/>
                  <w:szCs w:val="17"/>
                  <w:color w:val="0000EE"/>
                </w:rPr>
                <w:t>Security Ownership of Certain Beneficial Owners and Management and Related Stockholder Matters</w:t>
              </w:r>
            </w:hyperlink>
          </w:p>
        </w:tc>
        <w:tc>
          <w:tcPr>
            <w:tcW w:w="740" w:type="dxa"/>
            <w:vAlign w:val="bottom"/>
          </w:tcPr>
          <w:p>
            <w:pPr>
              <w:spacing w:after="0"/>
              <w:rPr>
                <w:sz w:val="19"/>
                <w:szCs w:val="19"/>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13.</w:t>
            </w:r>
          </w:p>
        </w:tc>
        <w:tc>
          <w:tcPr>
            <w:tcW w:w="200" w:type="dxa"/>
            <w:vAlign w:val="bottom"/>
          </w:tcPr>
          <w:p>
            <w:pPr>
              <w:spacing w:after="0"/>
              <w:rPr>
                <w:sz w:val="19"/>
                <w:szCs w:val="19"/>
                <w:color w:val="auto"/>
              </w:rPr>
            </w:pPr>
          </w:p>
        </w:tc>
        <w:tc>
          <w:tcPr>
            <w:tcW w:w="7660" w:type="dxa"/>
            <w:vAlign w:val="bottom"/>
            <w:gridSpan w:val="21"/>
          </w:tcPr>
          <w:p>
            <w:pPr>
              <w:spacing w:after="0"/>
              <w:rPr>
                <w:rFonts w:ascii="Times New Roman" w:cs="Times New Roman" w:eastAsia="Times New Roman" w:hAnsi="Times New Roman"/>
                <w:sz w:val="17"/>
                <w:szCs w:val="17"/>
                <w:color w:val="0000EE"/>
              </w:rPr>
            </w:pPr>
            <w:hyperlink w:anchor="page69">
              <w:r>
                <w:rPr>
                  <w:rFonts w:ascii="Times New Roman" w:cs="Times New Roman" w:eastAsia="Times New Roman" w:hAnsi="Times New Roman"/>
                  <w:sz w:val="17"/>
                  <w:szCs w:val="17"/>
                  <w:color w:val="0000EE"/>
                </w:rPr>
                <w:t>Certain Relationships and Related Transactions, and Director Independence</w:t>
              </w:r>
            </w:hyperlink>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14.</w:t>
            </w:r>
          </w:p>
        </w:tc>
        <w:tc>
          <w:tcPr>
            <w:tcW w:w="200" w:type="dxa"/>
            <w:vAlign w:val="bottom"/>
          </w:tcPr>
          <w:p>
            <w:pPr>
              <w:spacing w:after="0"/>
              <w:rPr>
                <w:sz w:val="19"/>
                <w:szCs w:val="19"/>
                <w:color w:val="auto"/>
              </w:rPr>
            </w:pPr>
          </w:p>
        </w:tc>
        <w:tc>
          <w:tcPr>
            <w:tcW w:w="5160" w:type="dxa"/>
            <w:vAlign w:val="bottom"/>
            <w:tcBorders>
              <w:top w:val="single" w:sz="8" w:color="0000EE"/>
            </w:tcBorders>
            <w:gridSpan w:val="17"/>
          </w:tcPr>
          <w:p>
            <w:pPr>
              <w:spacing w:after="0"/>
              <w:rPr>
                <w:rFonts w:ascii="Times New Roman" w:cs="Times New Roman" w:eastAsia="Times New Roman" w:hAnsi="Times New Roman"/>
                <w:sz w:val="17"/>
                <w:szCs w:val="17"/>
                <w:color w:val="0000EE"/>
              </w:rPr>
            </w:pPr>
            <w:hyperlink w:anchor="page69">
              <w:r>
                <w:rPr>
                  <w:rFonts w:ascii="Times New Roman" w:cs="Times New Roman" w:eastAsia="Times New Roman" w:hAnsi="Times New Roman"/>
                  <w:sz w:val="17"/>
                  <w:szCs w:val="17"/>
                  <w:color w:val="0000EE"/>
                </w:rPr>
                <w:t>Principal Accounting Fees and Services</w:t>
              </w:r>
            </w:hyperlink>
          </w:p>
        </w:tc>
        <w:tc>
          <w:tcPr>
            <w:tcW w:w="2500" w:type="dxa"/>
            <w:vAlign w:val="bottom"/>
            <w:gridSpan w:val="4"/>
          </w:tcPr>
          <w:p>
            <w:pPr>
              <w:spacing w:after="0"/>
              <w:rPr>
                <w:sz w:val="19"/>
                <w:szCs w:val="19"/>
                <w:color w:val="auto"/>
              </w:rPr>
            </w:pPr>
          </w:p>
        </w:tc>
      </w:tr>
      <w:tr>
        <w:trPr>
          <w:trHeight w:val="426"/>
        </w:trPr>
        <w:tc>
          <w:tcPr>
            <w:tcW w:w="640" w:type="dxa"/>
            <w:vAlign w:val="bottom"/>
            <w:tcBorders>
              <w:bottom w:val="single" w:sz="8" w:color="0000EE"/>
            </w:tcBorders>
            <w:gridSpan w:val="3"/>
          </w:tcPr>
          <w:p>
            <w:pPr>
              <w:spacing w:after="0"/>
              <w:rPr>
                <w:rFonts w:ascii="Times New Roman" w:cs="Times New Roman" w:eastAsia="Times New Roman" w:hAnsi="Times New Roman"/>
                <w:sz w:val="17"/>
                <w:szCs w:val="17"/>
                <w:color w:val="0000EE"/>
                <w:w w:val="94"/>
              </w:rPr>
            </w:pPr>
            <w:hyperlink w:anchor="page70">
              <w:r>
                <w:rPr>
                  <w:rFonts w:ascii="Times New Roman" w:cs="Times New Roman" w:eastAsia="Times New Roman" w:hAnsi="Times New Roman"/>
                  <w:sz w:val="17"/>
                  <w:szCs w:val="17"/>
                  <w:color w:val="0000EE"/>
                  <w:w w:val="94"/>
                </w:rPr>
                <w:t>PART IV</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15.</w:t>
            </w:r>
          </w:p>
        </w:tc>
        <w:tc>
          <w:tcPr>
            <w:tcW w:w="200" w:type="dxa"/>
            <w:vAlign w:val="bottom"/>
          </w:tcPr>
          <w:p>
            <w:pPr>
              <w:spacing w:after="0"/>
              <w:rPr>
                <w:sz w:val="19"/>
                <w:szCs w:val="19"/>
                <w:color w:val="auto"/>
              </w:rPr>
            </w:pPr>
          </w:p>
        </w:tc>
        <w:tc>
          <w:tcPr>
            <w:tcW w:w="7660" w:type="dxa"/>
            <w:vAlign w:val="bottom"/>
            <w:gridSpan w:val="21"/>
          </w:tcPr>
          <w:p>
            <w:pPr>
              <w:spacing w:after="0"/>
              <w:rPr>
                <w:rFonts w:ascii="Times New Roman" w:cs="Times New Roman" w:eastAsia="Times New Roman" w:hAnsi="Times New Roman"/>
                <w:sz w:val="17"/>
                <w:szCs w:val="17"/>
                <w:color w:val="0000EE"/>
              </w:rPr>
            </w:pPr>
            <w:hyperlink w:anchor="page70">
              <w:r>
                <w:rPr>
                  <w:rFonts w:ascii="Times New Roman" w:cs="Times New Roman" w:eastAsia="Times New Roman" w:hAnsi="Times New Roman"/>
                  <w:sz w:val="17"/>
                  <w:szCs w:val="17"/>
                  <w:color w:val="0000EE"/>
                </w:rPr>
                <w:t>Exhibits, Financial Statement Schedules</w:t>
              </w:r>
            </w:hyperlink>
          </w:p>
        </w:tc>
      </w:tr>
      <w:tr>
        <w:trPr>
          <w:trHeight w:val="223"/>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16.</w:t>
            </w:r>
          </w:p>
        </w:tc>
        <w:tc>
          <w:tcPr>
            <w:tcW w:w="200" w:type="dxa"/>
            <w:vAlign w:val="bottom"/>
          </w:tcPr>
          <w:p>
            <w:pPr>
              <w:spacing w:after="0"/>
              <w:rPr>
                <w:sz w:val="19"/>
                <w:szCs w:val="19"/>
                <w:color w:val="auto"/>
              </w:rPr>
            </w:pPr>
          </w:p>
        </w:tc>
        <w:tc>
          <w:tcPr>
            <w:tcW w:w="2740" w:type="dxa"/>
            <w:vAlign w:val="bottom"/>
            <w:tcBorders>
              <w:top w:val="single" w:sz="8" w:color="0000EE"/>
            </w:tcBorders>
            <w:gridSpan w:val="13"/>
          </w:tcPr>
          <w:p>
            <w:pPr>
              <w:spacing w:after="0"/>
              <w:rPr>
                <w:rFonts w:ascii="Times New Roman" w:cs="Times New Roman" w:eastAsia="Times New Roman" w:hAnsi="Times New Roman"/>
                <w:sz w:val="17"/>
                <w:szCs w:val="17"/>
                <w:color w:val="0000EE"/>
              </w:rPr>
            </w:pPr>
            <w:hyperlink w:anchor="page71">
              <w:r>
                <w:rPr>
                  <w:rFonts w:ascii="Times New Roman" w:cs="Times New Roman" w:eastAsia="Times New Roman" w:hAnsi="Times New Roman"/>
                  <w:sz w:val="17"/>
                  <w:szCs w:val="17"/>
                  <w:color w:val="0000EE"/>
                </w:rPr>
                <w:t>Form 10-K Summary</w:t>
              </w:r>
            </w:hyperlink>
          </w:p>
        </w:tc>
        <w:tc>
          <w:tcPr>
            <w:tcW w:w="4920" w:type="dxa"/>
            <w:vAlign w:val="bottom"/>
            <w:gridSpan w:val="8"/>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7"/>
                <w:szCs w:val="17"/>
                <w:color w:val="0000EE"/>
                <w:w w:val="97"/>
              </w:rPr>
            </w:pPr>
            <w:hyperlink w:anchor="page72">
              <w:r>
                <w:rPr>
                  <w:rFonts w:ascii="Times New Roman" w:cs="Times New Roman" w:eastAsia="Times New Roman" w:hAnsi="Times New Roman"/>
                  <w:sz w:val="17"/>
                  <w:szCs w:val="17"/>
                  <w:color w:val="0000EE"/>
                  <w:w w:val="97"/>
                </w:rPr>
                <w:t>Signatures</w:t>
              </w:r>
            </w:hyperlink>
          </w:p>
        </w:tc>
        <w:tc>
          <w:tcPr>
            <w:tcW w:w="740" w:type="dxa"/>
            <w:vAlign w:val="bottom"/>
            <w:tcBorders>
              <w:top w:val="single" w:sz="8" w:color="0000EE"/>
            </w:tcBorders>
            <w:gridSpan w:val="4"/>
          </w:tcPr>
          <w:p>
            <w:pPr>
              <w:spacing w:after="0"/>
              <w:rPr>
                <w:sz w:val="19"/>
                <w:szCs w:val="19"/>
                <w:color w:val="auto"/>
              </w:rPr>
            </w:pPr>
          </w:p>
        </w:tc>
        <w:tc>
          <w:tcPr>
            <w:tcW w:w="6200" w:type="dxa"/>
            <w:vAlign w:val="bottom"/>
            <w:gridSpan w:val="14"/>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7620</wp:posOffset>
            </wp:positionV>
            <wp:extent cx="420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21</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21</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21</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21</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22</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24</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24</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37</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38</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66</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66</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66</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67</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67</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67</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67</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67</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68</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69</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2">
            <w:col w:w="10220" w:space="720"/>
            <w:col w:w="480"/>
          </w:cols>
          <w:pgMar w:left="240" w:top="262" w:right="239" w:bottom="1440" w:gutter="0" w:footer="0" w:header="0"/>
        </w:sectPr>
      </w:pPr>
    </w:p>
    <w:bookmarkStart w:id="2" w:name="page3"/>
    <w:bookmarkEnd w:id="2"/>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8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0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Forward-looking statements involve known and unknown risks, uncertainties, and other factors that may cause our actual results, performance, or achievements to be materially different from future results, performance, or achievements expressed or implied by the forward-looking statements included herein.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or reflect events or circumstances after the date of this document.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HISTORY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HealthStream, Inc. (HealthStream or the Company) provides workforce and provider solutions for healthcare organizations—all designed to support the people that deliver patient care, which in turn, supports the improvement of business and clinical outcomes. Delivered primarily as Software-as-a-Service (SaaS), our solutions focus on some of the most significant challenges facing the healthcare workforce and healthcare organizations today, including the need to effectively manage, retain, engage, and develop healthcare workforce talent; meet rigorous compliance requirements; and efficiently manage ongoing medical staff credentialing and privileging processes.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February 12, 2018, the Company divested its Patient Experience (PX) business to Press Ganey Associates (Press Ganey) for $65.2 million in cash (after giving effect to the post-closing working capital adjustment). This sale of the PX business resulted in the divestiture of the Company’s patient experience solutions business segment.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With 29 years of experience, HealthStream is recognized as a leading innovator and thought leader in the healthcare industry for its healthcare workforce solutions. Using technology to enhance learning and productivity, HealthStream pioneered the delivery of online learning for hospitals’ required regulatory training as Internet-based training was first introduced. Stemming from that early success, demand for expanded learning solutions led the Company to build what is now a full eco-system of diverse workforce and clinical-focused applications, courseware, assessments, and talent management programs. At year-end 2018, with approximately 4.93 million healthcare professionals subscribing to HealthStream’s platform through their respective organizations, HealthStream is a leading provider in workforce development in the healthcare industry.</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HealthStream believes that the key to quality patient care is—and always has been—the people who deliver care. To that end, the Company’s solutions support the recruiting, retaining, engaging, assessing, and developing of the healthcare workforce, including medical staff who provide patient care in our customers’ organizations.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Headquartered in Nashville, Tennessee, the Company was incorporated in 1990 and began providing its SaaS-based workforce solutions in 1999 and its provider solutions in 2012. Including additional offices in Nashville, Tennessee; Jericho, New York; Brentwood, Tennessee; San Diego, California; Chicago, Illinois; and Boulder, Colorado, HealthStream had 757 full-time and 33 part-time employees as of December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According to the Centers for Medicare &amp; Medicaid Services (CMS), spending in the healthcare industry reached approximately $3.5 trillion in 2017, or 17.9% of the U.S. gross domestic product. Hospital care expenditures accounted for approximately 30.6% of the $3.5 trillion industry. According to the Bureau of Labor Statistics, approximately 20.1 million professionals are employed in the healthcare segment of the domestic economy, with approximately 5.2 million employed in acute-care hospitals and, according to CMS, approximately 5.3 million employed in healthcare organizations throughout the continuum of care, our primary target markets for our products. (Organizations in the continuum of care include approximately 1.5 million employees in ambulatory centers, approximately 3.5 million employees in post-acute care facilities, and approximately 300,000 employees in health &amp; human services facilities.) As of December 31, 2018, approximately 4.93 million healthcare professionals were subscribers to our SaaS-based solutions, which include 4.82 million subscribers already implemented and 110,000 subscribers in the process of implementation.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All of the approximately 5.2 million hospital-based healthcare professionals that work in the nation’s approximately 5,000 acute-care hospitals are required by federal and state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(HIPAA).</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hospitals, staffing issues and personnel shortages have also contributed to the need for facility-based workforce development as well as additional assessment and competency-based training. An ongoing nursing shortage, for example, is resulting in skill gaps and rising costs. The U.S. Bureau of Labor Statistics projects the need for 525,000 replacement nurses over the next several years, bringing the total number of openings for nurses due to growth and replacements to 1.05 million by 2022. We believe that offering training and education for hospital personnel is increasingly being utilized as a retention and recruitment incentive.</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Many healthcare professionals use continuing education to keep abreast of the latest developments and meet licensing and certification requirements. Continuing education is required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healthcare education and training industry is highly fragmented, varies significantly in delivery methods (i.e., online products, live events, written materials, and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In addition,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 traditional methods, both from a business and compliance standpoint, are difficult to track and measure.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Provider data management has become more complex and arduous for healthcare organizations. Spurred by The Joint Commission Medical Staff standards and other regulatory requirements, credentialing and privileging has been transformed from a periodic review to continuous, evidence-driven analysis of professional competency and provider performance. This transformation requires ongoing, automatic monitoring of licenses, sanctions, and exclusions, as well as expanding the scope of review at initial credentialing and re-credentialing. In addition, provider enrollment processes have compounded in difficulty. For example, a single provider may need to enroll annually with some 30 to 40 payers, with each payer application often taking two to four hours to complete.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HEALTHSTREAM’S SOLUTIONS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During the year ended December 31, 2018, HealthStream’s products, services, and operations were organized into two business segments—Workforce Solutions and Provider Solutions—that collectively help healthcare organizations meet their ongoing clinical development, talent management, training, education, assessment, competency management, compliance, provider credentialing &amp; privileging management, and provider enrollment needs. HealthStream’s solutions are provided to a wide range of customers within the healthcare industry across the spectrum of care.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February 12, 2018, the Company divested its PX business to Press Ganey for $65.2 million in cash (after giving effect to the post-closing working capital adjustment). This sale of the PX business resulted in the divestiture of the Company’s patient experience solutions segment.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HealthStream Workforce Solutions </w:t>
      </w:r>
      <w:r>
        <w:rPr>
          <w:rFonts w:ascii="Times New Roman" w:cs="Times New Roman" w:eastAsia="Times New Roman" w:hAnsi="Times New Roman"/>
          <w:sz w:val="17"/>
          <w:szCs w:val="17"/>
          <w:color w:val="auto"/>
        </w:rPr>
        <w:t>— Our workforce development solutions, which are comprised primarily of SaaS, subscription-based products, are used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healthcare organizations to meet a broad range of their clinical development, talent management, training, certification, competency assessment, performance appraisal, and additional needs. Our numerous content libraries allow customers to subscribe to a wide array of courseware, which includes content from leading healthcare and nursing associations, medical and healthcare publishers, and other content providers. Additionally, medical device companies and other industry partners offer online training support through HealthStream’s platform for their products, and they sponsor continuing education directly to healthcare workers.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At December 31, 2018, HealthStream had approximately 4.93 million “total subscribers” to its subscription-based solutions. Each individual end-user who utilizes at least one HealthStream subscription-based solution is counted as one subscriber, regardless of the number of subscriptions contracted by or for that end-user. Our subscription-based solutions include any one or a combination of our many platform applications, plus courseware, or content. For example, we deliver courseware to our customers primarily through our learning application, the HealthStream Learning Center™ (HLC), while we deliver competency management and performance appraisal tools through our applications known as the HealthStream Competency Center (HCC) and HealthStream Performance Center (HPC), respectively, which are all on our SaaS-based platform, along with a series of other applications. Not included in this “total subscriber count” are subscribers to our Provider Solutions products.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are retiring the metrics of “implemented and total subscribers” after December 31, 2018 as these metrics do not span our entire business. Effective as of December 31, 2018, we are introducing a new measure of our progress in growing the value of our customer base, “hStream subscriptions.” As of December 31, 2018, we had approximately 1.51 million hStream subscriptions under contract. Our new hStream technologies represent the beginning of our “platform-as-a-service” capabilities, which will, over time, span our entire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Pricing for the HLC, HCC, HPC, and hStream is subscription-based, with fees based on the number of subscribers, courseware provided, and other factors. We offer training, implementation, and account management services to facilitate adoption of our subscription-based solutions. Fees for training are based on the time and efforts of the personnel involved. Implementation fees vary based on the size, scope, and complexity of the project. Our SaaS-based platform and subscription-based solutions are hosted in a central data center that allows authorized subscribers access to our services through the Internet, thereby eliminating the need for onsite local implementations of installed workforce development products.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Other Applications on our Platform </w:t>
      </w:r>
      <w:r>
        <w:rPr>
          <w:rFonts w:ascii="Times New Roman" w:cs="Times New Roman" w:eastAsia="Times New Roman" w:hAnsi="Times New Roman"/>
          <w:sz w:val="17"/>
          <w:szCs w:val="17"/>
          <w:color w:val="auto"/>
        </w:rPr>
        <w:t>— HealthStream offers an array of other applications on our platform, each serving a unique function for hospitals and health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systems. Each application on our platform has its own value. Examples of individual applications that are offered on our platform include applications for recruiting and applicant tracking; learning; performance appraisal; compensation management; succession planning; competency management; disclosure management; clinical development; simulation-based education; and industry-sponsored training.</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HealthStream Provider Solutions </w:t>
      </w:r>
      <w:r>
        <w:rPr>
          <w:rFonts w:ascii="Times New Roman" w:cs="Times New Roman" w:eastAsia="Times New Roman" w:hAnsi="Times New Roman"/>
          <w:sz w:val="17"/>
          <w:szCs w:val="17"/>
          <w:color w:val="auto"/>
        </w:rPr>
        <w:t>– Our provider solutions are offered through our business segment that is branded in the marketplace as “Verity, a HealthStream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Verity, a HealthStream Company, delivers enterprise-class solutions to transform the healthcare provider experience for healthcare organizations and providers. We currently serve approximately 2,400 hospitals and 1,000 clinics, medical groups, and surgery centers in the United States. Verity, a HealthStream Company, resulted from the combination of Echo, Inc. and Morrisey Associates, Inc. (MAI), representing over 75 years of industry experience, to become a leading company delivering solutions for credentialing, enrollment, privileging, onboarding, and performance evaluation for providers. As of December 31, 2018, Verity, a HealthStream Company, had 235 employees spanning headquarters in Boulder, Colorado with satellite offices in San Diego, California, Brentwood, Tennessee, and Chicago, Illinois.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legacy products include EchoCredentialing™ and MSOW™, comprehensive platforms that manage medical staff credentialing and privileging processes for hospitals; EchoOneApp™, a provider enrollment platform for medical groups, which includes automatic form population directly from a continuously updated library of more than 5,000 preformatted payer form templates as well as online form integration with Council for Affordable Quality Healthcare (CAQH), CMS’ Provider Enrollment, Chain and Ownership System (PECOS); and EchoAccess™, our enterprise class platform to support hospital call centers with physician referral and provider directories functionalities.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January 2018, we announced the launch of our SaaS-based provider credentialing, privileging, and enrollment solution, Verity. Verity includes an intuitive, modern user experience; embedded, validated provider data; and evidence-based and best practice content. Further, Verity provides a single infrastructure supporting the entire provider lifecycle, from recruiting, application submission, validation tasks, privileging, appointments by credentialing committees, enrollment, contracting, onboarding, and performance management. As of December 31, 2018, more than two dozen healthcare organizations have contracted for Verity.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ACQUISITIONS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acquired Performance Management Services, Inc. in June 2016, acquired the remaining ownership interest in Nursing Registry Consultants Corporation in July 2016, acquired MAI in August 2016, and acquired Providigm, LLC in January 2019. For additional information regarding acquisitions, please see Note 18 of the Consolidated Financial Statements and Item 7, “Management’s Discussion and Analysis of Financial Condition and Results of Operations,”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provide our solutions to customers across a broad range of entities within the healthcare industry, including private, not-for-profit, and government entities, as well as pharmaceutical and medical device companies. We derive a substantial portion of our revenues from a relatively small number of customers, although no single customer represented more than 10 percent of our revenues during 2018, 2017, or 2016. Customers that have purchased or contracted for products and services from HealthStream include: CHRISTUS Health; Saint Luke’s Health System; HCA Holdings, Inc.; Community Health Systems, Inc.; McLaren Health Care Corporation; and Sutter Health.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market our products and services primarily through our direct sales teams, which are based out of our various office locations as well as remote home office locations. As of December 31, 2018, our HealthStream Workforce Solutions sales personnel consisted of 119 employees who carried sales quotas, and our Provider Solutions sales personnel consisted of 33 employees who carried sales quotas.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conduct a variety of marketing programs to promote our products and services, including product catalogs, user groups, trade shows, internet promotion and demonstrations, telemarketing campaigns, public relations, distribution of product-specific literature, direct mail, and advertising. We have marketing teams that are responsible for these initiatives and for working with and supporting our product management and sales teams. At December 31, 2018, our marketing personnel consisted of 38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OPERATIONS AND TECHNOLOGY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believe our ability to establish and maintain long-term customer relationships, obtain recurring sales, and develop and maintain new and existing products are dependent on the strength of our operations, customer service, product development and maintenance, training, and other support teams. As of December 31, 2018, our Workforce Solutions operations team consisted of 319 employees associated with customer support, implementation services, product development and quality assurance, training, and project management; and our Provider Solutions operations team consisted of 194 employees associated with implementation services, data integration, product development and quality assurance, credentials verification, consulting, and other functions.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services are designed to be reliable, secure, and scalable. Our software is a combination of proprietary and commercially available software and operating systems. Our software solutions support hosting and management of content, publication of our websites, execution of courseware, registration and tracking of users, tracking and reporting of physician credentialing and provider enrollment information,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software applications, servers, and network infrastructure that deliver our services are hosted by a combination of third-party data center providers, HealthStream-owned data centers, and cloud-based infrastructure. We maintain fully redundant disaster recovery data centers which are located in geographically separate locations. Our technology equipment is maintained in secure, limited access environments, supported by redundant power, environmental conditioning, and network connectivity, and we follow industry best practices for backup and disaster recovery. Company personnel monitor all servers, networks, and systems on a continuous basis, and we employ enterprise firewall systems and data abstraction to protect our databases, customer information, and courseware library from unauthorized access.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addition to the competing healthcare education delivery methods in the industry, we also have direct competitors. In our Workforce Solutions business segment, a number of companies offer competitive learning management products and talent management modules to the healthcare industry. We compete with companies such as Cornerstone OnDemand, Healthcare Source, SABA, Oracle, SAP, and Workday that provide their services to multiple industries, including healthcare. We also compete with large medical publishers that have operating units that focus on healthcare, such as Wolters Kluwer and Relias Learning, which is owned by Bertelsmann. In our Provider Solutions business segment, we have competition primarily from several large companies, such as Symplr and MD-Staff.</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believe our Workforce Solutions, which include both products and services that facilitate training, assessment, and development for healthcare professionals, offer a wide assortment of courseware, functionality, and applications provided on a single platform over the Internet and provide us with a competitive advantage. In our Provider Solutions business segment, we believe the scope and quality of our products, capability to connect medical staff credentialing with provider enrollment, and innovative new predictive analytics, provide us with a competitive advantage. We believe that the principal competitive factors affecting the marketing of our Workforce and Provider Solutions to the healthcare industry include:</w:t>
      </w:r>
    </w:p>
    <w:p>
      <w:pPr>
        <w:spacing w:after="0" w:line="78" w:lineRule="exact"/>
        <w:rPr>
          <w:sz w:val="20"/>
          <w:szCs w:val="20"/>
          <w:color w:val="auto"/>
        </w:rPr>
      </w:pPr>
    </w:p>
    <w:p>
      <w:pPr>
        <w:jc w:val="both"/>
        <w:ind w:left="1200" w:hanging="598"/>
        <w:spacing w:after="0" w:line="265"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of our SaaS-based platform and applications, including reporting, management functionality, ability to manage a variety of events or modalities, courseware assignment, curriculum management, documenting competency assessments and performance appraisals, scalability, and the ability to track utilization and results;</w:t>
      </w:r>
    </w:p>
    <w:p>
      <w:pPr>
        <w:spacing w:after="0" w:line="68" w:lineRule="exact"/>
        <w:rPr>
          <w:rFonts w:ascii="Times New Roman" w:cs="Times New Roman" w:eastAsia="Times New Roman" w:hAnsi="Times New Roman"/>
          <w:sz w:val="17"/>
          <w:szCs w:val="17"/>
          <w:color w:val="auto"/>
        </w:rPr>
      </w:pPr>
    </w:p>
    <w:p>
      <w:pPr>
        <w:jc w:val="both"/>
        <w:ind w:left="1200" w:hanging="598"/>
        <w:spacing w:after="0" w:line="265"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scope and variety of Internet-based learning courseware available, including mandated content for OSHA, The Joint Commission, patient safety, and HIPAA requirements; competency-based content; courseware scenarios that drive simulators; courseware that provides CPR certification; and the ability of our customers to create and host their own web-enabled courseware;</w:t>
      </w:r>
    </w:p>
    <w:p>
      <w:pPr>
        <w:spacing w:after="0" w:line="68"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singular focus on the healthcare industry and our deep healthcare expertise;</w:t>
      </w:r>
    </w:p>
    <w:p>
      <w:pPr>
        <w:spacing w:after="0" w:line="115"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scope and quality of professional services offered, including implementation, benchmarking, and training;</w:t>
      </w:r>
    </w:p>
    <w:p>
      <w:pPr>
        <w:spacing w:after="0" w:line="115"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pricing, which supports a return on investment to customers when compared to other alternative delivery methods;</w:t>
      </w:r>
    </w:p>
    <w:p>
      <w:pPr>
        <w:spacing w:after="0" w:line="115"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service and support;</w:t>
      </w:r>
    </w:p>
    <w:p>
      <w:pPr>
        <w:spacing w:after="0" w:line="115"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of sales and marketing efforts; and</w:t>
      </w:r>
    </w:p>
    <w:p>
      <w:pPr>
        <w:spacing w:after="0" w:line="115"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reputation.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these capabilities provide us with the ability to improve the quality of healthcare by assessing and developing the people who deliver care.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 OF THE INTERNET AND THE HEALTHCARE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of the Internet and the Privacy and Security of Personal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laws and regulations that govern our business may change rapidly. The following are some of the evolving areas of law that are relevant to our business:</w:t>
      </w:r>
    </w:p>
    <w:p>
      <w:pPr>
        <w:spacing w:after="0" w:line="93" w:lineRule="exact"/>
        <w:rPr>
          <w:sz w:val="20"/>
          <w:szCs w:val="20"/>
          <w:color w:val="auto"/>
        </w:rPr>
      </w:pPr>
    </w:p>
    <w:p>
      <w:pPr>
        <w:jc w:val="both"/>
        <w:ind w:left="1200" w:hanging="598"/>
        <w:spacing w:after="0" w:line="261" w:lineRule="auto"/>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Privacy and Security Laws. </w:t>
      </w:r>
      <w:r>
        <w:rPr>
          <w:rFonts w:ascii="Times New Roman" w:cs="Times New Roman" w:eastAsia="Times New Roman" w:hAnsi="Times New Roman"/>
          <w:sz w:val="17"/>
          <w:szCs w:val="17"/>
          <w:color w:val="auto"/>
        </w:rPr>
        <w:t>Federal, state, and foreign privacy and security laws and regulations restricting the collection, use, security,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of personal information limit our ability to collect information or use and disclose the information in our databases or derived from other sources to generate revenues. It may be costly to implement security or other measures designed to comply with new legislation or changes to existing laws.</w:t>
      </w:r>
    </w:p>
    <w:p>
      <w:pPr>
        <w:spacing w:after="0" w:line="68" w:lineRule="exact"/>
        <w:rPr>
          <w:rFonts w:ascii="Times New Roman" w:cs="Times New Roman" w:eastAsia="Times New Roman" w:hAnsi="Times New Roman"/>
          <w:sz w:val="17"/>
          <w:szCs w:val="17"/>
          <w:color w:val="auto"/>
        </w:rPr>
      </w:pPr>
    </w:p>
    <w:p>
      <w:pPr>
        <w:jc w:val="both"/>
        <w:ind w:left="1200" w:hanging="598"/>
        <w:spacing w:after="0" w:line="267" w:lineRule="auto"/>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Content Regulation. </w:t>
      </w:r>
      <w:r>
        <w:rPr>
          <w:rFonts w:ascii="Times New Roman" w:cs="Times New Roman" w:eastAsia="Times New Roman" w:hAnsi="Times New Roman"/>
          <w:sz w:val="17"/>
          <w:szCs w:val="17"/>
          <w:color w:val="auto"/>
        </w:rPr>
        <w:t>Both foreign and domestic governments have adopted and proposed laws governing content and materials transmitted over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Internet. These include laws relating to obscenity, indecency, libel and defamation. We could be liable if content created, stored, or delivered by us is determined to be in violation of these regulations.</w:t>
      </w:r>
    </w:p>
    <w:p>
      <w:pPr>
        <w:spacing w:after="0" w:line="63" w:lineRule="exact"/>
        <w:rPr>
          <w:rFonts w:ascii="Times New Roman" w:cs="Times New Roman" w:eastAsia="Times New Roman" w:hAnsi="Times New Roman"/>
          <w:sz w:val="17"/>
          <w:szCs w:val="17"/>
          <w:color w:val="auto"/>
        </w:rPr>
      </w:pPr>
    </w:p>
    <w:p>
      <w:pPr>
        <w:jc w:val="both"/>
        <w:ind w:left="1200" w:hanging="598"/>
        <w:spacing w:after="0" w:line="261" w:lineRule="auto"/>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Information Security Accountability Regulation. </w:t>
      </w:r>
      <w:r>
        <w:rPr>
          <w:rFonts w:ascii="Times New Roman" w:cs="Times New Roman" w:eastAsia="Times New Roman" w:hAnsi="Times New Roman"/>
          <w:sz w:val="17"/>
          <w:szCs w:val="17"/>
          <w:color w:val="auto"/>
        </w:rPr>
        <w:t>As a business associate of certain of our customers, we are required to report certain breaches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protected health information to our customers, which must in turn notify affected individuals, the U.S. Department of Health and Human Services (HHS) and/or other governmental agencies, and, in certain situations, the media. In addition, we are subject to certain state laws that relate to privacy or the reporting of security breaches. For example, California law requires notification of security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99" w:lineRule="exact"/>
        <w:rPr>
          <w:sz w:val="20"/>
          <w:szCs w:val="20"/>
          <w:color w:val="auto"/>
        </w:rPr>
      </w:pPr>
    </w:p>
    <w:p>
      <w:pPr>
        <w:jc w:val="both"/>
        <w:ind w:left="1200"/>
        <w:spacing w:after="0" w:line="256" w:lineRule="auto"/>
        <w:rPr>
          <w:sz w:val="20"/>
          <w:szCs w:val="20"/>
          <w:color w:val="auto"/>
        </w:rPr>
      </w:pPr>
      <w:r>
        <w:rPr>
          <w:rFonts w:ascii="Times New Roman" w:cs="Times New Roman" w:eastAsia="Times New Roman" w:hAnsi="Times New Roman"/>
          <w:sz w:val="17"/>
          <w:szCs w:val="17"/>
          <w:color w:val="auto"/>
        </w:rPr>
        <w:t>breaches involving personal information and medical information. We may incur costs to comply with these privacy and security requirements. Because there is little guidance related to many of these laws, it is difficult to estimate the cost of our compliance with these laws. Further, Congress has considered bills that would require companies to engage independent third parties to audit the companies’ computer information security. If the Company is required to report a breach of security or if one of the Company’s customers is required to report a breach of security by the Company, the Company’s business could be negatively impacted.</w:t>
      </w:r>
    </w:p>
    <w:p>
      <w:pPr>
        <w:spacing w:after="0" w:line="74" w:lineRule="exact"/>
        <w:rPr>
          <w:sz w:val="20"/>
          <w:szCs w:val="20"/>
          <w:color w:val="auto"/>
        </w:rPr>
      </w:pPr>
    </w:p>
    <w:p>
      <w:pPr>
        <w:jc w:val="both"/>
        <w:ind w:left="1200" w:hanging="598"/>
        <w:spacing w:after="0" w:line="261" w:lineRule="auto"/>
        <w:tabs>
          <w:tab w:leader="none" w:pos="12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Sales and Use Tax. </w:t>
      </w:r>
      <w:r>
        <w:rPr>
          <w:rFonts w:ascii="Times New Roman" w:cs="Times New Roman" w:eastAsia="Times New Roman" w:hAnsi="Times New Roman"/>
          <w:sz w:val="17"/>
          <w:szCs w:val="17"/>
          <w:color w:val="auto"/>
        </w:rPr>
        <w:t>Through December 31, 2018, we collected sales, use, or other taxes on taxable transactions in states in which we have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have a significant level of sales activity. While HealthStream believes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realize profit from the sale of our services over the Internet.</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Laws and regulations directly applicable to content regulation, e-commerce, Internet communications, and the privacy and security of personal information are becoming more prevalent. Congress continues to consider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of Education, Training, and Other Services for Healthcare Professionals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Occupational Safety and Health Administration. </w:t>
      </w:r>
      <w:r>
        <w:rPr>
          <w:rFonts w:ascii="Times New Roman" w:cs="Times New Roman" w:eastAsia="Times New Roman" w:hAnsi="Times New Roman"/>
          <w:sz w:val="17"/>
          <w:szCs w:val="17"/>
          <w:color w:val="auto"/>
        </w:rPr>
        <w:t>OSHA regulations require employers to provide training to employees to minimize the risk of injury from various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The Joint Commission. </w:t>
      </w:r>
      <w:r>
        <w:rPr>
          <w:rFonts w:ascii="Times New Roman" w:cs="Times New Roman" w:eastAsia="Times New Roman" w:hAnsi="Times New Roman"/>
          <w:sz w:val="17"/>
          <w:szCs w:val="17"/>
          <w:color w:val="auto"/>
        </w:rPr>
        <w:t>The Joint Commission accreditation and certification standards require employers in the healthcare industry to provide certain workplace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safety and patient interaction 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Health Insurance Portability and Accountability Act. </w:t>
      </w:r>
      <w:r>
        <w:rPr>
          <w:rFonts w:ascii="Times New Roman" w:cs="Times New Roman" w:eastAsia="Times New Roman" w:hAnsi="Times New Roman"/>
          <w:sz w:val="17"/>
          <w:szCs w:val="17"/>
          <w:color w:val="auto"/>
        </w:rPr>
        <w:t>HIPAA regulations require certain organizations (known as Covered Entities), including most healthcare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providers and health plans, to adopt safeguards regarding the use and disclosure of certain health-related information. HIPAA regulations also require these organizations to provide reasonable and appropriate safeguards to protect the privacy, integrity and confidentiality of individually identifiable healthcare information. Covered Entities are required to establish, maintain, and provide training with regard to their policies and procedures for protecting the integrity and confidentiality of individually identifiable healthcare information and must document training on these topics to support their compliance. Certain HIPAA privacy and security requirements apply to entities (known as Business Associates) that handle individually identifiable healthcare information on behalf of Covered Entities or other Business Associates. Covered Entities, Business Associates, and their subcontractors may be directly subject to criminal and civil sanctions for violations of HIPAA privacy and security standards.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The American Nurses Credentialing Center (ANCC). </w:t>
      </w:r>
      <w:r>
        <w:rPr>
          <w:rFonts w:ascii="Times New Roman" w:cs="Times New Roman" w:eastAsia="Times New Roman" w:hAnsi="Times New Roman"/>
          <w:sz w:val="17"/>
          <w:szCs w:val="17"/>
          <w:color w:val="auto"/>
        </w:rPr>
        <w:t>ANCC, a subsidiary of the American Nurses Association (ANA), provides individuals and organizations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throughout the nursing profession with the resources they need to achieve practice excellence. ANCC’s internationally renowned credentialing programs certify nurses in specialty practice areas; recognize healthcare organizations for promoting safe, positive work environments through the Magnet Recognition Program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and the Pathway to Excellence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Program; and accredit providers of continuing nursing education. In addition, ANCC’s Institute for Credentialing Innovation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offers an array of informational and educational services and products to support its core credentialing programs. ANCC certification exams validate nurses’ skills, knowledge, and abilities. More than a quarter million nurses have been certified by ANCC since 1990. More than 80,000 advanced practice nurses are currently certified by ANCC. The ANCC Magnet Recognition Program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recognizes healthcare organizations that provide the very best in nursing care and professionalism in nursing practice. The program also provides a vehicle for disseminating best practices and strategies among nursing systems. The ANCC Magnet Recognition Program is a highly regarded standard for nursing excellence. The Pathway to Excellence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Program recognizes the essential elements of a high standard nursing practice environment. The designation is earned by healthcare organizations that create work environments where nurses can develop professionally. The award substantiates the professional satisfaction of nurses and identifies best places to work.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Continuing Nursing Education (CNE). </w:t>
      </w:r>
      <w:r>
        <w:rPr>
          <w:rFonts w:ascii="Times New Roman" w:cs="Times New Roman" w:eastAsia="Times New Roman" w:hAnsi="Times New Roman"/>
          <w:sz w:val="17"/>
          <w:szCs w:val="17"/>
          <w:color w:val="auto"/>
        </w:rPr>
        <w:t>State nurse practice laws authorize a state’s board of nursing to establish CNE requirements for professional nurses to maintain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valid licensure. CNE credits are provided through accredited providers that have been approved by the ANCC Commission on Accreditation and/or the state board of nursing. We are an accredited provider of CNE by the ANCC. CNE requirements vary widely from state to state, with reporting generally on a bi-annual basis. In some states, the CNE requirement only applies to re-licensure of advance practice nurses, while in other states, additional CNEs may be required of this category of nurses. Board certifications (e.g., Certified Nurse Operating Room (CNOR) – certification of perioperative nursing) also require CNE credits, with certain percentages required in specific categories based on the certification type.</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Continuing Medical Education (CME). </w:t>
      </w:r>
      <w:r>
        <w:rPr>
          <w:rFonts w:ascii="Times New Roman" w:cs="Times New Roman" w:eastAsia="Times New Roman" w:hAnsi="Times New Roman"/>
          <w:sz w:val="17"/>
          <w:szCs w:val="17"/>
          <w:color w:val="auto"/>
        </w:rPr>
        <w:t>State licensing boards, professional organizations, and employers require physicians to certify that they have accumulated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minimum number of CME hours to maintain their licenses. Generally, each state’s medical practice laws authorize the state’s board of medicine to establish and track CME requirements. Forty-eight state medical licensing boards currently have CME requirements, as well as Puerto Rico, Guam, and the U.S. Virgin Islands. The number of CME hours required by each state ranges from 15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The American Medical Association (AMA) classifies CME activities as either Category 1, which includes formal CME activities, or Category 2, which includes self-designated credit for informal activities that meet certain requirements. CME providers that sponsor educational activities can only designate those activities for </w:t>
      </w:r>
      <w:r>
        <w:rPr>
          <w:rFonts w:ascii="Times New Roman" w:cs="Times New Roman" w:eastAsia="Times New Roman" w:hAnsi="Times New Roman"/>
          <w:sz w:val="17"/>
          <w:szCs w:val="17"/>
          <w:i w:val="1"/>
          <w:iCs w:val="1"/>
          <w:color w:val="auto"/>
        </w:rPr>
        <w:t>AMA PRA Category 1 Credit™</w:t>
      </w:r>
      <w:r>
        <w:rPr>
          <w:rFonts w:ascii="Times New Roman" w:cs="Times New Roman" w:eastAsia="Times New Roman" w:hAnsi="Times New Roman"/>
          <w:sz w:val="17"/>
          <w:szCs w:val="17"/>
          <w:color w:val="auto"/>
        </w:rPr>
        <w:t xml:space="preserve">. Most boards of medical examiners nationwide that require CME participation specify </w:t>
      </w:r>
      <w:r>
        <w:rPr>
          <w:rFonts w:ascii="Times New Roman" w:cs="Times New Roman" w:eastAsia="Times New Roman" w:hAnsi="Times New Roman"/>
          <w:sz w:val="17"/>
          <w:szCs w:val="17"/>
          <w:i w:val="1"/>
          <w:iCs w:val="1"/>
          <w:color w:val="auto"/>
        </w:rPr>
        <w:t>AMA PRA Category 1 Credit™</w:t>
      </w:r>
      <w:r>
        <w:rPr>
          <w:rFonts w:ascii="Times New Roman" w:cs="Times New Roman" w:eastAsia="Times New Roman" w:hAnsi="Times New Roman"/>
          <w:sz w:val="17"/>
          <w:szCs w:val="17"/>
          <w:color w:val="auto"/>
        </w:rPr>
        <w:t xml:space="preserve">. Only institutions and organizations accredited to provide CME can designate an activity for </w:t>
      </w:r>
      <w:r>
        <w:rPr>
          <w:rFonts w:ascii="Times New Roman" w:cs="Times New Roman" w:eastAsia="Times New Roman" w:hAnsi="Times New Roman"/>
          <w:sz w:val="17"/>
          <w:szCs w:val="17"/>
          <w:i w:val="1"/>
          <w:iCs w:val="1"/>
          <w:color w:val="auto"/>
        </w:rPr>
        <w:t>AMA PRA Category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1 Credit™</w:t>
      </w:r>
      <w:r>
        <w:rPr>
          <w:rFonts w:ascii="Times New Roman" w:cs="Times New Roman" w:eastAsia="Times New Roman" w:hAnsi="Times New Roman"/>
          <w:sz w:val="17"/>
          <w:szCs w:val="17"/>
          <w:color w:val="auto"/>
        </w:rPr>
        <w:t>. The Accreditation Council for Continuing Medical Education (ACCME) is responsible for awarding accreditation status to state medical societies,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medical schools, and other institutions and organizations that provide CME activities for a national audience of physicians. State medical societies, operating under the aegis of the ACCME, accredit institutions and organizations that provide CME activities primarily for physicians within the state or bordering states. We are recognized as an accredited provider of CME by the ACCME.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Centers for Medicare &amp; Medicaid Services (CMS). </w:t>
      </w:r>
      <w:r>
        <w:rPr>
          <w:rFonts w:ascii="Times New Roman" w:cs="Times New Roman" w:eastAsia="Times New Roman" w:hAnsi="Times New Roman"/>
          <w:sz w:val="17"/>
          <w:szCs w:val="17"/>
          <w:color w:val="auto"/>
        </w:rPr>
        <w:t>CMS has articulated three broad aims of its quality strategy: “Better Care. Healthier People, Healthier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Communities. Smarter Spending.” To achieve this vision, CMS is committed to care that is safe, effective, timely, patient-centered, efficient, and equitable. Value-based purchasing (VBP), which links payment more directly to the quality of care provided, is a strategy that can help to transform the current payment system by rewarding providers for delivering high quality, efficient clinical care. Through a number of public reporting programs, demonstration projects, pilot programs, and other initiatives, some voluntary and some mandatory, CMS has launched VBP initiatives in hospitals, physician offices, nursing homes, home health services, and dialysis facilities. In 2017, CMS launched a comprehensive deregulatory initiative, “Meaningful Measures,” which identifies priorities for quality measurement and improvement. The framework is intended to improve patient outcomes while also reducing burdens on providers.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Promoting Interoperability Programs (formerly the Medicare and Medicaid Electronic Health Records (EHR) Incentive Programs). </w:t>
      </w:r>
      <w:r>
        <w:rPr>
          <w:rFonts w:ascii="Times New Roman" w:cs="Times New Roman" w:eastAsia="Times New Roman" w:hAnsi="Times New Roman"/>
          <w:sz w:val="17"/>
          <w:szCs w:val="17"/>
          <w:color w:val="auto"/>
        </w:rPr>
        <w:t>CMS renamed the Medicare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Medicaid EHR Incentive Programs to the Promoting Interoperability Programs (The Interoperability Programs) to increase focus on the interoperability of and improving patient access to health information. The Interoperability Programs encourage eligible professionals, eligible hospitals, and critical access hospitals (CAHs) to adopt EHR technology. Eligible hospitals can receive Medicare or Medicaid incentive payments if they adopt and demonstrate meaningful use of certified EHR technology; those that fail to demonstrate meaningful use are subject to reduced reimbursement from Medicare. In addition to requiring EHR technology, The Interoperability Programs include measures that require the exchange of information between providers and patients to improve the quality of care. By putting into action and meaningfully using an EHR system, providers may reap benefits beyond financial incentives–such as reduction in errors, availability of records and data, reminders and alerts, clinical decision support, and e-prescribing/refill automation.</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Allied Disciplines. </w:t>
      </w:r>
      <w:r>
        <w:rPr>
          <w:rFonts w:ascii="Times New Roman" w:cs="Times New Roman" w:eastAsia="Times New Roman" w:hAnsi="Times New Roman"/>
          <w:sz w:val="17"/>
          <w:szCs w:val="17"/>
          <w:color w:val="auto"/>
        </w:rPr>
        <w:t>Various allied health professionals are required to obtain continuing education to maintain their licenses. For example, emergency medical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personnel may be required to attain up to 20 continuing education hours per year, all or a portion of which can be fulfilled online. These requirements vary by state and depend on the professional classification of the individual.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of Educational Program Sponsorship and Support</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There are a variety of laws and regulations that affect the relationships between our medical device and pharmaceutical customers and the users of our products and services, including the sponsorship and support of educational programs. For example, the Physician Payment Sunshine Act (Sunshine Act) requires manufacturers of drugs, biological devices, and medical devices covered by Medicare, Medicaid, or the Children’s Health Insurance Program to report annually to CMS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payments and other transfers of value, including educational programs, given by such manufacturers to physicians and teaching hospitals, with limited exceptions. CMS regulations require manufacturers to report the physician’s name, business address, and national provider identifier as well as other information including the value, date, form, and nature of what is offered. CMS publishes the information on its website. Manufacturers that do not meet the reporting obligations are subject to significant monetary penalties.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 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regarding Gifts to Physicians from Industry to provide standards of conduct for the medical profession. We follow the rules and guidelines provided by ACCME, ANCC, and other continuing education accrediting bodies to ensure that our continuing education programming is free from commercial bias and consistent with the Guidelines.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U.S. Food and Drug Administration (FDA) and the Federal Trade Commission (FTC)</w:t>
      </w:r>
    </w:p>
    <w:p>
      <w:pPr>
        <w:spacing w:after="0" w:line="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indications. Therefore, any truthful or untruthful information that promotes the use of pharmaceutical or medical device products that is presented with our services is subject to the FDA and FTC requirements and regulatory oversight including criminal, civil and administrative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AND OTHER PROPRIETARY RIGHTS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protect our proprietary rights, we rely generally on copyright, trademark, and trade secret laws; confidentiality agreements, contracts, and procedures with</w:t>
      </w:r>
    </w:p>
    <w:p>
      <w:pPr>
        <w:spacing w:after="0" w:line="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employees, consultants and other third parties; contractual provisions in license agreements with consultants, vendors, and customers; and use measures designed to control access to our software, documentation, and other proprietary information. We own federal trademark and service mark registrations for several marks, including, without limitation “HEALTHSTREAM”, “HEALTHSTREAM LEARNING CENTER”, “HEALTHSTREAM EPORTFOLIO”, “VERITY”, “KNOWLEDGEQ”, and “ONESOURCE.” We also have obtained registration of the “HEALTHSTREAM” mark in certain other countries. Applications for several trademarks are currently pending. However, there can be no assurance that we will be successful in obtaining registration of other trademarks for which we have applied.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courseware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If a third party asserts a claim that we have infringed its patents or other intellectual property right,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despite the steps we have taken to protect our intellectual property and proprietary rights, our efforts may not be adequate. Third parties may infringe or misappropriate our intellectual property, and such violations of our intellectual property are difficult to detect and police. Competitors may also independently develop technologies that are substantially equivalent or superior to the technologies we employ in our products or services. If we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are unable to safeguard our proprietary rights adequately, our competitors could offer similar services, potentially significantly harming our competitive position and decreasing our revenues.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hold inbound licenses for certain intellectual property that is used internally, and in some cases, utilized in HealthStream’s products or services. While it may be necessary in the future to seek or renew licenses relating to various aspects of our products and services, we believe, based upon past experience and industry practice, such licenses generally can be obtained on commercially reasonable terms. We believe our operations and products and services are not materially dependent on any single license or other agreement with any third party.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files reports with the SEC, including annual reports on Form 10-K, quarterly reports on Form 10-Q, and other reports from time to time. The SEC maintains an Internet site at http://www.sec.gov that contains the reports, proxy, and other filings made by us electronically. Our website address is www.healthstream.com. Please note that our website address is provided as an inactive textual reference only. We make available, free of charge through our website, our annual report on Form 10-K, quarterly reports on Form 10-Q, current reports on Form 8-K, all amendments to those reports, and other filings made by us with the SEC,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EMPLOYEES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of December 31, 2018, we employed 757 full-time and 33 part-time persons.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 OF THE REGISTRANT</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following is a brief summary of the business experience of each of the executive officers of the Company. Executive Officers of the Company are elected by the Board of Directors and serve at the pleasure of the Board of Directors. The following table sets forth certain information regarding the executive officers of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auto"/>
              </w:rPr>
              <w:t>Executive Officer and Chairman of the Board of Directors</w:t>
            </w:r>
          </w:p>
        </w:tc>
        <w:tc>
          <w:tcPr>
            <w:tcW w:w="0" w:type="dxa"/>
            <w:vAlign w:val="bottom"/>
          </w:tcPr>
          <w:p>
            <w:pPr>
              <w:spacing w:after="0" w:line="20" w:lineRule="exact"/>
              <w:rPr>
                <w:sz w:val="1"/>
                <w:szCs w:val="1"/>
                <w:color w:val="auto"/>
              </w:rPr>
            </w:pPr>
          </w:p>
        </w:tc>
      </w:tr>
      <w:tr>
        <w:trPr>
          <w:trHeight w:val="174"/>
        </w:trPr>
        <w:tc>
          <w:tcPr>
            <w:tcW w:w="248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Robert A. Frist, Jr.</w:t>
            </w:r>
          </w:p>
        </w:tc>
        <w:tc>
          <w:tcPr>
            <w:tcW w:w="860" w:type="dxa"/>
            <w:vAlign w:val="bottom"/>
            <w:vMerge w:val="continue"/>
          </w:tcPr>
          <w:p>
            <w:pPr>
              <w:spacing w:after="0"/>
              <w:rPr>
                <w:sz w:val="15"/>
                <w:szCs w:val="15"/>
                <w:color w:val="auto"/>
              </w:rPr>
            </w:pPr>
          </w:p>
        </w:tc>
        <w:tc>
          <w:tcPr>
            <w:tcW w:w="22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color w:val="auto"/>
              </w:rPr>
              <w:t>51</w:t>
            </w:r>
          </w:p>
        </w:tc>
        <w:tc>
          <w:tcPr>
            <w:tcW w:w="560" w:type="dxa"/>
            <w:vAlign w:val="bottom"/>
            <w:vMerge w:val="continue"/>
          </w:tcPr>
          <w:p>
            <w:pPr>
              <w:spacing w:after="0"/>
              <w:rPr>
                <w:sz w:val="15"/>
                <w:szCs w:val="15"/>
                <w:color w:val="auto"/>
              </w:rPr>
            </w:pPr>
          </w:p>
        </w:tc>
        <w:tc>
          <w:tcPr>
            <w:tcW w:w="48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Chief</w:t>
            </w:r>
          </w:p>
        </w:tc>
        <w:tc>
          <w:tcPr>
            <w:tcW w:w="4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 Edward Pearson</w:t>
            </w:r>
          </w:p>
        </w:tc>
        <w:tc>
          <w:tcPr>
            <w:tcW w:w="1080" w:type="dxa"/>
            <w:vAlign w:val="bottom"/>
            <w:gridSpan w:val="2"/>
          </w:tcPr>
          <w:p>
            <w:pPr>
              <w:jc w:val="center"/>
              <w:ind w:left="777"/>
              <w:spacing w:after="0"/>
              <w:rPr>
                <w:sz w:val="20"/>
                <w:szCs w:val="20"/>
                <w:color w:val="auto"/>
              </w:rPr>
            </w:pPr>
            <w:r>
              <w:rPr>
                <w:rFonts w:ascii="Times New Roman" w:cs="Times New Roman" w:eastAsia="Times New Roman" w:hAnsi="Times New Roman"/>
                <w:sz w:val="17"/>
                <w:szCs w:val="17"/>
                <w:color w:val="auto"/>
              </w:rPr>
              <w:t>56</w:t>
            </w:r>
          </w:p>
        </w:tc>
        <w:tc>
          <w:tcPr>
            <w:tcW w:w="56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Senior Vice President and Chief Operating Officer</w:t>
            </w:r>
          </w:p>
        </w:tc>
        <w:tc>
          <w:tcPr>
            <w:tcW w:w="0" w:type="dxa"/>
            <w:vAlign w:val="bottom"/>
          </w:tcPr>
          <w:p>
            <w:pPr>
              <w:spacing w:after="0"/>
              <w:rPr>
                <w:sz w:val="1"/>
                <w:szCs w:val="1"/>
                <w:color w:val="auto"/>
              </w:rPr>
            </w:pPr>
          </w:p>
        </w:tc>
      </w:tr>
      <w:tr>
        <w:trPr>
          <w:trHeight w:val="203"/>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Sousa</w:t>
            </w:r>
          </w:p>
        </w:tc>
        <w:tc>
          <w:tcPr>
            <w:tcW w:w="1080" w:type="dxa"/>
            <w:vAlign w:val="bottom"/>
            <w:gridSpan w:val="2"/>
          </w:tcPr>
          <w:p>
            <w:pPr>
              <w:jc w:val="center"/>
              <w:ind w:left="777"/>
              <w:spacing w:after="0"/>
              <w:rPr>
                <w:sz w:val="20"/>
                <w:szCs w:val="20"/>
                <w:color w:val="auto"/>
              </w:rPr>
            </w:pPr>
            <w:r>
              <w:rPr>
                <w:rFonts w:ascii="Times New Roman" w:cs="Times New Roman" w:eastAsia="Times New Roman" w:hAnsi="Times New Roman"/>
                <w:sz w:val="17"/>
                <w:szCs w:val="17"/>
                <w:color w:val="auto"/>
              </w:rPr>
              <w:t>50</w:t>
            </w:r>
          </w:p>
        </w:tc>
        <w:tc>
          <w:tcPr>
            <w:tcW w:w="56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Senior Vice President and President, Verity, Inc., a HealthStream Company</w:t>
            </w:r>
          </w:p>
        </w:tc>
        <w:tc>
          <w:tcPr>
            <w:tcW w:w="0" w:type="dxa"/>
            <w:vAlign w:val="bottom"/>
          </w:tcPr>
          <w:p>
            <w:pPr>
              <w:spacing w:after="0"/>
              <w:rPr>
                <w:sz w:val="1"/>
                <w:szCs w:val="1"/>
                <w:color w:val="auto"/>
              </w:rPr>
            </w:pPr>
          </w:p>
        </w:tc>
      </w:tr>
      <w:tr>
        <w:trPr>
          <w:trHeight w:val="203"/>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Gerard M. Hayden, Jr.</w:t>
            </w:r>
          </w:p>
        </w:tc>
        <w:tc>
          <w:tcPr>
            <w:tcW w:w="1080" w:type="dxa"/>
            <w:vAlign w:val="bottom"/>
            <w:gridSpan w:val="2"/>
          </w:tcPr>
          <w:p>
            <w:pPr>
              <w:jc w:val="center"/>
              <w:ind w:left="777"/>
              <w:spacing w:after="0"/>
              <w:rPr>
                <w:sz w:val="20"/>
                <w:szCs w:val="20"/>
                <w:color w:val="auto"/>
              </w:rPr>
            </w:pPr>
            <w:r>
              <w:rPr>
                <w:rFonts w:ascii="Times New Roman" w:cs="Times New Roman" w:eastAsia="Times New Roman" w:hAnsi="Times New Roman"/>
                <w:sz w:val="17"/>
                <w:szCs w:val="17"/>
                <w:color w:val="auto"/>
              </w:rPr>
              <w:t>64</w:t>
            </w:r>
          </w:p>
        </w:tc>
        <w:tc>
          <w:tcPr>
            <w:tcW w:w="56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c>
          <w:tcPr>
            <w:tcW w:w="0" w:type="dxa"/>
            <w:vAlign w:val="bottom"/>
          </w:tcPr>
          <w:p>
            <w:pPr>
              <w:spacing w:after="0"/>
              <w:rPr>
                <w:sz w:val="1"/>
                <w:szCs w:val="1"/>
                <w:color w:val="auto"/>
              </w:rPr>
            </w:pPr>
          </w:p>
        </w:tc>
      </w:tr>
      <w:tr>
        <w:trPr>
          <w:trHeight w:val="203"/>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Jeffrey D. Cunningham</w:t>
            </w:r>
          </w:p>
        </w:tc>
        <w:tc>
          <w:tcPr>
            <w:tcW w:w="1080" w:type="dxa"/>
            <w:vAlign w:val="bottom"/>
            <w:gridSpan w:val="2"/>
          </w:tcPr>
          <w:p>
            <w:pPr>
              <w:jc w:val="center"/>
              <w:ind w:left="777"/>
              <w:spacing w:after="0"/>
              <w:rPr>
                <w:sz w:val="20"/>
                <w:szCs w:val="20"/>
                <w:color w:val="auto"/>
              </w:rPr>
            </w:pPr>
            <w:r>
              <w:rPr>
                <w:rFonts w:ascii="Times New Roman" w:cs="Times New Roman" w:eastAsia="Times New Roman" w:hAnsi="Times New Roman"/>
                <w:sz w:val="17"/>
                <w:szCs w:val="17"/>
                <w:color w:val="auto"/>
              </w:rPr>
              <w:t>52</w:t>
            </w:r>
          </w:p>
        </w:tc>
        <w:tc>
          <w:tcPr>
            <w:tcW w:w="56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and Chief Technology Officer</w:t>
            </w:r>
          </w:p>
        </w:tc>
        <w:tc>
          <w:tcPr>
            <w:tcW w:w="0" w:type="dxa"/>
            <w:vAlign w:val="bottom"/>
          </w:tcPr>
          <w:p>
            <w:pPr>
              <w:spacing w:after="0"/>
              <w:rPr>
                <w:sz w:val="1"/>
                <w:szCs w:val="1"/>
                <w:color w:val="auto"/>
              </w:rPr>
            </w:pPr>
          </w:p>
        </w:tc>
      </w:tr>
      <w:tr>
        <w:trPr>
          <w:trHeight w:val="203"/>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M. Collier</w:t>
            </w:r>
          </w:p>
        </w:tc>
        <w:tc>
          <w:tcPr>
            <w:tcW w:w="1080" w:type="dxa"/>
            <w:vAlign w:val="bottom"/>
            <w:gridSpan w:val="2"/>
          </w:tcPr>
          <w:p>
            <w:pPr>
              <w:jc w:val="center"/>
              <w:ind w:left="777"/>
              <w:spacing w:after="0"/>
              <w:rPr>
                <w:sz w:val="20"/>
                <w:szCs w:val="20"/>
                <w:color w:val="auto"/>
              </w:rPr>
            </w:pPr>
            <w:r>
              <w:rPr>
                <w:rFonts w:ascii="Times New Roman" w:cs="Times New Roman" w:eastAsia="Times New Roman" w:hAnsi="Times New Roman"/>
                <w:sz w:val="17"/>
                <w:szCs w:val="17"/>
                <w:color w:val="auto"/>
              </w:rPr>
              <w:t>43</w:t>
            </w:r>
          </w:p>
        </w:tc>
        <w:tc>
          <w:tcPr>
            <w:tcW w:w="56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Business Development and General Counsel</w:t>
            </w:r>
          </w:p>
        </w:tc>
        <w:tc>
          <w:tcPr>
            <w:tcW w:w="0" w:type="dxa"/>
            <w:vAlign w:val="bottom"/>
          </w:tcPr>
          <w:p>
            <w:pPr>
              <w:spacing w:after="0"/>
              <w:rPr>
                <w:sz w:val="1"/>
                <w:szCs w:val="1"/>
                <w:color w:val="auto"/>
              </w:rPr>
            </w:pPr>
          </w:p>
        </w:tc>
      </w:tr>
      <w:tr>
        <w:trPr>
          <w:trHeight w:val="203"/>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Trisha L. Coady</w:t>
            </w:r>
          </w:p>
        </w:tc>
        <w:tc>
          <w:tcPr>
            <w:tcW w:w="1080" w:type="dxa"/>
            <w:vAlign w:val="bottom"/>
            <w:gridSpan w:val="2"/>
          </w:tcPr>
          <w:p>
            <w:pPr>
              <w:jc w:val="center"/>
              <w:ind w:left="777"/>
              <w:spacing w:after="0"/>
              <w:rPr>
                <w:sz w:val="20"/>
                <w:szCs w:val="20"/>
                <w:color w:val="auto"/>
              </w:rPr>
            </w:pPr>
            <w:r>
              <w:rPr>
                <w:rFonts w:ascii="Times New Roman" w:cs="Times New Roman" w:eastAsia="Times New Roman" w:hAnsi="Times New Roman"/>
                <w:sz w:val="17"/>
                <w:szCs w:val="17"/>
                <w:color w:val="auto"/>
              </w:rPr>
              <w:t>43</w:t>
            </w:r>
          </w:p>
        </w:tc>
        <w:tc>
          <w:tcPr>
            <w:tcW w:w="56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and General Manager, Clinical Solutions</w:t>
            </w:r>
          </w:p>
        </w:tc>
        <w:tc>
          <w:tcPr>
            <w:tcW w:w="0" w:type="dxa"/>
            <w:vAlign w:val="bottom"/>
          </w:tcPr>
          <w:p>
            <w:pPr>
              <w:spacing w:after="0"/>
              <w:rPr>
                <w:sz w:val="1"/>
                <w:szCs w:val="1"/>
                <w:color w:val="auto"/>
              </w:rPr>
            </w:pPr>
          </w:p>
        </w:tc>
      </w:tr>
      <w:tr>
        <w:trPr>
          <w:trHeight w:val="222"/>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 Scott McQuigg</w:t>
            </w:r>
          </w:p>
        </w:tc>
        <w:tc>
          <w:tcPr>
            <w:tcW w:w="1080" w:type="dxa"/>
            <w:vAlign w:val="bottom"/>
            <w:gridSpan w:val="2"/>
          </w:tcPr>
          <w:p>
            <w:pPr>
              <w:jc w:val="center"/>
              <w:ind w:left="777"/>
              <w:spacing w:after="0"/>
              <w:rPr>
                <w:sz w:val="20"/>
                <w:szCs w:val="20"/>
                <w:color w:val="auto"/>
              </w:rPr>
            </w:pPr>
            <w:r>
              <w:rPr>
                <w:rFonts w:ascii="Times New Roman" w:cs="Times New Roman" w:eastAsia="Times New Roman" w:hAnsi="Times New Roman"/>
                <w:sz w:val="17"/>
                <w:szCs w:val="17"/>
                <w:color w:val="auto"/>
              </w:rPr>
              <w:t>51</w:t>
            </w:r>
          </w:p>
        </w:tc>
        <w:tc>
          <w:tcPr>
            <w:tcW w:w="56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hStream Solutions</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Robert A. Frist, Jr., one of our co-founders, has served as our chief executive officer and chairman of the board of directors since 1990 and served as our president since 2001. On May 15, 2018, following the appointment of Mr. Pearson as the president of the Company, Mr. Frist no longer served in such position. Mr. Frist is the company’s chief operating decision maker. He graduated with a Bachelor of Science in Business with concentrations in Finance, Economics, and Marketing from Trinity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 Edward Pearson joined the Company in June 2006 as senior vice president and was promoted to chief operating officer in 2011 and to president on May 15, 2018.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 earned a Bachelor of Business Administration in Accounting from Middle Tennessee State University.</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Michael Sousa joined the Company in October 2004 and served as senior vice president of sales from January 2010 to June 2014. In June 2014, he was promoted to senior vice president of business development. In September 2015, he was named president of Echo, Inc. (now known as Verity, Inc., a HealthStream Company), HealthStream’s Provider Solutions business segment, while continuing to serve as a senior vice president of the Company. He earned a Bachelor of Science degree from Boston College and a Master of Business Administration from Boston University.</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Gerard M. Hayden, Jr. joined the Company as senior vice president and chief financial officer in May 2008. He earned a Bachelor of Arts from the University of Notre Dame and a Master of Science from Northeastern University. As previously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disclosed on the Current Report on Form 8-K filed by us on October 22, 2018, Mr. Hayden intends to resign as an officer of the Company following the filing of this Annual Report on Form 10-K.</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Jeffrey D. Cunningham joined the Company in July 2017 as senior vice president and chief technology officer. Prior to joining the Company, he founded and served as chief technology officer and chief strategy officer for Informatics Corporation of America for twelve years. He earned a Bachelor of Science in Computer Science from University of North Texas.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Michael M. Collier joined the Company in August 2011 as vice president and general counsel, began serving as the vice president of business development and general counsel shortly thereafter, and was promoted to senior vice president of business development and general counsel in July 2017. Mr. Collier also serves as the Company’s Corporate Secretary. He graduated with bachelors and masters degrees in Philosophy and Religion from University of Tennessee-Knoxville and earned a Juris Doctorate (J.D.) from University of California, Berkeley – School of Law.</w:t>
      </w:r>
    </w:p>
    <w:p>
      <w:pPr>
        <w:spacing w:after="0" w:line="18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Trisha L. Coady joined the Company in January 2014 and served as associate vice president and subsequently vice president and general manager of clinical development solutions from June 2015 to November 2018. In November 2018, she was promoted to senior vice president and general manager of clinical solutions. She earned a Science in Nursing degree from Université de Moncton.</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M. Scott McQuigg joined the Company in January 2019 as senior vice president of hStream solutions. Prior to joining the Company, he co-founded and served as chief executive officer for GoNoodle for thirteen years. Before this role, he co-founded and served as chief executive officer of HealthLeaders.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believe that the risks and uncertainties described below are the principal material risks facing the Company as of the date of this Annual Report on Form 10-K. In the future, we may become subject to additional risks that are not currently known to us. Our business, financial condition, results of operations, and/or prospects could be materially and adversely affected by the occurrence of any of the following risks and uncertainties. Additional risks or uncertainties not presently know to us, or that we currently deem immaterial, also may adversely affect our business, financial condition, results of operations, and prospects. The trading price of our common stock could also decline due to the occurrence of any of the following risks, as well as risks and uncertainties not presently known to us, or that we currently deem immaterial.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Model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effectively execute our growth strategy which could have an adverse effect on our business and competitive position in the industry.</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business strategy includes increasing our market share and presence through sales to new customers, additional sales to existing customers, introductions of new products and services, and maintaining strong relationships with our existing customers. Some of the risks that we may encounter in executing our growth strategy include:</w:t>
      </w:r>
    </w:p>
    <w:p>
      <w:pPr>
        <w:spacing w:after="0" w:line="68" w:lineRule="exact"/>
        <w:rPr>
          <w:sz w:val="20"/>
          <w:szCs w:val="20"/>
          <w:color w:val="auto"/>
        </w:rPr>
      </w:pPr>
    </w:p>
    <w:p>
      <w:pPr>
        <w:ind w:left="600" w:hanging="592"/>
        <w:spacing w:after="0" w:line="281"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delays, and difficulties in identifying and developing new products or services and integrating such new products or services into our existing organization;</w:t>
      </w:r>
    </w:p>
    <w:p>
      <w:pPr>
        <w:spacing w:after="0" w:line="55"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leverage or evolve our customer and partner facing technology platform;</w:t>
      </w:r>
    </w:p>
    <w:p>
      <w:pPr>
        <w:spacing w:after="0" w:line="115"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leverage our operational and financial systems and processes sufficiently to support our growth;</w:t>
      </w:r>
    </w:p>
    <w:p>
      <w:pPr>
        <w:spacing w:after="0" w:line="115"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generate sufficient revenue from our products to offset investment costs;</w:t>
      </w:r>
    </w:p>
    <w:p>
      <w:pPr>
        <w:spacing w:after="0" w:line="115"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effectively identify, manage, and exploit existing and emerging market opportunities;</w:t>
      </w:r>
    </w:p>
    <w:p>
      <w:pPr>
        <w:spacing w:after="0" w:line="115"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maintain our existing customer relationships;</w:t>
      </w:r>
    </w:p>
    <w:p>
      <w:pPr>
        <w:spacing w:after="0" w:line="115"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new and existing competitors;</w:t>
      </w:r>
    </w:p>
    <w:p>
      <w:pPr>
        <w:spacing w:after="0" w:line="115"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lengthy sales cycles, or customers delaying purchasing decisions or payments due to economic conditions;</w:t>
      </w:r>
    </w:p>
    <w:p>
      <w:pPr>
        <w:spacing w:after="0" w:line="115"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spending by customers within our target markets;</w:t>
      </w:r>
    </w:p>
    <w:p>
      <w:pPr>
        <w:spacing w:after="0" w:line="115"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the market for our products and services to grow to a sufficient size or at a sufficient rate; and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99" w:lineRule="exact"/>
        <w:rPr>
          <w:sz w:val="20"/>
          <w:szCs w:val="20"/>
          <w:color w:val="auto"/>
        </w:rPr>
      </w:pPr>
    </w:p>
    <w:p>
      <w:pPr>
        <w:ind w:right="3360" w:firstLine="8"/>
        <w:spacing w:after="0" w:line="510" w:lineRule="auto"/>
        <w:tabs>
          <w:tab w:leader="none" w:pos="5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hire sufficient number of qualified employees to execute and support the growth of the Company. If any of these risks are realized, our business, and our competitive position in the industry, could suffer.</w:t>
      </w:r>
    </w:p>
    <w:p>
      <w:pPr>
        <w:spacing w:after="0" w:line="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effectively identify, complete or integrate the operations of acquisitions, joint ventures, collaborative arrangements or other strategic investments, which would inhibit our ability to execute upon our growth strategy.</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part of our growth strategy, we actively review possible acquisitions, joint ventures, collaborative arrangements, or strategic investments that complement or enhance our business. However, we may be unable to source or complete future acquisitions, joint ventures, collaborative arrangements, or other strategic investments on acceptable terms, or at all. In addition, if we finance acquisitions, joint ventures, collaborative arrangements, or other strategic initiatives by issuing equity securities, our existing shareholders may be diluted, which could affect the market price of our stock. As a result, if we fail to properly evaluate and execute acquisitions and investments, our performance or prospects may be seriously harmed. Some of the risks that we may encounter in implementing our acquisition, joint venture, collaborative arrangement, or strategic investment strategies include:</w:t>
      </w:r>
    </w:p>
    <w:p>
      <w:pPr>
        <w:spacing w:after="0" w:line="77" w:lineRule="exact"/>
        <w:rPr>
          <w:sz w:val="20"/>
          <w:szCs w:val="20"/>
          <w:color w:val="auto"/>
        </w:rPr>
      </w:pPr>
    </w:p>
    <w:p>
      <w:pPr>
        <w:ind w:left="600" w:hanging="592"/>
        <w:spacing w:after="0" w:line="28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delays, or difficulties in identifying and integrating acquired companies or joint venture operations, collaborative arrangements, or other strategic investments into our organization and to otherwise realize expected synergies in connection therewith;</w:t>
      </w:r>
    </w:p>
    <w:p>
      <w:pPr>
        <w:spacing w:after="0" w:line="55"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retain personnel associated with acquired companies, joint ventures, collaborative arrangements or other strategic investments;</w:t>
      </w:r>
    </w:p>
    <w:p>
      <w:pPr>
        <w:spacing w:after="0" w:line="115" w:lineRule="exact"/>
        <w:rPr>
          <w:rFonts w:ascii="Times New Roman" w:cs="Times New Roman" w:eastAsia="Times New Roman" w:hAnsi="Times New Roman"/>
          <w:sz w:val="17"/>
          <w:szCs w:val="17"/>
          <w:color w:val="auto"/>
        </w:rPr>
      </w:pPr>
    </w:p>
    <w:p>
      <w:pPr>
        <w:ind w:left="600" w:hanging="592"/>
        <w:spacing w:after="0" w:line="28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material customers and other key business relations associated with acquired companies, joint ventures, collaborative arrangements, or other strategic investments;</w:t>
      </w:r>
    </w:p>
    <w:p>
      <w:pPr>
        <w:spacing w:after="0" w:line="55"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other initiatives and/or day-to-day operations to effectively execute our growth strategy;</w:t>
      </w:r>
    </w:p>
    <w:p>
      <w:pPr>
        <w:spacing w:after="0" w:line="115" w:lineRule="exact"/>
        <w:rPr>
          <w:rFonts w:ascii="Times New Roman" w:cs="Times New Roman" w:eastAsia="Times New Roman" w:hAnsi="Times New Roman"/>
          <w:sz w:val="17"/>
          <w:szCs w:val="17"/>
          <w:color w:val="auto"/>
        </w:rPr>
      </w:pPr>
    </w:p>
    <w:p>
      <w:pPr>
        <w:ind w:left="600" w:hanging="592"/>
        <w:spacing w:after="0" w:line="28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of products associated with acquired companies, joint ventures, collaborative arrangements, or other strategic investments into our product lines;</w:t>
      </w:r>
    </w:p>
    <w:p>
      <w:pPr>
        <w:spacing w:after="0" w:line="55" w:lineRule="exact"/>
        <w:rPr>
          <w:rFonts w:ascii="Times New Roman" w:cs="Times New Roman" w:eastAsia="Times New Roman" w:hAnsi="Times New Roman"/>
          <w:sz w:val="17"/>
          <w:szCs w:val="17"/>
          <w:color w:val="auto"/>
        </w:rPr>
      </w:pPr>
    </w:p>
    <w:p>
      <w:pPr>
        <w:ind w:left="600" w:hanging="592"/>
        <w:spacing w:after="0" w:line="28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increasing demands on our operational and informational technology systems which may arise from any such acquired companies or joint venture operations, collaborative arrangements, or other strategic investments;</w:t>
      </w:r>
    </w:p>
    <w:p>
      <w:pPr>
        <w:spacing w:after="0" w:line="55" w:lineRule="exact"/>
        <w:rPr>
          <w:rFonts w:ascii="Times New Roman" w:cs="Times New Roman" w:eastAsia="Times New Roman" w:hAnsi="Times New Roman"/>
          <w:sz w:val="17"/>
          <w:szCs w:val="17"/>
          <w:color w:val="auto"/>
        </w:rPr>
      </w:pPr>
    </w:p>
    <w:p>
      <w:pPr>
        <w:ind w:left="600" w:hanging="592"/>
        <w:spacing w:after="0" w:line="28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insufficient internal controls over financial activities or financial reporting at any such acquired company that could impact us on a consolidated basis;</w:t>
      </w:r>
    </w:p>
    <w:p>
      <w:pPr>
        <w:spacing w:after="0" w:line="55" w:lineRule="exact"/>
        <w:rPr>
          <w:rFonts w:ascii="Times New Roman" w:cs="Times New Roman" w:eastAsia="Times New Roman" w:hAnsi="Times New Roman"/>
          <w:sz w:val="17"/>
          <w:szCs w:val="17"/>
          <w:color w:val="auto"/>
        </w:rPr>
      </w:pPr>
    </w:p>
    <w:p>
      <w:pPr>
        <w:ind w:left="600" w:hanging="592"/>
        <w:spacing w:after="0" w:line="28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joint ventures and strategic investments, the financial performance of those entities may have a negative impact on our financial performance; and</w:t>
      </w:r>
    </w:p>
    <w:p>
      <w:pPr>
        <w:spacing w:after="0" w:line="55" w:lineRule="exact"/>
        <w:rPr>
          <w:rFonts w:ascii="Times New Roman" w:cs="Times New Roman" w:eastAsia="Times New Roman" w:hAnsi="Times New Roman"/>
          <w:sz w:val="17"/>
          <w:szCs w:val="17"/>
          <w:color w:val="auto"/>
        </w:rPr>
      </w:pPr>
    </w:p>
    <w:p>
      <w:pPr>
        <w:ind w:left="600" w:hanging="592"/>
        <w:spacing w:after="0" w:line="28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generate sufficient revenue, profit, and cash flow from acquisitions, joint ventures, collaborative arrangements, or other strategic investments to offset our investment costs.</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Moreover, although we conduct what we believe to be a prudent level of investigation regarding the operating and financial condition of acquired companies, joint ventures, collaborative arrangements, or other strategic investments, an unavoidable level of risk remains regarding the operating performance, financial condition, and potential liabilities of these businesses, and we may not be able to fully assess these risks until a transaction has been completed.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accurately forecast our financial performance for certain products and services may be hindered by customer scheduling.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While the revenue we receive from particular products and services in our subscription business may be predictable during the term of the applicable contract, the performance of our subscription business may become more subject to fluctuations between quarterly periods as our solution offerings diversify and become more sophisticated. Certain project-based products, such as consulting, content development, and professional services, are subject to the customers’ involvement in the provision of the product or service. The timing and magnitude of these project-based product and service contracts may vary widely from quarter to quarter and year to year, and thus may affect our ability to accurately forecast our financial performance. In addition, some products, including those in our Workforce Development</w:t>
      </w:r>
    </w:p>
    <w:p>
      <w:pPr>
        <w:spacing w:after="0" w:line="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and Provider Solutions segments, can require significant implementation lead times and resources, and may require a level of change management efforts from our clients, which may also impact our ability to accurately forecast our financial performance. Additionally, as we expand our revenue generating model such that third-parties may pay network connection fees based on sales they make, our ability to forecast revenue from such arrangements may not be predictable.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accurately forecast our financial performance may be affected by lengthy and widely varying sales cycles.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period from our initial contact with a potential customer and their first purchase of our solution typically ranges from three to nine months, and in some cases has extended much further. The range in the sales cycle can be impacted by multiple factors, including an increasing trend towards more formal request for proposal processes and more competition within our industry, as well as formal budget timelines which impact timing of purchases by target customers. New products, including those that may compete with or replace our former product offerings, tend to have a longer and more unpredictable revenue ramp period because of varying customer adoption rates. As a result of these factors, we have only limited ability to forecast the timing and type of initial sales. This, in turn, makes it more difficult to forecast our financial performance. Additionally, as we expand our revenue generating model such that third-parties may pay network connection fees based on sales they make, our ability to forecast revenue from such arrangements may not be predictable.</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Several of our competitors and many potential competitors have longer operating histories and significantly greater financial, technical, marketing, or other resources than we do. We encounter direct competition from both large and small companies focused on providing workforce and provider solutions to the healthcare industry. Given the profile and growth of the healthcare industry and the ongoing need for training, simulation, credentialing, and other information products and services, it is likely that additional competitors will emerge. We believe we maintain a competitive advantage against our competitors by offering a comprehensive array of products and services; however, our lack of market diversification resulting from our concentration on the healthcare industry may make us susceptible to losing market share to our competitors who also offer solutions, and in some cases a more robust suite of solutions, to a cross-section of industries. These companies may be able to respond more quickly than we can to new or changing opportunities, technologies, standards or customer requirements. Further, most of our customer agreements are for terms ranging from one to three years, with no obligation to renew. The terms of these agreements may enable customers to more easily shift to one of our competitors.</w:t>
      </w:r>
    </w:p>
    <w:p>
      <w:pPr>
        <w:spacing w:after="0" w:line="38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The failure to maintain and strengthen our relationships with strategic partners or significant changes in the terms of the agreements we have with them may have an adverse impact on our ability to successfully market our products and services.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entered into contracts with strategic partners, including content, technology, and retail channel vendors. Our ability to increase the sales of our products and services depends in part upon maintaining and strengthening relationships with these current and future strategic partners. Most of these contracts are on a non-exclusive basis. Certain strategic partners may offer products and services from multiple distinct companies, including, in some instances, products or services which may compete with our products and services. Moreover, under contracts with some of our strategic partners, we may be bound by provisions that restrict our ability to market and sell our products and services to certain potential customers. The success of these contractual arrangements will depend in part upon the strategic partners’ own competitive, marketing, and strategic considerations, including the relative advantages for such strategic partners in using alternative products being developed and marketed by them or our competitors, rather than our products and services.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cannot guarantee that we will be able to maintain and strengthen our relationships with strategic partners, that we will be successful in effectively integrating such partners’ products and technology into our own, or that such relationships will be successful in generating additional revenue. If any of these strategic partners have negative experiences with our products and services, or seek to amend or terminate the financial or other terms of the contracts or arrangements we have with them, we may need to increase our organizational focus on the types of services and solutions they sell and alter our development, integration, and/or distribution strategies, which may divert our planned efforts and resources from other projects.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Lastly, we could be subject to claims and liability, as a result of the activities, products, or services of these strategic partners, and/or our acts or omissions with regard to these strategic partners. Even if these claims do not result in liability to us, investigating and defending these claims could be expensive, time-consuming and result in suspension of or interference with certain offerings to our clients and/or adverse publicity that could harm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retain distribution rights from our content and technology partners, which could adversely affect our business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Most of our agreements with content and technology providers are for initial terms of three or more years. These partners may choose not to renew their agreements with us or may terminate their agreements early if we do not fulfill our contractual obligations. If our partners terminate or fail to renew their agreements with us on as favorable terms, such as a reduction in our revenue share arrangement, it could result in a reduction in the number of courses and solutions we are able to distribute, declines in the number of subscribers to our platforms, and decreased revenues. Most of our agreements with our content partners are non-exclusive, and our competitors offer, or could offer, content or solutions that are similar to or the same as ours. If our current partners offer or otherwise make available their products and services to users or our competitors 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more favorable terms than those offered to us, or increase our license fees, our competitive position, revenue, and our profit margins and prospects could be harmed. In addition, the failure by our partners to deliver high-quality content and technology, and to revise their content and technology, in response to user demand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evolving healthcare advances and trends could result in customer dissatisfaction and inhibit our ability to attract and retain subscribers.</w:t>
      </w:r>
    </w:p>
    <w:p>
      <w:pPr>
        <w:spacing w:after="0" w:line="21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growth strategy depends in part on our ability to generate revenue growth through sales to new customers as well as increasing sales of additional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customer base. Furthermore, we are not able to accurately predict the volume or speed with which existing and new customers may adopt such new products and services. Because healthcare technology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or otherwise negatively impact our technology platform.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and/or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will be harmed. Continued growth of our customer population is dependent on our ability to continue to provide relevant products and services in a timely manner. The success of our business will depend on our ability to continue providing our products and services as well as enhancing our content, product and service offerings that address the needs of healthcare organizations.</w:t>
      </w:r>
    </w:p>
    <w:p>
      <w:pPr>
        <w:spacing w:after="0" w:line="18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continue to license our third party software, on which a portion of our product and service offerings rely, or we may experience errors in this software, which could increase our costs and decrease our revenue.</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solutions until equivalent technology, if available, is identified, licensed and integrated.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and time-consuming, and could result in suspension of or interference with certain offerings to our clients and/or adverse publicity that could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significant portion of our revenue is generated from a relatively small number of customers.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derive a substantial portion of our revenues from a relatively small number of customers. A termination or material modification of our agreements with any of our significant customers or a failure of these customers to renew their contracts on favorable terms, or at all, could have an adverse effect on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significant portion of our business is subject to renewal each year. Therefore, renewals have a significant impact on our revenue and operating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the year ended December 31, 2018, approximately 95% of our net revenue was derived from SaaS-based subscriptions and software licensing agreements. Our product and service contracts typically range from one to five years in length, and customers are not obligated to renew their contract with us after their contract term expires; in fact, some customers have elected not to renew their contract. In addition, our customers may renew at a lower pricing or activity level. Our customers’ renewals may decline or fluctuate as a result of a number of factors, including but not limited to their dissatisfaction with our service, a dissipation or cessation of their need for one or more of our products or services, pricing, or competitive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product offerings. If we are unable to renew a substantial portion of the contracts that are up for renewal or maintain our pricing, our results of operations and financial condition could be adversely affected.</w:t>
      </w:r>
    </w:p>
    <w:p>
      <w:pPr>
        <w:spacing w:after="0" w:line="15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ability to recognize revenue is dependent upon several factors in order for us to implement customers on our subscription-based platform and platform applications. If customers do not provide us with the information required to complete implementations in a timely manner, our ability to recognize revenue may be delayed, which could adversely impact our operating results. Some products, including several in our Provider Solutions segment, can require significant implementation lead times and the rate at which customer orders move from backlog to revenue generation in connection with these products may significantly affect the timing of revenue recognition.</w:t>
      </w:r>
    </w:p>
    <w:p>
      <w:pPr>
        <w:spacing w:after="0" w:line="18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year ended December 31, 2018, we recognized approximately 95% of our revenue from customers monthly over the terms of their subscription or licensing agreements, which have initial contract terms ranging from one to five years. As a result, much of the revenue we report in each quarter is related to subscription or licensing agreements entered into during previous quarters. Consequently, a decline in new or renewed subscription or licensing agreements in any one quarter will not necessarily be fully reflected in the revenue in that quarter and will negatively affect our revenue in future quarters. In addition, we may be unable to adjust our cost structure to reflect this reduced revenue. Accordingly, the effect of significant downturns in sales and market acceptance of our products and services may not be fully reflected in our results of operations until future periods. Finally, our subscription model also makes it difficult for us to rapidly increase our revenue through additional sales in any period, as revenue from new customers must be recognized over the applicable subscription 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meet our strategic business objectives unless we obtain additional financing, which may not be available to us on favorable terms, or at all.</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 However, we may need to raise additional funds in order to:</w:t>
      </w:r>
    </w:p>
    <w:p>
      <w:pPr>
        <w:spacing w:after="0" w:line="68" w:lineRule="exact"/>
        <w:rPr>
          <w:sz w:val="20"/>
          <w:szCs w:val="20"/>
          <w:color w:val="auto"/>
        </w:rPr>
      </w:pPr>
    </w:p>
    <w:p>
      <w:pPr>
        <w:ind w:left="1200" w:hanging="598"/>
        <w:spacing w:after="0"/>
        <w:tabs>
          <w:tab w:leader="none" w:pos="12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new, or enhance existing, products, services, and technology;</w:t>
      </w:r>
    </w:p>
    <w:p>
      <w:pPr>
        <w:spacing w:after="0" w:line="115"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competitive pressures;</w:t>
      </w:r>
    </w:p>
    <w:p>
      <w:pPr>
        <w:spacing w:after="0" w:line="115"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working capital requirements;</w:t>
      </w:r>
    </w:p>
    <w:p>
      <w:pPr>
        <w:spacing w:after="0" w:line="115"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invest in complementary businesses, technologies, content or products; or</w:t>
      </w:r>
    </w:p>
    <w:p>
      <w:pPr>
        <w:spacing w:after="0" w:line="115"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effectively execute our growth strategy.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At December 31, 2018, we had approximately $168.8 million in cash, cash equivalents, and marketable securities. We also have up to $50.0 million of availability under our Revolving Credit Facility, subject to certain covenants, which expires in November 2020. We expect to incur approximately $35 million of capital expenditures, software development and content purchases during 2019, which includes approximately $15 million associated with our office consolidation and relocation to a new central location in Nashville, Tennessee.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actively review possible business acquisitions to complement or enhance our products and services, and we completed the acquisition of Providigm, LLC in January 2019. We may not have adequate cash and investments or availability under our Revolving Credit Facility to consummate one or more of these acquisitions. We cannot assure you that if we need additional financing that it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We have significant goodwill, identifiable intangible assets, and long-lived assets recorded on our balance sheet that may be subject to impairment losses that would reduce our reported assets and earnings.</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There are inherent uncertainties in the estimates, judgments and assumptions used in assessing recoverability of goodwill, intangible assets, and long-lived assets. Economic, legal, regulatory, competitive, reputational, contractual, and other factors could result in future declines in the operating results of our business units or</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market values that do not support the carrying value of goodwill, identifiable intangible assets, and long-lived assets. If the value of our goodwill, intangible assets, or long-lived assets is impaired, accounting rules require us to reduce their carrying value and report an impairment charge, which would reduce our reported assets and earnings for the period in which an impairment is recognized.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affected by healthcare reform efforts and other changes in the healthcare industry that impact our clients.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clients are concentrated in the healthcare industry, which is subject to changing regulatory, economic, and political conditions. In the past two years, we have experienced an increase in bankruptcies among our customers. This decrease in creditworthiness among certain of our customers along with other economic challenges facing the healthcare sector caused us to record bad debt expense of $1.0 million and $1.6 million in 2018 and 2017, respectively. Continuance or escalation of this development could result in our inability to collect amounts owed from existing clients and decrease our ability to gain new clients, which could adversely impact our revenue, results of operations, and ability to execute on our growth strategy.</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U.S. Congress and certain state legislatures have passed or are considering laws and regulations intended to result in major changes to the U.S. healthcare system. The most prominent of these reform efforts, the Patient Protection and Affordable Care Act, as amended by the Healthcare and Education Reconciliation Act of 2010 (collectively, Affordable Care Act), was designed to increase access to affordable health insurance for U.S. citizens and improve quality of care, but it also has reduced government program spending and imposed operating costs and changes on many of our clients.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However, efforts by the presidential administration and certain members of Congress to repeal or make significant changes to the Affordable Care Act, its implementation and/or its interpretation have cast considerable uncertainty on the future of the law. For example, effective January 1, 2019, Congress eliminated the financial penalty associated with the individual mandate. In addition, final rules issued in 2018 expand the availability of association health plans and allow the sale of short-term, limited-duration health plans, neither of which are required to cover all of the essential health benefits mandated by the Affordable Care Act. These changes may impact the number of individuals that elect to purchase health insurance or the scope of such coverage, if purchased. Because the penalty associated with the individual mandate was eliminated, a federal judge in Texas ruled in December 2018 that the entire law was unconstitutional. However, the law remains in place pending appeal. There is uncertainty regarding whether, when, and how the Affordable Care Act will be further changed, the ultimate impact of court challenges, and what alternative provisions, if any, will be enacted, the timing of enactment and implementation of alternative provisions, the impact of alternative provisions on providers as well as other healthcare industry participants, and how the law will be interpreted and implemented. Changes by Congress or government agencies could eliminate or alter provisions beneficial to us while leaving in place provisions reducing our reimbursement. Some of the recent changes in the healthcare industry have driven consolidation, particularly among health insurance providers. Other industry participants, such as large employer groups and their affiliates, may intensify competitive pressures. Efforts to repeal or change the Affordable Care Act or implement other initiatives intended to reform healthcare delivery, coverage, and/or financial systems may have an adverse effect on our clients. For example, some members of Congress have proposed significantly expanding the coverage of government-funded programs. Any such regulatory developments, as well as other healthcare-related or other developments that adversely impact the business or financial condition of our clients, could reduce the amount of business we receive from such clients and thus have an adverse effect on our results of operations.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demonstrate compliance with Sarbanes-Oxley Section 404 in a timely manner, and the correction of any deficiencies identified during annual audits may be costly and could harm our business.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Sarbanes-Oxley Section 404 requires our management to report on, and requires our independent public accounting firm to attest to, the effectiveness of our internal controls over financial reporting. The rules governing the standards to be met are complex and may require significant process review, documentation and testing, as well as remediation efforts for any identified deficiencies. This process of review, documentation, testing and remediation may result in increased expenses and require significant attention from management and other internal and external resources. These requirements may also extend to acquired entities and our efforts to integrate those operations into our system of internal controls. Any material weaknesses identified during this process may preclude us from asserting the effectiveness of our internal controls. This may negatively affect our stock price if we cannot effectively remediate the issues identified in a timely manner.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Changes in accounting standards issued by the Financial Accounting Standards Board, or FASB, could adversely effect our balance sheet, revenue, and results of operations, and could require a significant expenditure of time, attention and resources, especially by senior management.</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accounting and financial reporting policies conform to GAAP, which are periodically revised and/or expanded. The application of accounting principles is also subject to varying interpretations over time. Accordingly, we are required to adopt new or revised accounting standards or comply with revised interpretations that are issued from time to time by various parties, including accounting standard setters and those who interpret the standards, such as the FASB and the SEC and our independent registered public accounting firm. Changes to regulations concerning revenue recognition could require us to alter our current revenue accounting practices and cause us to either defer revenue into a future period, or to recognize lower revenue in a current period. Likewise, changes to regulations concerning expense recognition could require us to alter our current expense accounting practices and cause us to defer recognition of expense into a future period, or to recognize increased expenses in a current period. Such changes could also cause us to alter the manner in which we contract for, sell, and incentivize sales of products and services. Changes to either revenue recognition or expense recognition accounting practices could affect our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Sales, Marketing and Competition</w:t>
      </w:r>
    </w:p>
    <w:p>
      <w:pPr>
        <w:spacing w:after="0" w:line="22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Our operating margins could be affected if our ongoing refinement to pricing models for our products and services is not accepted by our customers and the market.</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continue to make changes in the pricing of our product and service offerings so as to increase revenue and meet the needs of our customers. We cannot predict whether the current pricing of our products and services, or any ongoing refinements we make will be accepted by our existing customer base or by prospective customers. If our customers and potential customers decide not to accept our current or future pricing or product and service offerings, it could have an adverse effect on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adequately develop our systems, processes and support in a manner that will enable us to meet the demand for our services.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provided our online products and services for over 19 years and continue to expand our ability to provide our solutions on both a subscription and transactional basis over the Internet or otherwise. Our future success will depend on our ability to effectively develop and maintain our infrastructure, including procurement of additional hardware and software, and to implement the services, including customer support, necessary to meet the demand for our products and services. Our inability from time to time to successfully develop the necessary systems and implement the necessary services on a timely basis may result in our customers experiencing delays, interruptions and/or errors in their service. Such delays or interruptions may cause customers to become dissatisfied with our service and move to competing providers of workforce development and provider solutions services. If this happens, our reputation, results of operations, and financial condition could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operations could be significantly disrupted if we lose members of, or fail to attract and integrate new members to, our management team.</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future performance is substantially dependent on the continued services of our management team and our ability to attract, retain and motivate them. The loss of the services of any of our officers or senior managers, or the inability to attract additional officers or senior managers as appropriate,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17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attract, hire and retain a sufficient number of qualified employees and, as a result, we may not be able to effectively execute our growth strategy or maintain the quality of our services.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future success will depend on our ability to attract, train, motivate, and retain other highly skilled technical, managerial, marketing, sales, and customer support personnel. Competition for certain personnel is intense, especially for software developers, web designers, user experience and interaction designers, and sales personnel, and we may be unable to successfully attract sufficiently qualified personnel. We have experienced in the past, and continue to experience, difficulty hiring qualified personnel in a timely manner for these positions. The pool of qualified technical personnel, in particular, is limited in Nashville, Tennessee, where our headquarters are located. Similar challenges exist within our Provider Solutions segment in our locations in San Diego, California, and Boulder, Colorado. We anticipate needing to continue to maintain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increase the size of our staff to support our anticipated growth, without compromising the quality of our offerings or customer service. Our inability to locate, attract, hire, integrate and retain qualified personnel in sufficient numbers may reduce the quality of our services and impair our ability to grow and adversely impact our financial performance.</w:t>
      </w:r>
    </w:p>
    <w:p>
      <w:pPr>
        <w:spacing w:after="0" w:line="1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upgrade our hardware and software technology infrastructure quickly enough to effectively meet demand for our services or our operational needs.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must continue to obtain reasonably priced, commercially available hardware, operating software, and hosting services, as well as continue to enhance our software and systems to accommodate the increased use of our platform, the increased content in our library, the expanding amount and type of data we store on behalf of our customers, and the resulting increase in operational demands on our business.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or reduced response time of our platforms could harm our business and also could</w:t>
      </w:r>
    </w:p>
    <w:p>
      <w:pPr>
        <w:spacing w:after="0" w:line="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discourage current and potential customers from using or continuing to use our services and reduce future revenue. If we are unable to acquire, update, or enhance our technology infrastructure and systems quickly enough to effectively meet increased operational demands on our business, that may also have an adverse effect on our results of operations or financial condition. Further, as we develop our platforms and rely on ever changing and improving technologies, we may be impeded by our customers’ inability to adopt new technologies, such as web browsers, upon which new platform enhancements may be based.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network infrastructure and computer systems and software may fail.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An unexpected event (including but not limited to a cyber-security incident, telecommunications failure, fire, earthquake, or other catastrophic loss) at our Internet service providers’ facilities or at our on-site data center facilities could cause the loss of critical data and prevent us from offering our products and services for an unknown period of time. System downtime could negatively affect our reputation and ability to sell our products and services and may expose us to significant third-party claims. Our cyber liability and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and cause customers to become dissatisfied and possibly take their business to a competing provider, which would adversely affect our financial performance.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lose users and lose revenue if our security measures fail.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If the security measures that we use to protect customer or personal information are ineffective, we may lose users of our services, which could reduce our revenue, tarnish our reputation, and subject us to significant liability.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Further, the audit processes, penetration and vulnerability testing, and controls used within our production platforms, may not be sufficient to identify and prevent errors or deliberate misuse.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A data breach or security incident could result in a loss of confidential data, give rise to remediation and other expenses, expose us to liability under HIPAA, the Health Information Technology for Economic and Clinical Health Act (HITECH), foreign data privacy regulations, federal and state privacy laws, consumer protection laws, common law theories or other laws, subject us to litigation and federal and state governmental inquiries, damage our reputation, and otherwise be disruptive to our business.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collect and store sensitive information, including intellectual property, individually identifiable health information, provider credentialing and privileging data, and other personally identifiable information, on our networks. The secure maintenance of this information is critical to our business operations. As a result, the continued development and enhancement of controls, processes, and practices designed to protect our information systems from attack, damage, or unauthorized access remain a priority for us. We have implemented multiple layers of security measures to protect this confidential data through technology, processes, and our people, and our defenses are monitored and routinely tested internally and by external parties. Despite these efforts, a data breach or security incident could result from a variety of circumstances and events, including third-party action, system errors, employee negligence or error, malfeasance, computer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viruses, failures during the process of upgrading or replacing software, databases, or components thereof, power outages, hardware failures, telecommunication failures, user errors, catastrophic events, or threats from malicious persons and groups, new vulnerabilities, and advanced new attacks against information systems. In addition, third party IT vendors may not provide us with fixes or updates to hardware or software in a manner as to avoid an unauthorized loss or disclosure or to address a known vulnerability, which may subject us to known threats or downtime as a result of those delays.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There can be no assurance that we will not be subject to data incidents that bypass our security measures, result in loss of confidential information, or disrupt our information systems or business. Data incidents could result in interruptions, delays, loss, access, misappropriation, and disclosure or corruption of data and could damage our reputation. In addition, data incidents could expose us and our customers to liability under privacy, security, and consumer protection laws, such as HIPAA, or litigation under these or other laws, including common law theories, and subject us to federal and state governmental inquiries or enforcement, especially if a large number of individuals are affected or if the compromised information is highly sensitive. Like many other organizations, we have experienced data incidents from time to time in the course of our business and handled these incidents in accordance with our internal policies and understanding of the applicable laws.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As cyber and other threats to confidential information continue to evolve, we may be required to expend significant additional resources to continue to modify or enhance our protective measures or to investigate and remediate any security vulnerabilities. The occurrence of a data incident and the resulting potential costs and liabilities could have an adverse effect on our financial position and results of operations and harm our business reputation.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may experience errors or omissions in our software products or processes, including those that deliver provider credentialing, privileging and payer enrollment services for our hospitals and medical practice customers, and those that administer and report on hospital performance, and these errors could result in action taken against us that could harm our business.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Hospitals and medical practices use our credentialing, privileging, and payer enrollment software to manage, validate, and maintain their providers’ credentials and authorization to practice in a particular facility, and to maintain authorization to perform care covered by insurance providers. In some instances, we rely on sources outside the Company for information that we use in our credentialing and privileging products. If errors or omissions occur that inaccurately validate or invalidate the credentials of a provider, or improperly deny or authorize a provider to practice in a hospital or medical practice, these errors or omissions could result in litigation brought against us either by our customers, the provider, or other interested parties. For example, an important element in a malpractice case brought against a hospital or other provider could be the validation of proper credentialing for the provider, and any errors or omissions in our products that provide these services could subject us to claims. Further, a list of providers’ privileges may be made available to the general public by hospitals and medical practices, and errors in credentialing and privileging may result in damage to the hospital, medical practice, or provider.</w:t>
      </w:r>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may be required to indemnify against such claims, and defending against any such claims could be costly, and time-consuming and could negatively affect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expiration of our legacy agreements with Laerdal could adversely affect our business and future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legacy agreements with Laerdal (Legacy Agreements) for the HeartCode and Resuscitation Quality Improvement (RQI) products expired pursuant to their terms on December 31, 2018 and will not be renewed. Revenues associated with sales of HeartCode and RQI products pursuant to the Legacy Agreements have been significant in recent years, although margins on such products have been lower than HealthStream’s average margin. Revenues from HeartCode and RQI pursuant to the Legacy Agreements will run out to zero dollars in the first quarter of 2021, and will decline prior thereto as we conclude the fulfillment of HeartCode and RQI purchases made prior to December 31, 2018.</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While we have entered into agreements to market, sell, and deliver new resuscitation programs to our customers (i.e., other than HeartCode and RQI), including through our collaboration with the American Red Cross, there is no assurance that we will be successful in efforts to market, sell, or deliver such products. To the extent we are not successful in these efforts and new resuscitation programs do not generate revenue and/or earnings in a manner that supplants the impact of the Legacy Agreements, our revenue and results of operations will be adversely affected.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certain risks associated with the sale of our Patient Experience business which was completed in February 2018.</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February 2018, we completed the sale of our PX business to Press Ganey. As a result of this transaction, we are now highly dependent on the success of our two remaining business segments, our workforce solutions segment and provider solutions segment. In addition, in connection with the sale of our PX business to Press Ganey, we agreed to indemnify Press Ganey with respect to certain matters, including the breach of our representations, warranties, and covenants contained in the agreements related to this transaction as well as in connection with the performance of certain transition services provided for a period of time following the closing. A material breach or inaccuracy of these representations, warranties, and covenants in any of the agreements related to those transactions could lead to a claim against us, which could require us to pay substantial sums and incur related costs and expenses.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addition, many of the customer contracts associated with the PX business were shared contracts (Shared Contracts) under which we have provided services in connection with our existing businesses and under which we previously (prior to the closing of the sale of our Patient Experience business) provided services in connection with the Patient Experience business. Under the terms of our agreement with Press Ganey, these Shared Contracts were retained by us; however, following the completion of such disposition, Press Ganey has provided services to our customers under these Shared Contracts to the extent related to the Patient Experience business (and is entitled to receive the benefit of payments made by our customers in connection therewith) until such time that Press Ganey has obtained a replacement contract and/or an assignment with respect to the portion of the Shared Contract that relates to the Patient Experience business. As a result, if Press Ganey is unable to satisfy its obligations under the Shared Contracts or if other issues arise in connection this arrangement, we could incur operational or reputational losses that may adversely affect our results of operations or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 Regulation, Content and Intellectual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 may subject us to investigation, litigation, or liability or require us to change the way we do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laws and regulations that govern our business change rapidly. Evolving areas of law that are relevant to our business include privacy and security laws, proposed encryption laws, content regulation, information security accountability regulation, sales and use tax laws, and regulations and attempts to regulate activities on the Internet. For example, we are directly subject to certain requirements of the HIPAA privacy and security regulations. In addition, we are required through contracts with our customers known as “business associate agreements” to protect the privacy and security of certain personal and health related information. Further, government laws and regulations, such as the Affordable Care Act, that directly affect our customers, can have an indirect impact on our business.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rapidly evolving and uncertain regulatory and technology environment could require us to change how we do business or incur additional costs. It may be difficult to predict how changes to these laws and regulations might affect our business. Our current and past privacy and security practices, including any breaches of protected health information or other data, could be subject to review or other investigation by various state and federal regulatory authorities or could become the subject of future litigation.</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Failure to comply with applicable laws and regulations, including those governing privacy and security, could subject us to civil and criminal penalties, subject us to contractual penalties (including termination of our customer agreements), adversely affect our ability to retain clients and attract new clients, damage our reputation, or otherwise have a detrimental impact on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reduction or change in the regulation of continuing education and training in the healthcare industry may adversely affect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portion of 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and ANCC. The failure to maintain status as an accredited provider could have a detrimental effect on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liable to third parties for content that is sold or made available by 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may be liable to third parties for the content sold or made available by us if the text, graphics, software, or other content therein violates copyright, trademark, or other intellectual property rights, if our content partners violate their contractual obligations to others by providing content that we sell or make available, or if the content is inaccurate, incomplete, or does not conform to accepted standards of care in the healthcare profession. Further, we may be liable to these content partners if we allow access or release and lose control of their content stored on our platform either due to security issues or through improper release to customers who have not paid for access to this content.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in most instances contain provisions providing for indemnification by the content providers in the event of inaccurate content, our content partners may not have the financial resources to meet these indemnification obligations. Alleged liability could harm our business by damaging our reputation, requiring us to incur legal costs in defense, exposing us to awards of damages and costs, and diverting management’s attention away from our business.</w:t>
      </w:r>
    </w:p>
    <w:p>
      <w:pPr>
        <w:spacing w:after="0" w:line="18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Protection of certain intellectual property may be difficult and costly, and our inability to protect our intellectual property could reduce the value of our products and services.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Despite our efforts to protect our intellectual property rights, as well as the intellectual property rights of our strategic partners, a third party could, without authorization, copy or otherwise misappropriate our content, information from our databases, or other intellectual property, including that of our third party strategic partners. Our agreements with employees, consultants and others who participate in development activities could be breached and result in our trade secrets becoming known. Alternatively, competitors and other third parties may independently develop or create content or systems that do not infringe our intellectual property rights.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business could be harmed if unauthorized parties infringe upon or misappropriate our intellectual property, proprietary systems, content, platform, services or other information, or the intellectual property of our strategic partners. Our efforts to protect our intellectual property through copyright, trademarks, and other controls, as well as our efforts to protect the intellectual property of our strategic partners,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 We also have certain contractual obligations to protect the intellectual property of our strategic partners, and could be required to indemnify such strategic partners if we do not adequately provide such protections.</w:t>
      </w:r>
    </w:p>
    <w:p>
      <w:pPr>
        <w:spacing w:after="0" w:line="3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There has been substantial litigation in the software services and healthcare technology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an adverse effect upon our business, financial condition, and operating results. Such royalty and licensing agreements may not be available on terms acceptable to us, if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liable for infringing the intellectual property rights of others.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competitors may develop similar intellectual property, duplicate our products and/or services, or design around any patents or other intellectual property rights we hold.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especially as the number of our competitors grows. These claims, even if not meritorious, could be expensive and divert our attention from operating our company and result in a temporary inability to use the intellectual property subject to such claim. In addition, if we and/or our affiliates and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 variety of other state, national, foreign, and international laws and regulations apply to the collection, use, retention, protection, security, disclosure, transfer, and other processing of personal data. California has passed the California Consumer Privacy Act of 2018 (CCPA), which takes effect January 1, 2020. The CCPA applies broadly to information that identifies or is associated with any California household or individual, and compliance with the CCPA requires that we implement several operational changes, including processes to respond to individuals’ data access and deletion requests. In addition, many foreign data privacy regulations (including the General Data Protection Regulation (GDPR), which became effective in the European Union on May 25, 2018, and China’s Cybersecurity Law which became effective in 2017) can be more stringent than those in the United States. These laws and regulations are rapidly evolving and changing, and could have an adverse effect on our operations. Companies’ obligations and requirements under these laws and regulations are subject to uncertainty in how they may be interpreted by government authorities and regulators. The costs of compliance with, and the other burdens imposed by, these and other laws or regulatory actions may increase our operational costs, prevent us from selling our products or services, and/or affect our ability to invest in or jointly develop products. We may also face audits or investigations by one or more domestic or foreign government agencies relating to our compliance with these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by changes in U.S. tax laws and regulations.</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Tax Cuts and Jobs Act of 2017 (Tax Act), which was signed into law on December 22, 2017, made significant changes to the taxation of U.S. business entities. These changes included a permanent reduction to the federal corporate income tax rate to 21 percent from 35 percent, among other changes. The Company has accounted for the effects of the Tax Act using reasonable estimates based on currently available information and interpretations thereof. This accounting may change due to, among other things, changes in interpretations we have made and the issuance of new tax or accounting guidance.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possible that governmental authorities in the United States could further amend tax laws in a manner that would adversely impact 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principal office is located in Nashville, Tennessee, which is primarily used to support our workforce solutions operations and corporate functions. Our lease for approximately 73,000 square feet at this location expires in April 2019, at or near which time we expect to relocate and consolidate our corporate headquarters to nearby space with approximately 92,000 square feet in Nashville, the lease for which we entered into in April 2017 and will also replace our Brentwood, Tennessee office. As of December 31, 2018, we leased other facilities in Nashville, Tennessee; Jericho, New York; Brentwood, Tennessee; San Diego, California; Chicago, Illinois; and Boulder, Colorado.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common stock is traded on the Nasdaq Global Select Market under the symbol “HSTM”. Our common stock began trading on the Nasdaq National Market on April 14, 2000.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7, 2019, the Company had a total of 9,875 shareholders, including 517 registered holders and 9,358 beneficial holders.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declared a $1.00 per common share special cash dividend with the proceeds from the divestiture of the Patient Experience business segment, paid on April 3, 2018 to shareholders of record on March 6, 2018. We do not anticipate paying normal cash dividends in the future as we intend to retain earnings for use in the operation of our business.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See the table labeled “Securities Authorized for Issuance Under Equity Compensation Plans” to be contained in our 2019 Proxy Statement, incorporated by reference in Part III, Item 12 of this Annual Report on Form 10-K.</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graph below compares HealthStream, Inc.’s cumulative total shareholder return on common stock with the cumulative total returns of companies on the Nasdaq Composite Index and the Nasdaq Computer &amp; Data Processing Index for each of the last five fiscal years ended December 31, 2018, assuming an initial investment of $100. Data for the Nasdaq Composite Index and the Nasdaq Computer &amp; Data Processing Index assume the reinvestment of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comparisons in the graph below are based on historical data and are not necessarily indicative of future performance of our common stock.</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COMPARISON OF 5 YEAR CUMULATIVE TOTAL RETURN </w:t>
      </w:r>
      <w:r>
        <w:rPr>
          <w:rFonts w:ascii="Times New Roman" w:cs="Times New Roman" w:eastAsia="Times New Roman" w:hAnsi="Times New Roman"/>
          <w:sz w:val="14"/>
          <w:szCs w:val="14"/>
          <w:b w:val="1"/>
          <w:bCs w:val="1"/>
          <w:color w:val="auto"/>
        </w:rPr>
        <w:t>(1)</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Among HealthStream, Inc., the Nasdaq Composite Index</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the Nasdaq Computer &amp; Data Processing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161290</wp:posOffset>
            </wp:positionV>
            <wp:extent cx="4476750" cy="3910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7675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$100 invested on 12/31/13 in stock or index, including reinvestment of dividends; fiscal year ending December 31.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selected statement of income and balance sheet data for the five years prior to December 31, 2018 is derived from our audited consolidated financial statements.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should read the following selected financial data in conjunction with our consolidated financial statements and the notes to those statements and “Management’s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Discussion and Analysis of Financial Condition and Results of Operations” included elsewhere in this report.</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In February 2018, HealthStream divested its PX business to Press Ganey. The results of operations for the PX are presented as discontinued operations within the consolidated statement of income data set forth below. Additionally, on January 1, 2018, HealthStream adopted Accounting Standards Update (ASU) 2014-09, </w:t>
      </w:r>
      <w:r>
        <w:rPr>
          <w:rFonts w:ascii="Times New Roman" w:cs="Times New Roman" w:eastAsia="Times New Roman" w:hAnsi="Times New Roman"/>
          <w:sz w:val="17"/>
          <w:szCs w:val="17"/>
          <w:i w:val="1"/>
          <w:iCs w:val="1"/>
          <w:color w:val="auto"/>
        </w:rPr>
        <w:t xml:space="preserve">Revenue from Contracts with Customers (Topic 606) </w:t>
      </w:r>
      <w:r>
        <w:rPr>
          <w:rFonts w:ascii="Times New Roman" w:cs="Times New Roman" w:eastAsia="Times New Roman" w:hAnsi="Times New Roman"/>
          <w:sz w:val="17"/>
          <w:szCs w:val="17"/>
          <w:color w:val="auto"/>
        </w:rPr>
        <w:t>and all the related amendments and guidance (collectively, ASC 606), using the modified retrospective method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cumulative effect of initially applying the guidance recognized upon adoption. The financial information below for the periods 2014 – 2017 has not been restated and continues to be reported under the revenue recognition standard which was in effect for those periods (ASC 605). See Note 1 of the Notes to the Consolidated Financial Statements, included elsewhere in this report, for further information.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HealthStream has completed several acquisitions during the five years prior to December 31, 2018, including the acquisitions of Health Care Compliance Strategies, Inc. on March 3, 2014, HealthLine Systems, Inc. on March 16, 2015, Performance Management Services, Inc. on June 30, 2016, Nursing Registry Consultants Corporation on July 25, 2016, and Morrisey Associates, Inc. on August 8, 2016. The results of operations for these acquired companies are included within our consolidated statement of income data effective from the respective dates of acquisition. As a result of these factors, the annual results presented below are not comparable. The operating results for any single year are not necessarily indicative of the results to be expected in the future.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6"/>
          </w:tcPr>
          <w:p>
            <w:pPr>
              <w:jc w:val="center"/>
              <w:ind w:left="3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6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6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5"/>
                <w:szCs w:val="15"/>
                <w:b w:val="1"/>
                <w:bCs w:val="1"/>
                <w:color w:val="auto"/>
              </w:rPr>
              <w:t>2018</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2017</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2016</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w w:val="99"/>
              </w:rPr>
              <w:t>2015</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2014</w:t>
            </w:r>
          </w:p>
        </w:tc>
        <w:tc>
          <w:tcPr>
            <w:tcW w:w="120" w:type="dxa"/>
            <w:vAlign w:val="bottom"/>
            <w:tcBorders>
              <w:bottom w:val="single" w:sz="8" w:color="CFF0FC"/>
            </w:tcBorders>
          </w:tcPr>
          <w:p>
            <w:pPr>
              <w:spacing w:after="0"/>
              <w:rPr>
                <w:sz w:val="18"/>
                <w:szCs w:val="18"/>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STATEMENT OF INCOME DATA:</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231,616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214,899</w:t>
            </w:r>
          </w:p>
        </w:tc>
        <w:tc>
          <w:tcPr>
            <w:tcW w:w="24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192,124</w:t>
            </w:r>
          </w:p>
        </w:tc>
        <w:tc>
          <w:tcPr>
            <w:tcW w:w="2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174,809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138,789</w:t>
            </w:r>
          </w:p>
        </w:tc>
        <w:tc>
          <w:tcPr>
            <w:tcW w:w="120" w:type="dxa"/>
            <w:vAlign w:val="bottom"/>
          </w:tcPr>
          <w:p>
            <w:pPr>
              <w:spacing w:after="0"/>
              <w:rPr>
                <w:sz w:val="18"/>
                <w:szCs w:val="18"/>
                <w:color w:val="auto"/>
              </w:rPr>
            </w:pPr>
          </w:p>
        </w:tc>
      </w:tr>
      <w:tr>
        <w:trPr>
          <w:trHeight w:val="22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205,492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184,953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161,641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122,384</w:t>
            </w:r>
          </w:p>
        </w:tc>
        <w:tc>
          <w:tcPr>
            <w:tcW w:w="120" w:type="dxa"/>
            <w:vAlign w:val="bottom"/>
            <w:shd w:val="clear" w:color="auto" w:fill="CFF0FC"/>
          </w:tcPr>
          <w:p>
            <w:pPr>
              <w:spacing w:after="0"/>
              <w:rPr>
                <w:sz w:val="19"/>
                <w:szCs w:val="19"/>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16,405</w:t>
            </w:r>
          </w:p>
        </w:tc>
        <w:tc>
          <w:tcPr>
            <w:tcW w:w="120" w:type="dxa"/>
            <w:vAlign w:val="bottom"/>
          </w:tcPr>
          <w:p>
            <w:pPr>
              <w:spacing w:after="0"/>
              <w:rPr>
                <w:sz w:val="18"/>
                <w:szCs w:val="18"/>
                <w:color w:val="auto"/>
              </w:rPr>
            </w:pPr>
          </w:p>
        </w:tc>
      </w:tr>
      <w:tr>
        <w:trPr>
          <w:trHeight w:val="22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10,367</w:t>
            </w:r>
          </w:p>
        </w:tc>
        <w:tc>
          <w:tcPr>
            <w:tcW w:w="120" w:type="dxa"/>
            <w:vAlign w:val="bottom"/>
            <w:shd w:val="clear" w:color="auto" w:fill="CFF0FC"/>
          </w:tcPr>
          <w:p>
            <w:pPr>
              <w:spacing w:after="0"/>
              <w:rPr>
                <w:sz w:val="19"/>
                <w:szCs w:val="19"/>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(1,036)</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r>
      <w:tr>
        <w:trPr>
          <w:trHeight w:val="22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10,394</w:t>
            </w:r>
          </w:p>
        </w:tc>
        <w:tc>
          <w:tcPr>
            <w:tcW w:w="120" w:type="dxa"/>
            <w:vAlign w:val="bottom"/>
            <w:shd w:val="clear" w:color="auto" w:fill="CFF0FC"/>
          </w:tcPr>
          <w:p>
            <w:pPr>
              <w:spacing w:after="0"/>
              <w:rPr>
                <w:sz w:val="19"/>
                <w:szCs w:val="19"/>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PER SHARE DATA (DILUTED):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shd w:val="clear" w:color="auto" w:fill="CFF0FC"/>
          </w:tcPr>
          <w:p>
            <w:pPr>
              <w:spacing w:after="0"/>
              <w:rPr>
                <w:sz w:val="19"/>
                <w:szCs w:val="19"/>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from discontinued operations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(0.03)</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shd w:val="clear" w:color="auto" w:fill="CFF0FC"/>
          </w:tcPr>
          <w:p>
            <w:pPr>
              <w:spacing w:after="0"/>
              <w:rPr>
                <w:sz w:val="19"/>
                <w:szCs w:val="19"/>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28,023</w:t>
            </w:r>
          </w:p>
        </w:tc>
        <w:tc>
          <w:tcPr>
            <w:tcW w:w="120" w:type="dxa"/>
            <w:vAlign w:val="bottom"/>
          </w:tcPr>
          <w:p>
            <w:pPr>
              <w:spacing w:after="0"/>
              <w:rPr>
                <w:sz w:val="18"/>
                <w:szCs w:val="18"/>
                <w:color w:val="auto"/>
              </w:rPr>
            </w:pPr>
          </w:p>
        </w:tc>
      </w:tr>
      <w:tr>
        <w:trPr>
          <w:trHeight w:val="22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BALANCE SHEET DATA:</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134,321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84,768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49,634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81,995</w:t>
            </w:r>
          </w:p>
        </w:tc>
        <w:tc>
          <w:tcPr>
            <w:tcW w:w="120" w:type="dxa"/>
            <w:vAlign w:val="bottom"/>
            <w:shd w:val="clear" w:color="auto" w:fill="CFF0FC"/>
          </w:tcPr>
          <w:p>
            <w:pPr>
              <w:spacing w:after="0"/>
              <w:rPr>
                <w:sz w:val="19"/>
                <w:szCs w:val="19"/>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38,973</w:t>
            </w:r>
          </w:p>
        </w:tc>
        <w:tc>
          <w:tcPr>
            <w:tcW w:w="120" w:type="dxa"/>
            <w:vAlign w:val="bottom"/>
          </w:tcPr>
          <w:p>
            <w:pPr>
              <w:spacing w:after="0"/>
              <w:rPr>
                <w:sz w:val="18"/>
                <w:szCs w:val="18"/>
                <w:color w:val="auto"/>
              </w:rPr>
            </w:pPr>
          </w:p>
        </w:tc>
      </w:tr>
      <w:tr>
        <w:trPr>
          <w:trHeight w:val="22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38,124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36,691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29,654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27,978</w:t>
            </w:r>
          </w:p>
        </w:tc>
        <w:tc>
          <w:tcPr>
            <w:tcW w:w="120" w:type="dxa"/>
            <w:vAlign w:val="bottom"/>
            <w:shd w:val="clear" w:color="auto" w:fill="CFF0FC"/>
          </w:tcPr>
          <w:p>
            <w:pPr>
              <w:spacing w:after="0"/>
              <w:rPr>
                <w:sz w:val="19"/>
                <w:szCs w:val="19"/>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31,212</w:t>
            </w:r>
          </w:p>
        </w:tc>
        <w:tc>
          <w:tcPr>
            <w:tcW w:w="120" w:type="dxa"/>
            <w:vAlign w:val="bottom"/>
          </w:tcPr>
          <w:p>
            <w:pPr>
              <w:spacing w:after="0"/>
              <w:rPr>
                <w:sz w:val="18"/>
                <w:szCs w:val="18"/>
                <w:color w:val="auto"/>
              </w:rPr>
            </w:pPr>
          </w:p>
        </w:tc>
      </w:tr>
      <w:tr>
        <w:trPr>
          <w:trHeight w:val="22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Working capital</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134,581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98,662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82,467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120,459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96,999</w:t>
            </w:r>
          </w:p>
        </w:tc>
        <w:tc>
          <w:tcPr>
            <w:tcW w:w="120" w:type="dxa"/>
            <w:vAlign w:val="bottom"/>
            <w:shd w:val="clear" w:color="auto" w:fill="CFF0FC"/>
          </w:tcPr>
          <w:p>
            <w:pPr>
              <w:spacing w:after="0"/>
              <w:rPr>
                <w:sz w:val="19"/>
                <w:szCs w:val="19"/>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256,908</w:t>
            </w:r>
          </w:p>
        </w:tc>
        <w:tc>
          <w:tcPr>
            <w:tcW w:w="120" w:type="dxa"/>
            <w:vAlign w:val="bottom"/>
          </w:tcPr>
          <w:p>
            <w:pPr>
              <w:spacing w:after="0"/>
              <w:rPr>
                <w:sz w:val="18"/>
                <w:szCs w:val="18"/>
                <w:color w:val="auto"/>
              </w:rPr>
            </w:pPr>
          </w:p>
        </w:tc>
      </w:tr>
      <w:tr>
        <w:trPr>
          <w:trHeight w:val="22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 – current and noncurrent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68,929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63,034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53,924</w:t>
            </w:r>
          </w:p>
        </w:tc>
        <w:tc>
          <w:tcPr>
            <w:tcW w:w="120" w:type="dxa"/>
            <w:vAlign w:val="bottom"/>
            <w:shd w:val="clear" w:color="auto" w:fill="CFF0FC"/>
          </w:tcPr>
          <w:p>
            <w:pPr>
              <w:spacing w:after="0"/>
              <w:rPr>
                <w:sz w:val="19"/>
                <w:szCs w:val="19"/>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167,859</w:t>
            </w:r>
          </w:p>
        </w:tc>
        <w:tc>
          <w:tcPr>
            <w:tcW w:w="120" w:type="dxa"/>
            <w:vAlign w:val="bottom"/>
          </w:tcPr>
          <w:p>
            <w:pPr>
              <w:spacing w:after="0"/>
              <w:rPr>
                <w:sz w:val="18"/>
                <w:szCs w:val="18"/>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the risks described under “Risk Factors”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elsewhere in this report, as well as additional risks or uncertainties not presently known to us, or that we currently deem immaterial.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HealthStream provides workforce development and provider solutions for healthcare organizations—all designed to assess and develop the people that deliver patient care, which, in turn, supports the improvement of business and clinical outcomes. Workforce Solutions products are used by healthcare organizations to meet a broad range of their clinical development, talent management, training, certification, competency assessment, and performance appraisal needs. Provider Solutions products are used by healthcare organizations for provider credentialing, privileging, and enrollment needs. HealthStream’s customers include healthcare organizations, pharmaceutical and medical device companies, and other participants in the healthcare industry.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February 12, 2018, the Company divested its PX business to Press Ganey for $65.2 million in cash (after giving effect to the post-closing working capital adjustment), of which $6.5 million is being held in escrow for a period of time following the disposition as a source of recovery for indemnification claims by Press Ganey. The sale of the PX business was effected by (i) the contribution by the Company of specified assets and certain liabilities used in the PX business to a newly-formed wholly-owned subsidiary of the Company, and (ii) immediately thereafter, the sale by the Company to Press Ganey of all of the outstanding equity interests of such wholly-owned subsidiary. In connection with such contribution, the Company retained certain liabilities related to the PX business.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Prior to the disposition of the PX business, our Patient Experience Solutions products provided our customers information about patients’ experiences and how to improve them, workforce engagement, physician relations, and community perceptions of their services. The historical financial results of the PX business for periods prior to the closing of the disposition of the PX business on February 12, 2018 are reflected in the Company’s consolidated financial statements as discontinued operations. This sale of the PX business resulted in the Company’s divestiture of the patient experience solutions business segment.</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Revenues for the year ended December 31, 2018 were $231.6 million, compared to $214.9 million for the year ended December 31, 2017, an increase of 8%. Operating income increased by 65% to $15.5 million for 2018, compared to $9.4 million for 2017. Income from continuing operations increased by 50% to $13.3 million for 2018, compared to $8.8 million for 2017. Earnings per share (EPS) from continuing operations were $0.41 per share (diluted) for 2018, compared to $0.27 per share (diluted) for 2017. Net income increased to $32.2 million for 2018, compared to $10.0 million for 2017, which increase was primarily driven by the $19.0 million gain, net of tax, on the sale of the PX business. Earnings per share were $1.00 per share (diluted) for 2018 compared to $0.31 per share (diluted) for 2017. Revenues from HealthStream Workforce Solutions grew by 7%, or $12.1 million, and revenues from HealthStream Provider Solutions grew by 13%, or $4.6 million. As of December 31, 2018, the Company had approximately 4.93 million total subscribers, of which approximately 4.82 million were fully implemented subscribers on its SaaS-based platform. As of December 31, 2018, cash and investment balances approximated $168.8 million, and the Company maintained full availability under its $50.0 million revolving credit facility.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is recognized based on the following five step model:</w:t>
      </w:r>
    </w:p>
    <w:p>
      <w:pPr>
        <w:spacing w:after="0" w:line="25"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with a customer</w:t>
      </w:r>
    </w:p>
    <w:p>
      <w:pPr>
        <w:spacing w:after="0" w:line="7"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7"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7"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7"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Subscription/SaaS services revenues primarily consist of fees in consideration of providing customers access to one or more of our SaaS-based solutions and/or courseware subscriptions, as well as fees related to licensing agreements, all of which include routine customer support and technology enhancements. Revenue is generally recognized over time during the contract term beginning when the service is made available to the customer. Subscription/SaaS contracts are generally non-cancelable, one to five years in length, and billed annually, semi-annually, quarterly, or monthly in advance.</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Professional services revenues primarily consist of fees for implementation services, consulting, custom courseware development, and training. The majority of our professional services contracts are billed in advance based on a fixed price basis, and revenue is recognized over time as the services are performed. For both subscription/SaaS services and professional services, the time between billing the customer and when performance obligations are satisfied is generally not significant.</w:t>
      </w:r>
    </w:p>
    <w:p>
      <w:pPr>
        <w:spacing w:after="0" w:line="3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contracts with customers often contain multiple performance obligations. For these contracts, the Company accounts for individual performance obligations separately if they are distinct. The contract price, which represents transaction price,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subscribers within the contract.</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receive payments from customers based on billing schedules established in our contracts. Accounts receivable - unbilled represent contract assets related to our conditional right to consideration where performance has occurred under the contract. Accounts receivable are primarily comprised of trade receivables that are recorded at the invoice amount, net of an allowance for doubtful accounts, when the right to consideration becomes unconditional. Other receivables, which are included within Accounts Receivable, include receivables from certain content partners and are not material.</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Deferred revenue represents contract liabilities that are recorded when cash payments are received or are due in advance of our satisfaction of performance obligations.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for Income Taxes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periodically assesses the realizability of its deferred tax assets, and to the extent that we believe a recovery is not likely, we establish a valuation allowance to reduce the deferred tax asset to the amount we estimate will be recoverable. The Company maintains a valuation allowance of approximately $311,000 for the portion of its deferred tax assets that are not more likely than not expected to be realized.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Software Development Costs</w:t>
      </w:r>
    </w:p>
    <w:p>
      <w:pPr>
        <w:spacing w:after="0" w:line="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Capitalized software development includes costs to develop and maintain our products and applications, including our SaaS-based workforce development and provider solutions platform products, which are accounted for as internal use software. For internal use software development, once planning is completed and the software development process begins, internal costs and payments to third parties associated with the software development efforts are capitalized when the life expectancy is greater than one year and the anticipated cash flows are expected to exceed the cost of the related asset. During 2018 and 2017, we capitalized approximately $11.9 million and $10.2 million, respectively, for software development. Such amounts are included in the accompanying consolidated balance sheets under the caption “capitalized software development.” The Company amortizes capitalized software development costs over their expected life of generally three years using the straight-line method. Capitalized software development costs are subject to a periodic impairment review in accordance with our impairment review policy. In connection with capitalized software development, significant estimates involve the assessment of the development period for new products and feature enhancements, as well as the expected useful life of underlying software, feature enhancements, or product created. Once capitalized, software development costs are subject to the policies and estimates described below regarding goodwill, intangibles, and other long-lived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Intangibles, and Other Long-lived Assets</w:t>
      </w:r>
    </w:p>
    <w:p>
      <w:pPr>
        <w:spacing w:after="0" w:line="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Company evaluates goodwill for impairment at the reporting unit level by assessing whether it is more likely than not that the fair value of a reporting unit exceeds its carrying value. If this assessment concludes that it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assessment whenever events or changes in facts or circumstances indicate that impairment may exist and also during the fourth quarter each year. Intangible assets and other long-lived assets are also reviewed for events or changes in facts and circumstances, both internally and externally, which may indicate an impairment is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Doubtful Accounts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estimates its allowance for doubtful accounts to include accounts that may become uncollectible in the future, along with using a specific identification method in which management considers the facts and circumstances surrounding each potentially uncollectible receivable. Uncollectible receivables are written-off in the period management believes it has exhausted its ability to collect payment from the customer. Bad debt expense is recorded when events or circumstances indicate an additional allowance is required. Our allowance for doubtful accounts totaled approximately $1.2 million as of December 31,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 and Expense Components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descriptions of the components of revenues and expenses apply to the comparison of results of operations.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Revenues, net. </w:t>
      </w:r>
      <w:r>
        <w:rPr>
          <w:rFonts w:ascii="Times New Roman" w:cs="Times New Roman" w:eastAsia="Times New Roman" w:hAnsi="Times New Roman"/>
          <w:sz w:val="17"/>
          <w:szCs w:val="17"/>
          <w:color w:val="auto"/>
        </w:rPr>
        <w:t>Revenues for our HealthStream Workforce Solutions business segment primarily consist of the following products and services: provision of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our SaaS-based platform, authoring tools, a variety of content subscriptions, competency and performance appraisal tools, implementation and consulting services, content development, training, and a variety of other educational activities to serve professionals that work within healthcare organizations. Revenues for our HealthStream Provider Solutions business segment consist of proprietary software applications to help facilitate provider credentialing, privileging, call center, and enrollment administration for healthcare organizations.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Cost of Revenues (excluding depreciation and amortization). </w:t>
      </w:r>
      <w:r>
        <w:rPr>
          <w:rFonts w:ascii="Times New Roman" w:cs="Times New Roman" w:eastAsia="Times New Roman" w:hAnsi="Times New Roman"/>
          <w:sz w:val="17"/>
          <w:szCs w:val="17"/>
          <w:color w:val="auto"/>
        </w:rPr>
        <w:t>Cost of revenues (excluding depreciation and amortization) consists primarily of salaries and employee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stock based compensation, employee travel and lodging, materials,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handle customer support calls or inquiries; manage the technology infrastructure for our applications; manage content; and provide training or implementation services.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Product Development. </w:t>
      </w:r>
      <w:r>
        <w:rPr>
          <w:rFonts w:ascii="Times New Roman" w:cs="Times New Roman" w:eastAsia="Times New Roman" w:hAnsi="Times New Roman"/>
          <w:sz w:val="17"/>
          <w:szCs w:val="17"/>
          <w:color w:val="auto"/>
        </w:rPr>
        <w:t>Product development consists primarily of salaries and employee benefits, contract labor, stock based compensation, costs associated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of new software feature enhancements, new products, and costs associated with maintaining and developing our products. Personnel costs within product development include our systems, application development, quality assurance teams, product managers, and other personnel associated with software and product development.</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consists primarily of salaries and employee benefits, commissions, stock based compensation, employee travel and lodging,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advertising, trade shows, customer conferences, promotions, and related marketing costs. Personnel costs within sales and marketing include our sales teams and marketing personnel.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Other General and Administrative Expenses. </w:t>
      </w:r>
      <w:r>
        <w:rPr>
          <w:rFonts w:ascii="Times New Roman" w:cs="Times New Roman" w:eastAsia="Times New Roman" w:hAnsi="Times New Roman"/>
          <w:sz w:val="17"/>
          <w:szCs w:val="17"/>
          <w:color w:val="auto"/>
        </w:rPr>
        <w:t>Other general and administrative expenses consist primarily of salaries and employee benefits, stock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employee travel and lodging, facility costs, office expenses, fees for professional services, business development and acquisition related costs, 3</w:t>
      </w:r>
      <w:r>
        <w:rPr>
          <w:rFonts w:ascii="Times New Roman" w:cs="Times New Roman" w:eastAsia="Times New Roman" w:hAnsi="Times New Roman"/>
          <w:sz w:val="14"/>
          <w:szCs w:val="14"/>
          <w:color w:val="auto"/>
        </w:rPr>
        <w:t>rd</w:t>
      </w:r>
      <w:r>
        <w:rPr>
          <w:rFonts w:ascii="Times New Roman" w:cs="Times New Roman" w:eastAsia="Times New Roman" w:hAnsi="Times New Roman"/>
          <w:sz w:val="17"/>
          <w:szCs w:val="17"/>
          <w:color w:val="auto"/>
        </w:rPr>
        <w:t xml:space="preserve"> party software licensing for internal use, and other operational expenses. Personnel costs within general and administrative expenses include individuals associated with normal corporate functions (accounting, legal, business development, human resources, administrative, internal information systems, and executive management).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Depreciation and Amortization. </w:t>
      </w:r>
      <w:r>
        <w:rPr>
          <w:rFonts w:ascii="Times New Roman" w:cs="Times New Roman" w:eastAsia="Times New Roman" w:hAnsi="Times New Roman"/>
          <w:sz w:val="17"/>
          <w:szCs w:val="17"/>
          <w:color w:val="auto"/>
        </w:rPr>
        <w:t>Depreciation and amortization consist of fixed asset depreciation, amortization of intangibles considered to have definite lives,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amortization of capitalized software development.</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Other Income (Expense), Net. </w:t>
      </w:r>
      <w:r>
        <w:rPr>
          <w:rFonts w:ascii="Times New Roman" w:cs="Times New Roman" w:eastAsia="Times New Roman" w:hAnsi="Times New Roman"/>
          <w:sz w:val="17"/>
          <w:szCs w:val="17"/>
          <w:color w:val="auto"/>
        </w:rPr>
        <w:t>The primary component of other income is interest income related to interest earned on cash, cash equivalents, and investments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marketable securities. The primary component of other expense is interest expense related to our revolving credit facility. In addition, the income or loss attributed to equity method investments and fair value adjustments related to cost method investments is included in this category.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2018 Compared to 2017</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Revenues, net. </w:t>
      </w:r>
      <w:r>
        <w:rPr>
          <w:rFonts w:ascii="Times New Roman" w:cs="Times New Roman" w:eastAsia="Times New Roman" w:hAnsi="Times New Roman"/>
          <w:sz w:val="17"/>
          <w:szCs w:val="17"/>
          <w:color w:val="auto"/>
        </w:rPr>
        <w:t>Revenues increased approximately $16.7 million, or 8%, to $231.6 million for 2018 from $214.9 million for 2017. A comparison of revenues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segment is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by Business Segment:</w:t>
            </w:r>
          </w:p>
        </w:tc>
        <w:tc>
          <w:tcPr>
            <w:tcW w:w="300" w:type="dxa"/>
            <w:vAlign w:val="bottom"/>
          </w:tcPr>
          <w:p>
            <w:pPr>
              <w:spacing w:after="0"/>
              <w:rPr>
                <w:sz w:val="11"/>
                <w:szCs w:val="11"/>
                <w:color w:val="auto"/>
              </w:rPr>
            </w:pPr>
          </w:p>
        </w:tc>
        <w:tc>
          <w:tcPr>
            <w:tcW w:w="104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Pr>
          <w:p>
            <w:pPr>
              <w:spacing w:after="0"/>
              <w:rPr>
                <w:sz w:val="11"/>
                <w:szCs w:val="11"/>
                <w:color w:val="auto"/>
              </w:rPr>
            </w:pPr>
          </w:p>
        </w:tc>
        <w:tc>
          <w:tcPr>
            <w:tcW w:w="13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40" w:type="dxa"/>
            <w:vAlign w:val="bottom"/>
            <w:tcBorders>
              <w:bottom w:val="single" w:sz="8" w:color="CFF0FC"/>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190,139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178,061</w:t>
            </w: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41,477</w:t>
            </w: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36,838</w:t>
            </w:r>
          </w:p>
        </w:tc>
        <w:tc>
          <w:tcPr>
            <w:tcW w:w="320" w:type="dxa"/>
            <w:vAlign w:val="bottom"/>
            <w:tcBorders>
              <w:bottom w:val="single" w:sz="8" w:color="CFF0FC"/>
            </w:tcBorders>
          </w:tcPr>
          <w:p>
            <w:pPr>
              <w:spacing w:after="0"/>
              <w:rPr>
                <w:sz w:val="18"/>
                <w:szCs w:val="18"/>
                <w:color w:val="auto"/>
              </w:rPr>
            </w:pPr>
          </w:p>
        </w:tc>
        <w:tc>
          <w:tcPr>
            <w:tcW w:w="148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revenues, net</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231,616</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214,899</w:t>
            </w:r>
          </w:p>
        </w:tc>
        <w:tc>
          <w:tcPr>
            <w:tcW w:w="3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of Revenues</w:t>
            </w:r>
          </w:p>
        </w:tc>
        <w:tc>
          <w:tcPr>
            <w:tcW w:w="408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r>
      <w:tr>
        <w:trPr>
          <w:trHeight w:val="213"/>
        </w:trPr>
        <w:tc>
          <w:tcPr>
            <w:tcW w:w="4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408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82%</w:t>
            </w:r>
          </w:p>
        </w:tc>
        <w:tc>
          <w:tcPr>
            <w:tcW w:w="2640" w:type="dxa"/>
            <w:vAlign w:val="bottom"/>
          </w:tcPr>
          <w:p>
            <w:pPr>
              <w:jc w:val="right"/>
              <w:ind w:right="1579"/>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408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18%</w:t>
            </w:r>
          </w:p>
        </w:tc>
        <w:tc>
          <w:tcPr>
            <w:tcW w:w="2640" w:type="dxa"/>
            <w:vAlign w:val="bottom"/>
            <w:shd w:val="clear" w:color="auto" w:fill="CFF0FC"/>
          </w:tcPr>
          <w:p>
            <w:pPr>
              <w:jc w:val="right"/>
              <w:ind w:right="1579"/>
              <w:spacing w:after="0"/>
              <w:rPr>
                <w:sz w:val="20"/>
                <w:szCs w:val="20"/>
                <w:color w:val="auto"/>
              </w:rPr>
            </w:pPr>
            <w:r>
              <w:rPr>
                <w:rFonts w:ascii="Times New Roman" w:cs="Times New Roman" w:eastAsia="Times New Roman" w:hAnsi="Times New Roman"/>
                <w:sz w:val="16"/>
                <w:szCs w:val="16"/>
                <w:color w:val="auto"/>
              </w:rPr>
              <w:t>17%</w:t>
            </w:r>
          </w:p>
        </w:tc>
      </w:tr>
    </w:tbl>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Revenues for HealthStream Workforce Solutions, which are primarily subscription-based, increased approximately $12.1 million, or 7%, to $190.1 million for 2018 from $178.1 million for 2017. Revenues in 2018 were positively influenced by growth in subscriptions for courseware and our enterprise applications. Implemented subscribers increased by 4% during 2018 to 4.82 million subscribers at the end of 2018 compared to 4.65 million subscribers at the end of 2017. Additionally, total subscribers increased by 3%, with 4.93 million total subscribers at December 31, 2018 compared to 4.77 million total subscribers at December 31, 2017.</w:t>
      </w:r>
    </w:p>
    <w:p>
      <w:pPr>
        <w:spacing w:after="0" w:line="1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Revenues for HealthStream Provider Solutions increased approximately $4.6 million, or 13%, to $41.5 million for 2018 from $36.8 million for 2017. Revenue growth resulted from higher sales of our provider solutions products and lower deferred revenue write-downs compared to the prior year.</w:t>
      </w:r>
    </w:p>
    <w:p>
      <w:pPr>
        <w:spacing w:after="0" w:line="1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Cost of Revenues (excluding depreciation and amortization). </w:t>
      </w:r>
      <w:r>
        <w:rPr>
          <w:rFonts w:ascii="Times New Roman" w:cs="Times New Roman" w:eastAsia="Times New Roman" w:hAnsi="Times New Roman"/>
          <w:sz w:val="17"/>
          <w:szCs w:val="17"/>
          <w:color w:val="auto"/>
        </w:rPr>
        <w:t>Cost of revenues increased approximately $8.8 million, or 10%, to $96.0 million for 2018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$87.2 million for 2017. Cost of revenues as a percentage of revenues was approximately 41% of revenues for both 2018 and 2017.</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Cost of revenues for HealthStream Workforce Solutions increased approximately $7.1 million to $82.4 million and approximated 43% and 42% of revenues for HealthStream Workforce Solutions for 2018 and 2017, respectively.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increase primarily resulted from increased royalties paid by us resulting from growth in courseware subscription revenues. Cost of revenues for HealthStream Provider Solutions increased approximately $1.7 million to $13.6 million and approximated 33% and 32% of HealthStream Provider Solutions revenues for 2018 and 2017, respectively. The increase is primarily associated with additions to personnel and increased hosting costs.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Product Development. </w:t>
      </w:r>
      <w:r>
        <w:rPr>
          <w:rFonts w:ascii="Times New Roman" w:cs="Times New Roman" w:eastAsia="Times New Roman" w:hAnsi="Times New Roman"/>
          <w:sz w:val="17"/>
          <w:szCs w:val="17"/>
          <w:color w:val="auto"/>
        </w:rPr>
        <w:t>Product development expenses increased approximately $1.6 million, or 7%, to $25.7 million for 2018 from $24.1 million for 2017.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expenses as a percentage of revenues were approximately 11% of revenues for both 2018 and 2017.</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Product development expenses for HealthStream Workforce Solutions increased approximately $1.3 million to $20.9 million and approximated 11% of revenues for HealthStream Workforce Solutions for both 2018 and 2017. The increase is primarily due to additions to personnel during 2018. Product development expenses for HealthStream Provider Solutions increased approximately $286,000 to $4.8 million and approximated 12% of revenues for HealthStream Provider Solutions for both 2018 and 2017. The increase is primarily due to additions to personnel during 2018.</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expenses, including personnel costs, decreased approximately $2.9 million, or 8%, to $35.7 million for 2018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$38.6 million for 2017. Sales and marketing expenses were approximately 15% and 18% of revenues for 2018 and 2017, respectively.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Sales and marketing expenses for HealthStream Workforce Solutions decreased approximately $2.9 million to $28.5 million and approximated 15% and 18% of revenues for HealthStream Workforce Solutions for 2018 and 2017, respectively. The decrease is primarily due to lower sales commissions expense in 2018 compared to 2017 due to the adoption of ASC 606, under which costs to acquire contracts with customers, such as sales commissions, are capitalized. Sales and marketing expenses for HealthStream Provider Solutions increased approximately $162,000 to $6.1 million and approximated 15% and 16% of revenues for HealthStream Provider Solutions for 2018 and 2017, respectively. The increase is primarily due to additions to personnel during 2018, offset by a reduction of sales commissions expense due to ASC 606. The unallocated corporate portion of sales and marketing expenses decreased by $139,000 to $1.1 million over 2017 primarily due to reductions to personnel costs.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Other General and Administrative Expenses. </w:t>
      </w:r>
      <w:r>
        <w:rPr>
          <w:rFonts w:ascii="Times New Roman" w:cs="Times New Roman" w:eastAsia="Times New Roman" w:hAnsi="Times New Roman"/>
          <w:sz w:val="17"/>
          <w:szCs w:val="17"/>
          <w:color w:val="auto"/>
        </w:rPr>
        <w:t>Other general and administrative expenses increased approximately $3.0 million, or 9%, to $34.4 million for 2018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$31.5 million for 2017. Other general and administrative expenses as a percentage of revenues were approximately 15% of revenues for both 2018 and 2017.</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Other general and administrative expenses for HealthStream Workforce Solutions increased approximately $1.6 million to $9.7 million and approximated 5% of revenues for HealthStream Workforce Solutions for both 2018 and 2017. The increase is primarily due to higher administrative costs and higher bad debt expense. Other general and administrative expenses for HealthStream Provider Solutions decreased approximately $888,000 to $4.6 million and approximated 11% and 15% of revenues for HealthStream Provider Solutions for 2018 and 2017, respectively. The decrease is primarily due to a reduction in bad debt expense, which resulted from improved collections and fewer bad debts from customers compared to the prior year. The unallocated corporate portion of other general and administrative expenses increased approximately $2.3 million to $20.1 million over 2017, primarily due to increases to personnel, contract labor, software expense, professional services, acquisition due diligence, and other administrative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Depreciation and Amortization. </w:t>
      </w:r>
      <w:r>
        <w:rPr>
          <w:rFonts w:ascii="Times New Roman" w:cs="Times New Roman" w:eastAsia="Times New Roman" w:hAnsi="Times New Roman"/>
          <w:sz w:val="17"/>
          <w:szCs w:val="17"/>
          <w:color w:val="auto"/>
        </w:rPr>
        <w:t>Depreciation and amortization increased approximately $184,000, or 0.8%, to $24.2 million for 2018 from $24.0 million for 2017.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resulted from amortization of capitalized software development, partially offset by lower depreciation of property and equipment.</w:t>
      </w:r>
    </w:p>
    <w:p>
      <w:pPr>
        <w:spacing w:after="0" w:line="1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Other Income (Expense), Net</w:t>
      </w:r>
      <w:r>
        <w:rPr>
          <w:rFonts w:ascii="Times New Roman" w:cs="Times New Roman" w:eastAsia="Times New Roman" w:hAnsi="Times New Roman"/>
          <w:sz w:val="17"/>
          <w:szCs w:val="17"/>
          <w:color w:val="auto"/>
        </w:rPr>
        <w:t>. Other income (expense), net was income of approximately $1.1 million for 2018 compared to $733,000 for 2017. The increase is due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interest income from cash and investments in marketable securities, partially offset by a $1.3 million decline in the fair value of a minority equity investment accounted for under the cost method of accounting.</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Income Tax Provision. </w:t>
      </w:r>
      <w:r>
        <w:rPr>
          <w:rFonts w:ascii="Times New Roman" w:cs="Times New Roman" w:eastAsia="Times New Roman" w:hAnsi="Times New Roman"/>
          <w:sz w:val="17"/>
          <w:szCs w:val="17"/>
          <w:color w:val="auto"/>
        </w:rPr>
        <w:t>The Company recorded a provision for income taxes of approximately $3.3 million for 2018 compared to $1.3 million for 2017.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effective tax rate was approximately 20% for 2018 compared to 13% for 2017. The increase in income tax expense during 2018 is primarily attributable to the enactment of the Tax Cuts and Jobs Act on December 22, 2017, which reduced the corporate federal income tax rate from 35% to 21%. This change in tax law resulted in an income tax benefit of approximately $1.7 million during the fourth quarter of 2017 through the revaluation of our net deferred tax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Income (Loss) from Discontinued Operations</w:t>
      </w:r>
      <w:r>
        <w:rPr>
          <w:rFonts w:ascii="Times New Roman" w:cs="Times New Roman" w:eastAsia="Times New Roman" w:hAnsi="Times New Roman"/>
          <w:sz w:val="17"/>
          <w:szCs w:val="17"/>
          <w:color w:val="auto"/>
        </w:rPr>
        <w:t>. On February 12, 2018, the Company divested its PX business to Press Ganey for $65.2 million in cash (after giving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 to the post-closing working capital adjustment), resulting in a gain, net of tax, of $19.0 million in 2018.</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Net Income. </w:t>
      </w:r>
      <w:r>
        <w:rPr>
          <w:rFonts w:ascii="Times New Roman" w:cs="Times New Roman" w:eastAsia="Times New Roman" w:hAnsi="Times New Roman"/>
          <w:sz w:val="17"/>
          <w:szCs w:val="17"/>
          <w:color w:val="auto"/>
        </w:rPr>
        <w:t>Net income increased approximately $22.2 million, or 222%, to $32.2 million for 2018 compared to $10.0 million for 2017. The increase resulted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factors mentioned above. Earnings per diluted share were $1.00 per share for 2018 compared to $0.31 per share for 2017.</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Adjusted EBITDA (a non-GAAP financial measure which we define as net income before interest, income taxes, stock based compensation, depreciation and amortization, and changes in fair value of cost method investments) increased approximately 87% to approximately $71.1 million for 2018 compared to $37.9 million for 2017. The increase resulted from the factors mentioned above. See Reconciliation of Non-GAAP Financial Measures below for our reconciliation of this calculation to measures under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2017 Compared to 2016</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Revenues, net. </w:t>
      </w:r>
      <w:r>
        <w:rPr>
          <w:rFonts w:ascii="Times New Roman" w:cs="Times New Roman" w:eastAsia="Times New Roman" w:hAnsi="Times New Roman"/>
          <w:sz w:val="17"/>
          <w:szCs w:val="17"/>
          <w:color w:val="auto"/>
        </w:rPr>
        <w:t>Revenues increased approximately $22.8 million, or 12%, to $214.9 million for 2017 from $192.1 million for 2016. A comparison of revenues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segment is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by Business Segment:</w:t>
            </w:r>
          </w:p>
        </w:tc>
        <w:tc>
          <w:tcPr>
            <w:tcW w:w="300" w:type="dxa"/>
            <w:vAlign w:val="bottom"/>
          </w:tcPr>
          <w:p>
            <w:pPr>
              <w:spacing w:after="0"/>
              <w:rPr>
                <w:sz w:val="11"/>
                <w:szCs w:val="11"/>
                <w:color w:val="auto"/>
              </w:rPr>
            </w:pPr>
          </w:p>
        </w:tc>
        <w:tc>
          <w:tcPr>
            <w:tcW w:w="104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1"/>
                <w:szCs w:val="11"/>
                <w:color w:val="auto"/>
              </w:rPr>
            </w:pPr>
          </w:p>
        </w:tc>
        <w:tc>
          <w:tcPr>
            <w:tcW w:w="13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40" w:type="dxa"/>
            <w:vAlign w:val="bottom"/>
            <w:tcBorders>
              <w:bottom w:val="single" w:sz="8" w:color="CFF0FC"/>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178,061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168,040</w:t>
            </w: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36,838</w:t>
            </w: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24,084</w:t>
            </w:r>
          </w:p>
        </w:tc>
        <w:tc>
          <w:tcPr>
            <w:tcW w:w="320" w:type="dxa"/>
            <w:vAlign w:val="bottom"/>
            <w:tcBorders>
              <w:bottom w:val="single" w:sz="8" w:color="CFF0FC"/>
            </w:tcBorders>
          </w:tcPr>
          <w:p>
            <w:pPr>
              <w:spacing w:after="0"/>
              <w:rPr>
                <w:sz w:val="18"/>
                <w:szCs w:val="18"/>
                <w:color w:val="auto"/>
              </w:rPr>
            </w:pPr>
          </w:p>
        </w:tc>
        <w:tc>
          <w:tcPr>
            <w:tcW w:w="148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revenues, net</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214,899</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192,124</w:t>
            </w:r>
          </w:p>
        </w:tc>
        <w:tc>
          <w:tcPr>
            <w:tcW w:w="3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of Revenues</w:t>
            </w:r>
          </w:p>
        </w:tc>
        <w:tc>
          <w:tcPr>
            <w:tcW w:w="408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r>
      <w:tr>
        <w:trPr>
          <w:trHeight w:val="213"/>
        </w:trPr>
        <w:tc>
          <w:tcPr>
            <w:tcW w:w="4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408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83%</w:t>
            </w:r>
          </w:p>
        </w:tc>
        <w:tc>
          <w:tcPr>
            <w:tcW w:w="2640" w:type="dxa"/>
            <w:vAlign w:val="bottom"/>
          </w:tcPr>
          <w:p>
            <w:pPr>
              <w:jc w:val="right"/>
              <w:ind w:right="1579"/>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408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17%</w:t>
            </w:r>
          </w:p>
        </w:tc>
        <w:tc>
          <w:tcPr>
            <w:tcW w:w="2640" w:type="dxa"/>
            <w:vAlign w:val="bottom"/>
            <w:shd w:val="clear" w:color="auto" w:fill="CFF0FC"/>
          </w:tcPr>
          <w:p>
            <w:pPr>
              <w:jc w:val="right"/>
              <w:ind w:right="1579"/>
              <w:spacing w:after="0"/>
              <w:rPr>
                <w:sz w:val="20"/>
                <w:szCs w:val="20"/>
                <w:color w:val="auto"/>
              </w:rPr>
            </w:pPr>
            <w:r>
              <w:rPr>
                <w:rFonts w:ascii="Times New Roman" w:cs="Times New Roman" w:eastAsia="Times New Roman" w:hAnsi="Times New Roman"/>
                <w:sz w:val="16"/>
                <w:szCs w:val="16"/>
                <w:color w:val="auto"/>
              </w:rPr>
              <w:t>13%</w:t>
            </w:r>
          </w:p>
        </w:tc>
      </w:tr>
    </w:tbl>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Revenues for HealthStream Workforce Solutions, which are primarily subscription-based, increased approximately $10.0 million, or 6%, to $178.1 million for 2017 from $168.0 million for 2016. Revenues in 2017 were positively influenced by growth in subscriptions for courseware and our enterprise applications, but were partially offset by an expected decline in ICD-10 readiness revenues. Revenues from ICD-10 readiness products declined by $7.6 million to $909,000 in 2017 compared to $8.5 million in 2016. The requirement mandated by CMS for healthcare organizations to transition to the ICD-10 coding system was effective in October 2015, and generated significant demand for our ICD-10 readiness training courseware from 2012 through 2015. Implemented subscribers increased by 4% during 2017 to 4.65 million subscribers at the end of 2017 compared to 4.47 million subscribers at the end of 2016. Additionally, total subscribers increased by 5%, with 4.77 million total subscribers at December 31, 2017 compared to 4.55 million total subscribers at December 31, 2016.</w:t>
      </w:r>
    </w:p>
    <w:p>
      <w:pPr>
        <w:spacing w:after="0" w:line="18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Revenues for HealthStream Provider Solutions increased approximately $12.8 million, or 53%, to $36.8 million for 2017 from $24.1 million for 2016. Revenues from the MAI acquisition, which was consummated on August 8, 2016, were approximately $10.7 million during 2017, and represented the majority of the increase.</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Cost of Revenues (excluding depreciation and amortization). </w:t>
      </w:r>
      <w:r>
        <w:rPr>
          <w:rFonts w:ascii="Times New Roman" w:cs="Times New Roman" w:eastAsia="Times New Roman" w:hAnsi="Times New Roman"/>
          <w:sz w:val="17"/>
          <w:szCs w:val="17"/>
          <w:color w:val="auto"/>
        </w:rPr>
        <w:t>Cost of revenues increased approximately $12.2 million, or 16%, to $87.2 million for 2017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$75.0 million for 2016. Cost of revenues as a percentage of revenues was approximately 41% and 39% of revenues for 2017 and 2016, respectively.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Cost of revenues for HealthStream Workforce Solutions increased approximately $7.9 million to $75.3 million and approximated 42% and 40% of revenues for HealthStream Workforce Solutions for 2017 and 2016, respectively. The increase is primarily associated with increased royalties paid by us resulting from growth in courseware subscription revenues and increased personnel costs. Cost of revenues for HealthStream Provider Solutions increased approximately $4.3 million to $11.9 million and approximated 32% of HealthStream Provider Solutions revenues for both 2017 and 2016. The increase is primarily the result of the MAI acquisition and additions to personnel and increased hosting costs.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Product Development. </w:t>
      </w:r>
      <w:r>
        <w:rPr>
          <w:rFonts w:ascii="Times New Roman" w:cs="Times New Roman" w:eastAsia="Times New Roman" w:hAnsi="Times New Roman"/>
          <w:sz w:val="17"/>
          <w:szCs w:val="17"/>
          <w:color w:val="auto"/>
        </w:rPr>
        <w:t>Product development expenses decreased approximately $86,000, or 0.4%, to $24.1 million for 2017 from $24.2 million for 2016.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expenses as a percentage of revenues were approximately 11% and 13% of revenues for 2017 and 2016, respectively.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Product development expenses for HealthStream Workforce Solutions decreased approximately $799,000 to $19.6 million and approximated 11% and 12% of revenues for HealthStream Workforce Solutions for 2017 and 2016, respectively. The decrease is primarily due to lower outsourced labor expenses, partially offset by an increase in personnel costs. Product development expenses for HealthStream Provider Solutions increased approximately $714,000 to $4.5 million and approximated 12% and 16% of revenues for HealthStream Provider Solutions for 2017 and 2016, respectively. The increase in amount is primarily associated with the MAI acquisition and additions to personnel, partially offset by higher labor capitalization for internal software development.</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expenses, including personnel costs, increased approximately $3.7 million, or 11%, to $38.6 million for 2017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$34.9 million for 2016. Sales and marketing expenses were approximately 18% of revenues for both 2017 and 2016.</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Sales and marketing expenses for HealthStream Workforce Solutions increased approximately $2.8 million to $31.4 million and approximated 18% and 17% of revenues for HealthStream Workforce Solutions for 2017 and 2016, respectively. The increase is mainly due to additional personnel and higher sales commissions. Sales and marketing expenses for HealthStream Provider Solutions increased approximately $674,000 to $5.9 million and approximated 16% and 22% of revenues for HealthStream Provider Solutions for 2017 and 2016, respectively. The increase is primarily the result of higher sales commissions resulting from growth in sales. The unallocated corporate portion of sales and marketing expenses increased by $165,000 to $1.3 million primarily due to higher personnel costs and increased marketing spending.</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Other General and Administrative Expenses. </w:t>
      </w:r>
      <w:r>
        <w:rPr>
          <w:rFonts w:ascii="Times New Roman" w:cs="Times New Roman" w:eastAsia="Times New Roman" w:hAnsi="Times New Roman"/>
          <w:sz w:val="17"/>
          <w:szCs w:val="17"/>
          <w:color w:val="auto"/>
        </w:rPr>
        <w:t>Other general and administrative expenses increased approximately $1.0 million, or 3%, to $31.5 million for 2017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$30.5 million for 2016. Other general and administrative expenses as a percentage of revenues were approximately 15% and 16% of revenues for 2017 and 2016, respectively.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Other general and administrative expenses for HealthStream Workforce Solutions increased approximately $2.1 million to $8.1 million over 2016 primarily associated with higher facility costs and increased technology infrastructure investments. Other general and administrative expenses for HealthStream Provider Solutions increased approximately $1.7 million to $5.5 million over 2016 primarily associated with increased facility costs, contract labor, and higher bad debt expense. The unallocated corporate portion of other general and administrative expenses decreased approximately $2.7 million to $17.9 million over 2016, primarily due to lower professional service expenses as a result of the implementation of a new financial systems platform and the MAI transaction during the prior year period, reductions to contract labor, and reductions of other general administrative expenses, partially offset by implementation costs for compliance with ASC 606.</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Depreciation and Amortization. </w:t>
      </w:r>
      <w:r>
        <w:rPr>
          <w:rFonts w:ascii="Times New Roman" w:cs="Times New Roman" w:eastAsia="Times New Roman" w:hAnsi="Times New Roman"/>
          <w:sz w:val="17"/>
          <w:szCs w:val="17"/>
          <w:color w:val="auto"/>
        </w:rPr>
        <w:t>Depreciation and amortization increased approximately $3.7 million, or 18%, to $24.0 million for 2017 from $20.4 million for 2016.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increase primarily resulted from amortization of capitalized software development, amortization of intangible assets from recent acquisitions (including amortization of software acquired for resale), and depreciation expense associated with capital expenditures.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7"/>
          <w:szCs w:val="17"/>
          <w:i w:val="1"/>
          <w:iCs w:val="1"/>
          <w:color w:val="auto"/>
        </w:rPr>
        <w:t>Other Income (Expense), Net</w:t>
      </w:r>
      <w:r>
        <w:rPr>
          <w:rFonts w:ascii="Times New Roman" w:cs="Times New Roman" w:eastAsia="Times New Roman" w:hAnsi="Times New Roman"/>
          <w:sz w:val="17"/>
          <w:szCs w:val="17"/>
          <w:color w:val="auto"/>
        </w:rPr>
        <w:t>. Other income (expense), net was income of approximately $733,000 for 2017 compared to $581,000 for 2016. The increase is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due to an increase in interest income from cash and investments in marketable securities.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Income Tax Provision. </w:t>
      </w:r>
      <w:r>
        <w:rPr>
          <w:rFonts w:ascii="Times New Roman" w:cs="Times New Roman" w:eastAsia="Times New Roman" w:hAnsi="Times New Roman"/>
          <w:sz w:val="17"/>
          <w:szCs w:val="17"/>
          <w:color w:val="auto"/>
        </w:rPr>
        <w:t>The Company recorded a provision for income taxes of approximately $1.3 million for 2017 compared to $3.0 million for 2016.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effective tax rate was approximately 13% for 2017 compared to approximately 38% for 2016. The decrease in income tax expense during 2017 is primarily attributable to the enactment of the Tax Cuts and Jobs Act on December 22, 2017, which reduced the corporate federal income tax rate from 35% to 21%. This change in tax law resulted in an income tax benefit of approximately $1.7 million during the fourth quarter of 2017 through the revaluation of our net deferred tax liabilities.</w:t>
      </w:r>
    </w:p>
    <w:p>
      <w:pPr>
        <w:spacing w:after="0" w:line="3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Income (Loss) from Discontinued Operations</w:t>
      </w:r>
      <w:r>
        <w:rPr>
          <w:rFonts w:ascii="Times New Roman" w:cs="Times New Roman" w:eastAsia="Times New Roman" w:hAnsi="Times New Roman"/>
          <w:sz w:val="17"/>
          <w:szCs w:val="17"/>
          <w:color w:val="auto"/>
        </w:rPr>
        <w:t>. Income from discontinued operations increased in 2017 over 2016 primarily due to an increase in operating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to the PX business included in discontinued operations coupled with an income tax benefit of $1.0 million during the fourth quarter of 2017 through the revaluation of net deferred tax liabilities due to changes in the corporate federal income tax rate.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Net Income. </w:t>
      </w:r>
      <w:r>
        <w:rPr>
          <w:rFonts w:ascii="Times New Roman" w:cs="Times New Roman" w:eastAsia="Times New Roman" w:hAnsi="Times New Roman"/>
          <w:sz w:val="17"/>
          <w:szCs w:val="17"/>
          <w:color w:val="auto"/>
        </w:rPr>
        <w:t>Net income increased approximately $6.2 million, or 166%, to $10.0 million for 2017 compared to $3.8 million for 2016. The increase resulted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factors mentioned above. Earnings per diluted share were $0.31 per share for 2017 compared to $0.12 per diluted share for 2016.</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Adjusted EBITDA increased approximately 27% to approximately $37.9 million for 2017 compared to $29.9 million for 2016. The increase resulted from the factors mentioned above. See Reconciliation of Non-GAAP Financial Measures below for our reconciliation of this calculation to measures under US GAAP.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Developments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legacy agreements with Laerdal (Legacy Agreements) for the HeartCode and Resuscitation Quality Improvement (RQI) products expired pursuant to their terms on December 31, 2018 and will not be renewed. Revenues associated with sales of HeartCode and RQI products pursuant to the Legacy Agreements have been significant in recent years, although margins on such products have been lower than HealthStream’s average margin. In 2018, revenue generated by HeartCode and RQI pursuant to the Legacy Agreements was approximately $55 million. In 2019, we expect the revenue from these products generated pursuant to the Legacy Agreements to modestly exceed the $55 million achieved in 2018. We expect 2019 revenue from HeartCode and RQI generated pursuant to the Legacy Agreements to peak near mid-year in 2019 and decline thereafter. We expect revenue from HeartCode and RQI sold pursuant to the Legacy Agreements to be $0 in the first quarter of 2021.</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December 6, 2018, we announced a new agreement with RQI Partners, a joint venture between Laerdal and the American Heart Association. This agreement with RQI Partners is not an extension or renewal of the expired Legacy Agreements with Laerdal and should not be construed as such. Under our agreement with RQI Partners, HealthStream will neither market nor sell HeartCode or RQI. Our RQI Partner agreement provides for continuity of service for customers that desire to purchase HeartCode or RQI from RQI Partners after December 31, 2018 and receive it via the HealthStream Learning Center. RQI Partners will remit a fee to us when new sales of HeartCode and RQI are delivered via the HealthStream Learning Center. This fee will not be sufficient to supplant the revenue runout associated with the Legacy Agreements.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remain actively engaged in efforts to broaden the scope and utilization of our simulation-related offerings to include a range of clinical competencies that extend beyond resuscitation, and we intend to bring to market a broadened scope of simulation-based offerings, including resuscitation programs. On January 17, 2019, as part of a seven-year collaboration agreement with the American Red Cross, which spans into 2026, we announced the launch of the American Red Cross Resuscitation Suite. We have now begun efforts to market, sell, and deliver the American Cross Resuscitation Suite. We believe these efforts, along with efforts to bring additional simulation-related offerings to market, have the potential to give rise to additional and higher margin opportunities than those that existed under the Legacy Agreements. However, there is no assurance that we will be successful in these efforts, and to the extent that new simulation-based or other solutions do not generate revenue and/or earnings in a manner that supplants the impact of the Legacy Agreements, our revenue and results of operations may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report contains certain non-GAAP financial measures, including non-GAAP net income, non-GAAP operating income, adjusted EBITDA from continuing operations, and adjusted EBITDA, which are used by management in analyzing our financial results and ongoing operational performance.</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order to better assess the Company’s financial results, management believes that net income before interest, income taxes, share-based compensation, depreciation and amortization, and changes in fair value of cost method investments (adjusted EBITDA) is a useful measure for evaluating the operating performance of the Company because adjusted EBITDA reflects net income adjusted for certain non-cash and non-operating items. Effective January 1, 2018, the Company adopted ASU 2016-01, which (among other things) requires equity investments (except those accounted for under the equity method of accounting or those that result in consolidation of the investee) to be measured at fair value with changes in fair value recognized in net income. During the three months ended September 30, 2018, the Company recorded a reduction to net income and net income from continuing operations from a change in the fair value of a minority equity investment accounted for under the cost method of accounting. The Company has included this adjustment in the calculation of adjusted EBITDA, and intends to continue to include any positive or negative changes in fair value of cost method investments in the calculation of adjusted EBITDA on a prospective basis, because management believes that such changes do not represent the ongoing operational performance of the Company. Management also believes that adjusted EBITDA from continuing operations is a useful measure for evaluating the operating performance of the Company because such measure excludes the results of operations of the PX business that we sold in February 2018 and thus reflects the Company’s ongoing business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and assists in comparing the Company’s results of operations between periods. We also believe that adjusted EBITDA and adjusted EBITDA from continuing operations are useful to many investors to assess the Company’s ongoing results from current operations. Adjusted EBITDA and adjusted EBITDA from continuing operations are non-GAAP financial measures and should not be considered as measures of financial performance under GAAP. Because adjusted EBITDA and adjusted EBITDA from continuing operations are not measurements determined in accordance with GAAP, such non-GAAP financial measures are susceptible to varying calculations. Accordingly, adjusted EBITDA and adjusted EBITDA from continuing operations, as presented, may not be comparable to other similarly titled measures of other companies, have limitations as analytical tools, and should not be considered in isolation or as substitutes for an analysis of the Company’s results as reported under US GAAP.</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recent years, including in connection with the August 2016 acquisition of MAI, the Company has acquired businesses whose net tangible assets include deferred revenue. In accordance with GAAP reporting requirements, following the completion of any such acquisition, the Company must record the acquired deferred revenue at fair value as defined in US GAAP, which may result in a write-down of deferred revenue. If the Company is required to record a write-down of deferred revenue, it may result in lower recognized revenue, operating income, and net income in subsequent periods.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connection therewith, this report presents below non-GAAP operating income and non-GAAP net income, which in each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Revenue for any such acquired business is deferred and typically recognized over a one-to-two year period following the completion of any particular acquisition, so our GAAP revenues (and, thus, our GAAP operating income and net income) for this one-to-two year period will not reflect the full amount of revenues that would have been reported if the acquired deferred revenue was not written down to fair value. A reconciliation of these non-GAAP financial measures to the corresponding GAAP measures is set forth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40" w:type="dxa"/>
            <w:vAlign w:val="bottom"/>
            <w:tcBorders>
              <w:bottom w:val="single" w:sz="8" w:color="CFF0FC"/>
            </w:tcBorders>
          </w:tcPr>
          <w:p>
            <w:pPr>
              <w:spacing w:after="0"/>
              <w:rPr>
                <w:sz w:val="18"/>
                <w:szCs w:val="18"/>
                <w:color w:val="auto"/>
              </w:rPr>
            </w:pPr>
          </w:p>
        </w:tc>
        <w:tc>
          <w:tcPr>
            <w:tcW w:w="18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GAAP income from continuing operations</w:t>
            </w:r>
          </w:p>
        </w:tc>
        <w:tc>
          <w:tcPr>
            <w:tcW w:w="18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(2,444)</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cost method investments</w:t>
            </w:r>
          </w:p>
        </w:tc>
        <w:tc>
          <w:tcPr>
            <w:tcW w:w="1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 from continuing operations</w:t>
            </w:r>
          </w:p>
        </w:tc>
        <w:tc>
          <w:tcPr>
            <w:tcW w:w="18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41,540</w:t>
            </w:r>
          </w:p>
        </w:tc>
        <w:tc>
          <w:tcPr>
            <w:tcW w:w="2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35,185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440" w:type="dxa"/>
            <w:vAlign w:val="bottom"/>
            <w:tcBorders>
              <w:top w:val="single" w:sz="8" w:color="CFF0FC"/>
            </w:tcBorders>
            <w:shd w:val="clear" w:color="auto" w:fill="CFF0FC"/>
          </w:tcPr>
          <w:p>
            <w:pPr>
              <w:spacing w:after="0"/>
              <w:rPr>
                <w:sz w:val="17"/>
                <w:szCs w:val="17"/>
                <w:color w:val="auto"/>
              </w:rPr>
            </w:pPr>
          </w:p>
        </w:tc>
        <w:tc>
          <w:tcPr>
            <w:tcW w:w="18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GAAP net income</w:t>
            </w:r>
          </w:p>
        </w:tc>
        <w:tc>
          <w:tcPr>
            <w:tcW w:w="2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32,217</w:t>
            </w:r>
          </w:p>
        </w:tc>
        <w:tc>
          <w:tcPr>
            <w:tcW w:w="28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160" w:type="dxa"/>
            <w:vAlign w:val="bottom"/>
          </w:tcPr>
          <w:p>
            <w:pPr>
              <w:spacing w:after="0"/>
              <w:rPr>
                <w:sz w:val="18"/>
                <w:szCs w:val="18"/>
                <w:color w:val="auto"/>
              </w:rPr>
            </w:pP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(2,444)</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24,412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cost method investments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8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71,055</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37,929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29,851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GAAP operating income</w:t>
            </w:r>
          </w:p>
        </w:tc>
        <w:tc>
          <w:tcPr>
            <w:tcW w:w="20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15,491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Adjustment for deferred revenue write-down</w:t>
            </w:r>
          </w:p>
        </w:tc>
        <w:tc>
          <w:tcPr>
            <w:tcW w:w="18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18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GAAP net income</w:t>
            </w:r>
          </w:p>
        </w:tc>
        <w:tc>
          <w:tcPr>
            <w:tcW w:w="20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32,217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Adjustment for deferred revenue write-down, net of tax</w:t>
            </w:r>
          </w:p>
        </w:tc>
        <w:tc>
          <w:tcPr>
            <w:tcW w:w="18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Non-GAAP net income</w:t>
            </w:r>
          </w:p>
        </w:tc>
        <w:tc>
          <w:tcPr>
            <w:tcW w:w="18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32,926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11,417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OUTLOOK FOR 2019</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provides projections and other forward-looking information in this “Financial Outlook for 2019” section within “Management’s Discussion and Analysis of Financial Condition and Results of Operations.”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in Part I of this Annual Report on Form 10-K and the risks and uncertainties described in Item 1A, Risk Factors and elsewhere in this report, as well as additional risks or uncertainties not presently known by us, or that we currently deem immaterial. Actual results are likely to differ, and in the past have differed, materially from those forecast by the Company, depending on the outcome of various factors, including, but not limited to, those set forth in Item 1A, Risk Factors.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providing 2019 financial guidance as set forth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9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rPr>
              <w:t>Full-Year 2019 Guidance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Workforce Solutions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million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Provider Solutions</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million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million</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million</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million</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Annual Effective Income Tax Rate</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percent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above guidance includes the acquisition of Providigm, LLC, which was consummated on January 10, 2019 and is included in our Workforce Solutions segment.</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During 2019, we anticipate higher operating expenses associated with our expanded, new corporate office—which consolidates our middle Tennessee operations, and investments in product development and sales of our new resuscitation products, as well as investments to support the growth and expanded market positioning of solutions attained through the acquisition of Providigm, LLC.</w:t>
      </w:r>
    </w:p>
    <w:p>
      <w:pPr>
        <w:spacing w:after="0" w:line="1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We anticipate that capital expenditures associated with our office consolidation to a central location in Nashville, Tennessee will approximate $15 million of the $35 million total estimate during 2019.</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consolidated guidance does not include the impact of any other acquisitions that we may complete during 2019.</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SELECTED QUARTERLY OPERATING RESULTS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following tables set forth selected statements of income data for each of the four quarters in the periods ended December 31, 2018 and December 31, 2017, respectively. The information for each quarter has been prepared on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 Revenues from our subscription-based products are recognized ratably over the subscription term.</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6260" w:type="dxa"/>
            <w:vAlign w:val="bottom"/>
            <w:gridSpan w:val="2"/>
          </w:tcPr>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8"/>
        </w:trPr>
        <w:tc>
          <w:tcPr>
            <w:tcW w:w="1100" w:type="dxa"/>
            <w:vAlign w:val="bottom"/>
            <w:tcBorders>
              <w:top w:val="single" w:sz="8" w:color="0000EE"/>
            </w:tcBorders>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6"/>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center"/>
              <w:ind w:right="300"/>
              <w:spacing w:after="0" w:line="161"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center"/>
              <w:ind w:right="360"/>
              <w:spacing w:after="0" w:line="161"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3"/>
          </w:tcPr>
          <w:p>
            <w:pPr>
              <w:jc w:val="center"/>
              <w:ind w:right="280"/>
              <w:spacing w:after="0" w:line="161"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20"/>
              <w:spacing w:after="0" w:line="161"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2018</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2018</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2018</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8"/>
          </w:tcPr>
          <w:p>
            <w:pPr>
              <w:jc w:val="center"/>
              <w:ind w:right="140"/>
              <w:spacing w:after="0" w:line="169" w:lineRule="exact"/>
              <w:rPr>
                <w:sz w:val="20"/>
                <w:szCs w:val="20"/>
                <w:color w:val="auto"/>
              </w:rPr>
            </w:pPr>
            <w:r>
              <w:rPr>
                <w:rFonts w:ascii="Times New Roman" w:cs="Times New Roman" w:eastAsia="Times New Roman" w:hAnsi="Times New Roman"/>
                <w:sz w:val="15"/>
                <w:szCs w:val="15"/>
                <w:b w:val="1"/>
                <w:bCs w:val="1"/>
                <w:color w:val="auto"/>
              </w:rPr>
              <w:t>(In thousands, except per share data)</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STATEMENT OF INCOME DATA:</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54,858</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57,008</w:t>
            </w: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59,925</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51,128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55,264</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0"/>
        </w:trPr>
        <w:tc>
          <w:tcPr>
            <w:tcW w:w="6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23,846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line="240" w:lineRule="exact"/>
              <w:rPr>
                <w:sz w:val="20"/>
                <w:szCs w:val="20"/>
                <w:color w:val="auto"/>
              </w:rPr>
            </w:pPr>
            <w:r>
              <w:rPr>
                <w:rFonts w:ascii="Times New Roman" w:cs="Times New Roman" w:eastAsia="Times New Roman" w:hAnsi="Times New Roman"/>
                <w:sz w:val="16"/>
                <w:szCs w:val="16"/>
                <w:color w:val="auto"/>
              </w:rPr>
              <w:t xml:space="preserve">Net income per share - diluted </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6"/>
                <w:szCs w:val="16"/>
                <w:color w:val="auto"/>
              </w:rPr>
              <w:t xml:space="preserve"> :</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2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 - diluted</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32,415</w:t>
            </w: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1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60"/>
              <w:spacing w:after="0" w:line="161"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Pr>
          <w:p>
            <w:pPr>
              <w:spacing w:after="0"/>
              <w:rPr>
                <w:sz w:val="14"/>
                <w:szCs w:val="14"/>
                <w:color w:val="auto"/>
              </w:rPr>
            </w:pPr>
          </w:p>
        </w:tc>
        <w:tc>
          <w:tcPr>
            <w:tcW w:w="1320" w:type="dxa"/>
            <w:vAlign w:val="bottom"/>
            <w:gridSpan w:val="3"/>
          </w:tcPr>
          <w:p>
            <w:pPr>
              <w:jc w:val="center"/>
              <w:ind w:right="280"/>
              <w:spacing w:after="0" w:line="161"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80" w:type="dxa"/>
            <w:vAlign w:val="bottom"/>
          </w:tcPr>
          <w:p>
            <w:pPr>
              <w:spacing w:after="0"/>
              <w:rPr>
                <w:sz w:val="14"/>
                <w:szCs w:val="14"/>
                <w:color w:val="auto"/>
              </w:rPr>
            </w:pPr>
          </w:p>
        </w:tc>
        <w:tc>
          <w:tcPr>
            <w:tcW w:w="1000" w:type="dxa"/>
            <w:vAlign w:val="bottom"/>
          </w:tcPr>
          <w:p>
            <w:pPr>
              <w:jc w:val="center"/>
              <w:ind w:right="20"/>
              <w:spacing w:after="0" w:line="161"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2017</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2017</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8"/>
          </w:tcPr>
          <w:p>
            <w:pPr>
              <w:jc w:val="center"/>
              <w:ind w:right="140"/>
              <w:spacing w:after="0" w:line="169" w:lineRule="exact"/>
              <w:rPr>
                <w:sz w:val="20"/>
                <w:szCs w:val="20"/>
                <w:color w:val="auto"/>
              </w:rPr>
            </w:pPr>
            <w:r>
              <w:rPr>
                <w:rFonts w:ascii="Times New Roman" w:cs="Times New Roman" w:eastAsia="Times New Roman" w:hAnsi="Times New Roman"/>
                <w:sz w:val="15"/>
                <w:szCs w:val="15"/>
                <w:b w:val="1"/>
                <w:bCs w:val="1"/>
                <w:color w:val="auto"/>
              </w:rPr>
              <w:t>(In thousands, except per share data)</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STATEMENT OF INCOME DATA:</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51,967</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52,920</w:t>
            </w: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54,743</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49,602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52,012</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income from discontinued operations</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line="240" w:lineRule="exact"/>
              <w:rPr>
                <w:sz w:val="20"/>
                <w:szCs w:val="20"/>
                <w:color w:val="auto"/>
              </w:rPr>
            </w:pPr>
            <w:r>
              <w:rPr>
                <w:rFonts w:ascii="Times New Roman" w:cs="Times New Roman" w:eastAsia="Times New Roman" w:hAnsi="Times New Roman"/>
                <w:sz w:val="16"/>
                <w:szCs w:val="16"/>
                <w:color w:val="auto"/>
              </w:rPr>
              <w:t xml:space="preserve">Net income per share - diluted </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6"/>
                <w:szCs w:val="16"/>
                <w:color w:val="auto"/>
              </w:rPr>
              <w:t xml:space="preserve"> :</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 - diluted</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32,217</w:t>
            </w: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 Due to the nature of interim earnings per share calculations, the sum of quarterly earnings per share amounts may not equal the reported earnings per share for the full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Net cash provided by operating activities was approximately $44.3 million during 2018 compared to $42.6 million during 2017, an increase of 4%. The number of days sales outstanding (DSO) was 59 days for 2018 compared to 64 days for 2017. The Company calculates DSO by dividing the average accounts receivable balance (excluding unbilled and other receivables) by average daily revenues for the year. The improvement in DSO resulted from improved collections during the year primarily in our Provider Solutions segment.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Net cash provided by investing activities was approximately $36.7 million during 2018 while $8.8 million of cash was used in investing activities during 2017. During 2018, the Company received net proceeds from the sale of the PX business of $44.0 million and maturities of marketable securities of $69.0 million. These sources of cash were partially offset by $57.1 million in purchases of marketable securities, $11.3 million spent for capitalized software development, $7.2 million for purchases of property and equipment, and $833,000 in minority investments. During 2017, the Company purchased $83.3 million of marketable securities, spent $9.6 million for capitalized software development, and purchased $5.5 million of property and equipment. These uses of cash were partially offset by maturities of marketable securities of $90.1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Cash used in financing activities was approximately $30.3 million during 2018 while $1,000 was provided by financing activities during 2017. The primary uses of cash during 2018 related to $32.4 million for payments of cash dividends, $338,000 for payments of payroll taxes from stock based compensation arrangements, $100,000 for payment of debt issue costs, and $38,000 for payment of an earn-out related to a prior acquisition. During 2018, the primary source of cash from financing activities resulted from $2.6 million from the exercise of employee stock options. During 2017, the primary source of cash from financing activities resulted from $413,000 from the exercise of employee stock options. The primary uses of cash during 2017 related to $412,000 for payments of payroll taxes from stock based compensation arrangements.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balance sheet reflects positive working capital of $134.6 million at December 31, 2018 compared to $98.7 million at December 31, 2017. The increase in working capital was primarily due to net cash provided by operating activities. The Company’s primary source of liquidity is $168.8 million of cash and cash equivalents and marketable securities. The Company also has a $50.0 million revolving credit facility loan agreement, all of which was available at December 31, 2018. For additional information regarding our revolving credit facility, see Note 13 to the Company’s consolidated financial statements included elsewhere in this report.</w:t>
      </w:r>
    </w:p>
    <w:p>
      <w:pPr>
        <w:spacing w:after="0" w:line="11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Company’s growth strategy includes acquiring businesses that provide complementary product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the revolving credit facility would be dependent on the covenant values at the time of borrowing. As of December 31, 2018, the Company was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 and Contractual Obligations</w:t>
      </w:r>
    </w:p>
    <w:p>
      <w:pPr>
        <w:spacing w:after="0" w:line="2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7"/>
          <w:szCs w:val="17"/>
          <w:color w:val="auto"/>
        </w:rPr>
        <w:t>The Company’s off-balance sheet arrangements primarily consist of operating leases, contractual obligations, and our revolving credit facility, which is described further in Note 13 to the Company’s consolidated financial statements included elsewhere in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 summary of future anticipated payments due by the Company under contractual obligations with firm minimum commitments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2018, excluding amounts already recorded in the consolidated balance sheets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6"/>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Less than 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More than 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0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7,810</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7,280</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26,085</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43,583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Purchase obligations</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00" w:type="dxa"/>
            <w:vAlign w:val="bottom"/>
            <w:tcBorders>
              <w:bottom w:val="single" w:sz="8" w:color="CFF0FC"/>
            </w:tcBorders>
          </w:tcPr>
          <w:p>
            <w:pPr>
              <w:spacing w:after="0"/>
              <w:rPr>
                <w:sz w:val="18"/>
                <w:szCs w:val="18"/>
                <w:color w:val="auto"/>
              </w:rPr>
            </w:pPr>
          </w:p>
        </w:tc>
      </w:tr>
      <w:tr>
        <w:trPr>
          <w:trHeight w:val="210"/>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26,085</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In February 2016, the FASB issued ASU 2016-02, </w:t>
      </w:r>
      <w:r>
        <w:rPr>
          <w:rFonts w:ascii="Times New Roman" w:cs="Times New Roman" w:eastAsia="Times New Roman" w:hAnsi="Times New Roman"/>
          <w:sz w:val="17"/>
          <w:szCs w:val="17"/>
          <w:i w:val="1"/>
          <w:iCs w:val="1"/>
          <w:color w:val="auto"/>
        </w:rPr>
        <w:t>Leases (ASC 842)</w:t>
      </w:r>
      <w:r>
        <w:rPr>
          <w:rFonts w:ascii="Times New Roman" w:cs="Times New Roman" w:eastAsia="Times New Roman" w:hAnsi="Times New Roman"/>
          <w:sz w:val="17"/>
          <w:szCs w:val="17"/>
          <w:color w:val="auto"/>
        </w:rPr>
        <w:t xml:space="preserve">, which supersedes the lease requirements in Accounting Standards Codification (ASC) 840,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ASC 842 requires lessees to recognize assets and liabilities for most leases and provide enhanced disclosures. The Company will adopt ASC 842 effective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January 1, 2019 using a modified retrospective approach. As permitted under the transition guidance, we will carry forward the assessment of whether our contracts contain or are leases, classification of our leases, and remaining lease terms. Based on our portfolio of leases as of January 1, 2019, approximately $5.0 million of lease assets and liabilities relating to real estate will be recognized on our balance sheet upon adoption. Additionally, we anticipate recording a material lease asset and liability upon the commencement date of our new corporate headquarters of approximately $24 million. Except as set forth above, we do not anticipate that the adoption of ASC 842 will have any significant impact on the Company’s consolidated financial position and results of operations. We are substantially complete with our implementation efforts.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In June 2016, the FASB issued ASU 2016-03, </w:t>
      </w:r>
      <w:r>
        <w:rPr>
          <w:rFonts w:ascii="Times New Roman" w:cs="Times New Roman" w:eastAsia="Times New Roman" w:hAnsi="Times New Roman"/>
          <w:sz w:val="17"/>
          <w:szCs w:val="17"/>
          <w:i w:val="1"/>
          <w:iCs w:val="1"/>
          <w:color w:val="auto"/>
        </w:rPr>
        <w:t>Financial Instruments—Credit Losses (ASC 326): Measurement of Credit Losses on Financial Instruments</w:t>
      </w:r>
      <w:r>
        <w:rPr>
          <w:rFonts w:ascii="Times New Roman" w:cs="Times New Roman" w:eastAsia="Times New Roman" w:hAnsi="Times New Roman"/>
          <w:sz w:val="17"/>
          <w:szCs w:val="17"/>
          <w:color w:val="auto"/>
        </w:rPr>
        <w:t>, which amends guidance on reporting credit losses for assets held at amortized cost basis and available for sale debt securities. For assets held at amortized cost basis, ASC 326 eliminates the probable initial recognition threshold in current GAAP and, instead, requires an entity to reflect its current estimate of all expected credit losses. The standard will be effective for the first interim period within annual reporting periods beginning after December 15, 2019. The Company will adopt this ASU on January 1, 2020 and is currently evaluating the impact that adoption of this ASU will have on the Company’s consolidated financial position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is exposed to market risk from changes in interest rates. We do not have any foreign currency exchange rate risk or commodity price risk. As of December 31, 2018,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exposed to market risk with respect to our cash and investment balances, which approximated $168.8 million at December 31, 2018. Assuming a hypothetical 10% decrease in interest rates, interest income from cash and investments would decrease on an annualized basis by approximately $365,000.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investment policy and strategy is focused on investing in highly rated securities, with the objective of minimizing the potential risk of principal loss.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policy limits the amount of credit exposure to any single issuer and sets limits on the average portfolio maturity.</w:t>
      </w:r>
    </w:p>
    <w:p>
      <w:pPr>
        <w:spacing w:after="0" w:line="2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8"/>
        </w:trPr>
        <w:tc>
          <w:tcPr>
            <w:tcW w:w="10860" w:type="dxa"/>
            <w:vAlign w:val="bottom"/>
            <w:gridSpan w:val="8"/>
          </w:tcPr>
          <w:p>
            <w:pPr>
              <w:spacing w:after="0"/>
              <w:rPr>
                <w:rFonts w:ascii="Times New Roman" w:cs="Times New Roman" w:eastAsia="Times New Roman" w:hAnsi="Times New Roman"/>
                <w:sz w:val="17"/>
                <w:szCs w:val="17"/>
                <w:color w:val="0000EE"/>
              </w:rPr>
            </w:pPr>
            <w:hyperlink w:anchor="page41">
              <w:r>
                <w:rPr>
                  <w:rFonts w:ascii="Times New Roman" w:cs="Times New Roman" w:eastAsia="Times New Roman" w:hAnsi="Times New Roman"/>
                  <w:sz w:val="17"/>
                  <w:szCs w:val="17"/>
                  <w:color w:val="0000EE"/>
                </w:rPr>
                <w:t>Reports of Independent Registered Public Accounting Firm</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83"/>
        </w:trPr>
        <w:tc>
          <w:tcPr>
            <w:tcW w:w="2000" w:type="dxa"/>
            <w:vAlign w:val="bottom"/>
            <w:tcBorders>
              <w:top w:val="single" w:sz="8" w:color="0000EE"/>
              <w:bottom w:val="single" w:sz="8" w:color="0000EE"/>
            </w:tcBorders>
          </w:tcPr>
          <w:p>
            <w:pPr>
              <w:spacing w:after="0" w:line="183" w:lineRule="exact"/>
              <w:rPr>
                <w:rFonts w:ascii="Times New Roman" w:cs="Times New Roman" w:eastAsia="Times New Roman" w:hAnsi="Times New Roman"/>
                <w:sz w:val="17"/>
                <w:szCs w:val="17"/>
                <w:color w:val="0000EE"/>
              </w:rPr>
            </w:pPr>
            <w:hyperlink w:anchor="page43">
              <w:r>
                <w:rPr>
                  <w:rFonts w:ascii="Times New Roman" w:cs="Times New Roman" w:eastAsia="Times New Roman" w:hAnsi="Times New Roman"/>
                  <w:sz w:val="17"/>
                  <w:szCs w:val="17"/>
                  <w:color w:val="0000EE"/>
                </w:rPr>
                <w:t>Consolidated Balance Sheets</w:t>
              </w:r>
            </w:hyperlink>
          </w:p>
        </w:tc>
        <w:tc>
          <w:tcPr>
            <w:tcW w:w="2080" w:type="dxa"/>
            <w:vAlign w:val="bottom"/>
            <w:tcBorders>
              <w:top w:val="single" w:sz="8" w:color="0000EE"/>
            </w:tcBorders>
            <w:gridSpan w:val="6"/>
          </w:tcPr>
          <w:p>
            <w:pPr>
              <w:spacing w:after="0"/>
              <w:rPr>
                <w:sz w:val="15"/>
                <w:szCs w:val="15"/>
                <w:color w:val="auto"/>
              </w:rPr>
            </w:pPr>
          </w:p>
        </w:tc>
        <w:tc>
          <w:tcPr>
            <w:tcW w:w="678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183"/>
        </w:trPr>
        <w:tc>
          <w:tcPr>
            <w:tcW w:w="10860" w:type="dxa"/>
            <w:vAlign w:val="bottom"/>
            <w:gridSpan w:val="8"/>
          </w:tcPr>
          <w:p>
            <w:pPr>
              <w:spacing w:after="0" w:line="183" w:lineRule="exact"/>
              <w:rPr>
                <w:rFonts w:ascii="Times New Roman" w:cs="Times New Roman" w:eastAsia="Times New Roman" w:hAnsi="Times New Roman"/>
                <w:sz w:val="17"/>
                <w:szCs w:val="17"/>
                <w:color w:val="0000EE"/>
              </w:rPr>
            </w:pPr>
            <w:hyperlink w:anchor="page44">
              <w:r>
                <w:rPr>
                  <w:rFonts w:ascii="Times New Roman" w:cs="Times New Roman" w:eastAsia="Times New Roman" w:hAnsi="Times New Roman"/>
                  <w:sz w:val="17"/>
                  <w:szCs w:val="17"/>
                  <w:color w:val="0000EE"/>
                </w:rPr>
                <w:t>Consolidated Statements of Income</w:t>
              </w:r>
            </w:hyperlink>
          </w:p>
        </w:tc>
        <w:tc>
          <w:tcPr>
            <w:tcW w:w="5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
        </w:trPr>
        <w:tc>
          <w:tcPr>
            <w:tcW w:w="24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line="20" w:lineRule="exact"/>
              <w:rPr>
                <w:sz w:val="1"/>
                <w:szCs w:val="1"/>
                <w:color w:val="auto"/>
              </w:rPr>
            </w:pPr>
          </w:p>
        </w:tc>
      </w:tr>
      <w:tr>
        <w:trPr>
          <w:trHeight w:val="183"/>
        </w:trPr>
        <w:tc>
          <w:tcPr>
            <w:tcW w:w="3560" w:type="dxa"/>
            <w:vAlign w:val="bottom"/>
            <w:tcBorders>
              <w:bottom w:val="single" w:sz="8" w:color="0000EE"/>
            </w:tcBorders>
            <w:gridSpan w:val="6"/>
          </w:tcPr>
          <w:p>
            <w:pPr>
              <w:spacing w:after="0" w:line="183" w:lineRule="exact"/>
              <w:rPr>
                <w:rFonts w:ascii="Times New Roman" w:cs="Times New Roman" w:eastAsia="Times New Roman" w:hAnsi="Times New Roman"/>
                <w:sz w:val="17"/>
                <w:szCs w:val="17"/>
                <w:color w:val="0000EE"/>
              </w:rPr>
            </w:pPr>
            <w:hyperlink w:anchor="page45">
              <w:r>
                <w:rPr>
                  <w:rFonts w:ascii="Times New Roman" w:cs="Times New Roman" w:eastAsia="Times New Roman" w:hAnsi="Times New Roman"/>
                  <w:sz w:val="17"/>
                  <w:szCs w:val="17"/>
                  <w:color w:val="0000EE"/>
                </w:rPr>
                <w:t>Consolidated Statements of Comprehensive Income</w:t>
              </w:r>
            </w:hyperlink>
          </w:p>
        </w:tc>
        <w:tc>
          <w:tcPr>
            <w:tcW w:w="730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80" w:type="dxa"/>
            <w:vAlign w:val="bottom"/>
            <w:tcBorders>
              <w:bottom w:val="single" w:sz="8" w:color="0000EE"/>
            </w:tcBorders>
            <w:gridSpan w:val="5"/>
          </w:tcPr>
          <w:p>
            <w:pPr>
              <w:spacing w:after="0" w:line="183" w:lineRule="exact"/>
              <w:rPr>
                <w:rFonts w:ascii="Times New Roman" w:cs="Times New Roman" w:eastAsia="Times New Roman" w:hAnsi="Times New Roman"/>
                <w:sz w:val="17"/>
                <w:szCs w:val="17"/>
                <w:color w:val="0000EE"/>
              </w:rPr>
            </w:pPr>
            <w:hyperlink w:anchor="page46">
              <w:r>
                <w:rPr>
                  <w:rFonts w:ascii="Times New Roman" w:cs="Times New Roman" w:eastAsia="Times New Roman" w:hAnsi="Times New Roman"/>
                  <w:sz w:val="17"/>
                  <w:szCs w:val="17"/>
                  <w:color w:val="0000EE"/>
                </w:rPr>
                <w:t>Consolidated Statements of Shareholders’ Equity</w:t>
              </w:r>
            </w:hyperlink>
          </w:p>
        </w:tc>
        <w:tc>
          <w:tcPr>
            <w:tcW w:w="7480" w:type="dxa"/>
            <w:vAlign w:val="bottom"/>
            <w:gridSpan w:val="3"/>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83"/>
        </w:trPr>
        <w:tc>
          <w:tcPr>
            <w:tcW w:w="2740" w:type="dxa"/>
            <w:vAlign w:val="bottom"/>
            <w:tcBorders>
              <w:bottom w:val="single" w:sz="8" w:color="0000EE"/>
            </w:tcBorders>
            <w:gridSpan w:val="3"/>
          </w:tcPr>
          <w:p>
            <w:pPr>
              <w:spacing w:after="0" w:line="183" w:lineRule="exact"/>
              <w:rPr>
                <w:rFonts w:ascii="Times New Roman" w:cs="Times New Roman" w:eastAsia="Times New Roman" w:hAnsi="Times New Roman"/>
                <w:sz w:val="17"/>
                <w:szCs w:val="17"/>
                <w:color w:val="0000EE"/>
              </w:rPr>
            </w:pPr>
            <w:hyperlink w:anchor="page47">
              <w:r>
                <w:rPr>
                  <w:rFonts w:ascii="Times New Roman" w:cs="Times New Roman" w:eastAsia="Times New Roman" w:hAnsi="Times New Roman"/>
                  <w:sz w:val="17"/>
                  <w:szCs w:val="17"/>
                  <w:color w:val="0000EE"/>
                </w:rPr>
                <w:t>Consolidated Statements of Cash Flows</w:t>
              </w:r>
            </w:hyperlink>
          </w:p>
        </w:tc>
        <w:tc>
          <w:tcPr>
            <w:tcW w:w="8120" w:type="dxa"/>
            <w:vAlign w:val="bottom"/>
            <w:gridSpan w:val="5"/>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0000EE"/>
            </w:tcBorders>
            <w:gridSpan w:val="4"/>
          </w:tcPr>
          <w:p>
            <w:pPr>
              <w:spacing w:after="0" w:line="183" w:lineRule="exact"/>
              <w:rPr>
                <w:rFonts w:ascii="Times New Roman" w:cs="Times New Roman" w:eastAsia="Times New Roman" w:hAnsi="Times New Roman"/>
                <w:sz w:val="17"/>
                <w:szCs w:val="17"/>
                <w:color w:val="0000EE"/>
              </w:rPr>
            </w:pPr>
            <w:hyperlink w:anchor="page48">
              <w:r>
                <w:rPr>
                  <w:rFonts w:ascii="Times New Roman" w:cs="Times New Roman" w:eastAsia="Times New Roman" w:hAnsi="Times New Roman"/>
                  <w:sz w:val="17"/>
                  <w:szCs w:val="17"/>
                  <w:color w:val="0000EE"/>
                </w:rPr>
                <w:t>Notes to Consolidated Financial Statements</w:t>
              </w:r>
            </w:hyperlink>
          </w:p>
        </w:tc>
        <w:tc>
          <w:tcPr>
            <w:tcW w:w="7860" w:type="dxa"/>
            <w:vAlign w:val="bottom"/>
            <w:gridSpan w:val="4"/>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5620" w:right="1540" w:hanging="5615"/>
        <w:spacing w:after="0" w:line="534" w:lineRule="auto"/>
        <w:rPr>
          <w:sz w:val="20"/>
          <w:szCs w:val="20"/>
          <w:color w:val="auto"/>
        </w:rPr>
      </w:pPr>
      <w:r>
        <w:rPr>
          <w:rFonts w:ascii="Times New Roman" w:cs="Times New Roman" w:eastAsia="Times New Roman" w:hAnsi="Times New Roman"/>
          <w:sz w:val="17"/>
          <w:szCs w:val="17"/>
          <w:color w:val="auto"/>
        </w:rPr>
        <w:t xml:space="preserve">The supplementary financial information required by this Item 8 is included in Item 7 under the caption “Selected Quarterly Operating Results.” </w:t>
      </w: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40" w:name="page41"/>
    <w:bookmarkEnd w:id="40"/>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87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7070" cy="8890"/>
                    </a:xfrm>
                    <a:prstGeom prst="rect">
                      <a:avLst/>
                    </a:prstGeom>
                    <a:noFill/>
                  </pic:spPr>
                </pic:pic>
              </a:graphicData>
            </a:graphic>
          </wp:anchor>
        </w:drawing>
      </w:r>
    </w:p>
    <w:p>
      <w:pPr>
        <w:ind w:left="35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HealthStream,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HealthStream, Inc. (the Company) as of December 31, 2018 and December 31, 2017, the related consolidated statements of income, comprehensive income,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25, 2019, expressed an unqualified opinion thereon.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Adoption of New Accounting Standard</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As discussed in Note 1 to the consolidated financial statements, the Company changed its method for recognizing revenue in 2018 due to the adoption of Accounting Standards Update No. 2014-09,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as amended</w:t>
      </w:r>
      <w:r>
        <w:rPr>
          <w:rFonts w:ascii="Times New Roman" w:cs="Times New Roman" w:eastAsia="Times New Roman" w:hAnsi="Times New Roman"/>
          <w:sz w:val="17"/>
          <w:szCs w:val="17"/>
          <w:i w:val="1"/>
          <w:iCs w:val="1"/>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1998.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Nashville, Tennessee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2019</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41" w:name="page42"/>
    <w:bookmarkEnd w:id="4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HealthStream,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Internal Control Over Financial Reporting</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HealthStream, Inc.’s internal control over financial reporting as of December 31, 2018, based on criteria established in Internal Control—Integrated Framework issued by the Committee of Sponsoring Organizations of the Treadway Commission (2013 framework) (the COSO criteria). In our opinion, HealthStream, Inc. (the Company) maintained, in all material respects, effective internal control over financial reporting as of December 31, 2018, based on the COSO criteria.</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HealthStream, Inc. as of December 31, 2018 and 2017, and the related consolidated statements of income, comprehensive income, shareholders’ equity, and cash flows for each of the three years in the period ended December 31, 2018, and the related notes and our report dated February 25, 2019, expressed an unqualified opinion thereon.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the respect to the Company in accordance with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Nashville, Tennessee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2019</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7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2017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80" w:type="dxa"/>
            <w:vAlign w:val="bottom"/>
            <w:shd w:val="clear" w:color="auto" w:fill="CFF0FC"/>
          </w:tcPr>
          <w:p>
            <w:pPr>
              <w:ind w:left="3500"/>
              <w:spacing w:after="0" w:line="169" w:lineRule="exact"/>
              <w:rPr>
                <w:sz w:val="20"/>
                <w:szCs w:val="20"/>
                <w:color w:val="auto"/>
              </w:rPr>
            </w:pPr>
            <w:r>
              <w:rPr>
                <w:rFonts w:ascii="Times New Roman" w:cs="Times New Roman" w:eastAsia="Times New Roman" w:hAnsi="Times New Roman"/>
                <w:sz w:val="15"/>
                <w:szCs w:val="15"/>
                <w:b w:val="1"/>
                <w:bCs w:val="1"/>
                <w:color w:val="auto"/>
              </w:rPr>
              <w:t>ASSETS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134,321</w:t>
            </w:r>
          </w:p>
        </w:tc>
        <w:tc>
          <w:tcPr>
            <w:tcW w:w="16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84,768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Marketable securities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34,497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78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5"/>
                <w:szCs w:val="15"/>
                <w:color w:val="auto"/>
              </w:rPr>
              <w:t>Accounts receivable, net of allowance for doubtful accounts of $1,161 and</w:t>
            </w:r>
          </w:p>
        </w:tc>
        <w:tc>
          <w:tcPr>
            <w:tcW w:w="2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$1,979 at December 31, 2018 and December 31, 2017, respectively</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38,124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36,691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receivable - unbilled</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Prepaid royalties, net of amortization</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13,596</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16,137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prepaid expenses and other current assets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18,016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Current assets of discontinued operations</w:t>
            </w:r>
          </w:p>
        </w:tc>
        <w:tc>
          <w:tcPr>
            <w:tcW w:w="2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8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241,434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199,728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77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Property and equipment, net of accumulated depreciation of $20,827 and</w:t>
            </w: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$24,392 at December 31, 2018 and December 31, 2017, respectively</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15,866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7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Capitalized software development, net of accumulated amortization of $46,757 and</w:t>
            </w:r>
          </w:p>
        </w:tc>
        <w:tc>
          <w:tcPr>
            <w:tcW w:w="2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$37,174 at December 31, 2018 and December 31, 2017, respectively</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18,352</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16,014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86,144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7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Customer-related intangibles, net of accumulated amortization of $23,245 and</w:t>
            </w:r>
          </w:p>
        </w:tc>
        <w:tc>
          <w:tcPr>
            <w:tcW w:w="2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$17,033 at December 31, 2018 and December 31, 2017, respectively</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53,469</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59,681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7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Other intangible assets, net of accumulated amortization of $9,663 and</w:t>
            </w: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$7,708 at December 31, 2018 and December 31, 2017, respectively</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5"/>
                <w:szCs w:val="15"/>
                <w:color w:val="auto"/>
              </w:rPr>
              <w:t>Deferred commissions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16,470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Non-marketable equity investments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3,376</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3,772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Long-term assets of discontinued operations</w:t>
            </w:r>
          </w:p>
        </w:tc>
        <w:tc>
          <w:tcPr>
            <w:tcW w:w="2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28,073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tcBorders>
              <w:bottom w:val="single" w:sz="8" w:color="CFF0FC"/>
            </w:tcBorders>
          </w:tcPr>
          <w:p>
            <w:pPr>
              <w:ind w:left="480"/>
              <w:spacing w:after="0" w:line="169" w:lineRule="exact"/>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tcBorders>
              <w:top w:val="single" w:sz="8" w:color="auto"/>
              <w:bottom w:val="single" w:sz="8" w:color="auto"/>
            </w:tcBorders>
          </w:tcPr>
          <w:p>
            <w:pPr>
              <w:jc w:val="right"/>
              <w:ind w:right="6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441,948</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411,119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ind w:left="2120"/>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8,497</w:t>
            </w:r>
          </w:p>
        </w:tc>
        <w:tc>
          <w:tcPr>
            <w:tcW w:w="160" w:type="dxa"/>
            <w:vAlign w:val="bottom"/>
          </w:tcPr>
          <w:p>
            <w:pPr>
              <w:spacing w:after="0"/>
              <w:rPr>
                <w:sz w:val="15"/>
                <w:szCs w:val="15"/>
                <w:color w:val="auto"/>
              </w:rPr>
            </w:pPr>
          </w:p>
        </w:tc>
        <w:tc>
          <w:tcPr>
            <w:tcW w:w="3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Accrued royalties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15,756</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12,849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Accrued liabilities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Accrued compensation and related expenses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3,082</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2,762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revenue</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66,061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Current liabilities of discontinued operations</w:t>
            </w:r>
          </w:p>
        </w:tc>
        <w:tc>
          <w:tcPr>
            <w:tcW w:w="2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6,772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8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106,854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101,066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11,068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revenue, noncurrent</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2,868</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6,287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5"/>
                <w:szCs w:val="15"/>
                <w:color w:val="auto"/>
              </w:rPr>
              <w:t>Other long term liabilities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Long-term liabilities of discontinued operations</w:t>
            </w:r>
          </w:p>
        </w:tc>
        <w:tc>
          <w:tcPr>
            <w:tcW w:w="2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2,548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5"/>
                <w:szCs w:val="15"/>
                <w:color w:val="auto"/>
              </w:rPr>
              <w:t>Shareholders’ equity:</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78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5"/>
                <w:szCs w:val="15"/>
                <w:color w:val="auto"/>
              </w:rPr>
              <w:t>Common stock, no par value, 75,000 shares authorized; 32,325 and 31,908 shares</w:t>
            </w:r>
          </w:p>
        </w:tc>
        <w:tc>
          <w:tcPr>
            <w:tcW w:w="2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80" w:type="dxa"/>
            <w:vAlign w:val="bottom"/>
            <w:shd w:val="clear" w:color="auto" w:fill="CFF0FC"/>
          </w:tcPr>
          <w:p>
            <w:pPr>
              <w:ind w:left="340"/>
              <w:spacing w:after="0" w:line="162" w:lineRule="exact"/>
              <w:rPr>
                <w:sz w:val="20"/>
                <w:szCs w:val="20"/>
                <w:color w:val="auto"/>
              </w:rPr>
            </w:pPr>
            <w:r>
              <w:rPr>
                <w:rFonts w:ascii="Times New Roman" w:cs="Times New Roman" w:eastAsia="Times New Roman" w:hAnsi="Times New Roman"/>
                <w:sz w:val="15"/>
                <w:szCs w:val="15"/>
                <w:color w:val="auto"/>
              </w:rPr>
              <w:t>issued and outstanding at December 31, 2018 and December 31, 2017,</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respectively</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286,597</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282,666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Retained earnings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32,373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(23)</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80" w:type="dxa"/>
            <w:vAlign w:val="bottom"/>
            <w:tcBorders>
              <w:bottom w:val="single" w:sz="8" w:color="CFF0FC"/>
            </w:tcBorders>
          </w:tcPr>
          <w:p>
            <w:pPr>
              <w:ind w:left="480"/>
              <w:spacing w:after="0" w:line="169" w:lineRule="exact"/>
              <w:rPr>
                <w:sz w:val="20"/>
                <w:szCs w:val="20"/>
                <w:color w:val="auto"/>
              </w:rPr>
            </w:pPr>
            <w:r>
              <w:rPr>
                <w:rFonts w:ascii="Times New Roman" w:cs="Times New Roman" w:eastAsia="Times New Roman" w:hAnsi="Times New Roman"/>
                <w:sz w:val="15"/>
                <w:szCs w:val="15"/>
                <w:color w:val="auto"/>
              </w:rPr>
              <w:t>Total shareholders’ equity</w:t>
            </w:r>
          </w:p>
        </w:tc>
        <w:tc>
          <w:tcPr>
            <w:tcW w:w="2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318,947</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300,170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80" w:type="dxa"/>
            <w:vAlign w:val="bottom"/>
            <w:tcBorders>
              <w:bottom w:val="single" w:sz="8" w:color="CFF0FC"/>
            </w:tcBorders>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Total liabilities and shareholders’ equity</w:t>
            </w:r>
          </w:p>
        </w:tc>
        <w:tc>
          <w:tcPr>
            <w:tcW w:w="22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441,948</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411,119</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the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43" w:name="page44"/>
    <w:bookmarkEnd w:id="4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2018</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9"/>
              <w:spacing w:after="0" w:line="169" w:lineRule="exact"/>
              <w:rPr>
                <w:sz w:val="20"/>
                <w:szCs w:val="20"/>
                <w:color w:val="auto"/>
              </w:rPr>
            </w:pPr>
            <w:r>
              <w:rPr>
                <w:rFonts w:ascii="Times New Roman" w:cs="Times New Roman" w:eastAsia="Times New Roman" w:hAnsi="Times New Roman"/>
                <w:sz w:val="15"/>
                <w:szCs w:val="15"/>
                <w:b w:val="1"/>
                <w:bCs w:val="1"/>
                <w:color w:val="auto"/>
              </w:rPr>
              <w:t>2017</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9"/>
              <w:spacing w:after="0" w:line="169" w:lineRule="exact"/>
              <w:rPr>
                <w:sz w:val="20"/>
                <w:szCs w:val="20"/>
                <w:color w:val="auto"/>
              </w:rPr>
            </w:pPr>
            <w:r>
              <w:rPr>
                <w:rFonts w:ascii="Times New Roman" w:cs="Times New Roman" w:eastAsia="Times New Roman" w:hAnsi="Times New Roman"/>
                <w:sz w:val="15"/>
                <w:szCs w:val="15"/>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net</w:t>
            </w:r>
          </w:p>
        </w:tc>
        <w:tc>
          <w:tcPr>
            <w:tcW w:w="8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231,616</w:t>
            </w:r>
          </w:p>
        </w:tc>
        <w:tc>
          <w:tcPr>
            <w:tcW w:w="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214,899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192,124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Cost of revenues (excluding depreciation and amortization)</w:t>
            </w:r>
          </w:p>
        </w:tc>
        <w:tc>
          <w:tcPr>
            <w:tcW w:w="8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96,014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87,208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development</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8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35,698</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38,606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general and administrative expenses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24,231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24,047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216,125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205,492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82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Income from continuing operations before income tax provision</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8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income from discontinued operations before income tax provision</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Gain on sale of discontinued operations</w:t>
            </w:r>
          </w:p>
        </w:tc>
        <w:tc>
          <w:tcPr>
            <w:tcW w:w="8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29,489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(773)</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8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18,966</w:t>
            </w: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spacing w:after="0"/>
              <w:rPr>
                <w:sz w:val="21"/>
                <w:szCs w:val="21"/>
                <w:color w:val="auto"/>
              </w:rPr>
            </w:pPr>
          </w:p>
        </w:tc>
        <w:tc>
          <w:tcPr>
            <w:tcW w:w="8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32,217</w:t>
            </w:r>
          </w:p>
        </w:tc>
        <w:tc>
          <w:tcPr>
            <w:tcW w:w="8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7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166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8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18"/>
                <w:szCs w:val="18"/>
                <w:color w:val="auto"/>
              </w:rPr>
            </w:pPr>
          </w:p>
        </w:tc>
        <w:tc>
          <w:tcPr>
            <w:tcW w:w="4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24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47"/>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82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Borders>
              <w:top w:val="single" w:sz="8" w:color="auto"/>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24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7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8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32,264</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31,861</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31,721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tcBorders>
              <w:bottom w:val="single" w:sz="8" w:color="CFF0FC"/>
            </w:tcBorders>
            <w:vMerge w:val="continue"/>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32,335</w:t>
            </w:r>
          </w:p>
        </w:tc>
        <w:tc>
          <w:tcPr>
            <w:tcW w:w="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32,196</w:t>
            </w:r>
          </w:p>
        </w:tc>
        <w:tc>
          <w:tcPr>
            <w:tcW w:w="2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8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the consolidated financial statements.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44" w:name="page45"/>
    <w:bookmarkEnd w:id="4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8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2018</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0"/>
              <w:spacing w:after="0" w:line="169" w:lineRule="exact"/>
              <w:rPr>
                <w:sz w:val="20"/>
                <w:szCs w:val="20"/>
                <w:color w:val="auto"/>
              </w:rPr>
            </w:pPr>
            <w:r>
              <w:rPr>
                <w:rFonts w:ascii="Times New Roman" w:cs="Times New Roman" w:eastAsia="Times New Roman" w:hAnsi="Times New Roman"/>
                <w:sz w:val="15"/>
                <w:szCs w:val="15"/>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0"/>
              <w:spacing w:after="0" w:line="169" w:lineRule="exact"/>
              <w:rPr>
                <w:sz w:val="20"/>
                <w:szCs w:val="20"/>
                <w:color w:val="auto"/>
              </w:rPr>
            </w:pPr>
            <w:r>
              <w:rPr>
                <w:rFonts w:ascii="Times New Roman" w:cs="Times New Roman" w:eastAsia="Times New Roman" w:hAnsi="Times New Roman"/>
                <w:sz w:val="15"/>
                <w:szCs w:val="15"/>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8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32,217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net of taxes:</w:t>
            </w:r>
          </w:p>
        </w:tc>
        <w:tc>
          <w:tcPr>
            <w:tcW w:w="18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8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188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880" w:type="dxa"/>
            <w:vAlign w:val="bottom"/>
          </w:tcPr>
          <w:p>
            <w:pPr>
              <w:spacing w:after="0"/>
              <w:rPr>
                <w:sz w:val="17"/>
                <w:szCs w:val="17"/>
                <w:color w:val="auto"/>
              </w:rPr>
            </w:pPr>
          </w:p>
        </w:tc>
        <w:tc>
          <w:tcPr>
            <w:tcW w:w="8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32,232</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10,017</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the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45" w:name="page46"/>
    <w:bookmarkEnd w:id="4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5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80" w:type="dxa"/>
            <w:vAlign w:val="bottom"/>
          </w:tcPr>
          <w:p>
            <w:pPr>
              <w:spacing w:after="0"/>
              <w:rPr>
                <w:sz w:val="14"/>
                <w:szCs w:val="14"/>
                <w:color w:val="auto"/>
              </w:rPr>
            </w:pPr>
          </w:p>
        </w:tc>
        <w:tc>
          <w:tcPr>
            <w:tcW w:w="9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183"/>
        </w:trPr>
        <w:tc>
          <w:tcPr>
            <w:tcW w:w="5280" w:type="dxa"/>
            <w:vAlign w:val="bottom"/>
          </w:tcPr>
          <w:p>
            <w:pPr>
              <w:spacing w:after="0"/>
              <w:rPr>
                <w:sz w:val="15"/>
                <w:szCs w:val="15"/>
                <w:color w:val="auto"/>
              </w:rPr>
            </w:pPr>
          </w:p>
        </w:tc>
        <w:tc>
          <w:tcPr>
            <w:tcW w:w="2400" w:type="dxa"/>
            <w:vAlign w:val="bottom"/>
            <w:gridSpan w:val="5"/>
          </w:tcPr>
          <w:p>
            <w:pPr>
              <w:jc w:val="right"/>
              <w:ind w:right="7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00" w:type="dxa"/>
            <w:vAlign w:val="bottom"/>
          </w:tcPr>
          <w:p>
            <w:pPr>
              <w:spacing w:after="0"/>
              <w:rPr>
                <w:sz w:val="15"/>
                <w:szCs w:val="15"/>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Shareholders’</w:t>
            </w:r>
          </w:p>
        </w:tc>
      </w:tr>
      <w:tr>
        <w:trPr>
          <w:trHeight w:val="169"/>
        </w:trPr>
        <w:tc>
          <w:tcPr>
            <w:tcW w:w="5280" w:type="dxa"/>
            <w:vAlign w:val="bottom"/>
          </w:tcPr>
          <w:p>
            <w:pPr>
              <w:spacing w:after="0"/>
              <w:rPr>
                <w:sz w:val="14"/>
                <w:szCs w:val="14"/>
                <w:color w:val="auto"/>
              </w:rPr>
            </w:pPr>
          </w:p>
        </w:tc>
        <w:tc>
          <w:tcPr>
            <w:tcW w:w="1240" w:type="dxa"/>
            <w:vAlign w:val="bottom"/>
            <w:tcBorders>
              <w:top w:val="single" w:sz="8" w:color="auto"/>
            </w:tcBorders>
            <w:gridSpan w:val="2"/>
          </w:tcPr>
          <w:p>
            <w:pPr>
              <w:ind w:left="280"/>
              <w:spacing w:after="0" w:line="169" w:lineRule="exact"/>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79"/>
              <w:spacing w:after="0" w:line="169" w:lineRule="exact"/>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60"/>
              <w:spacing w:after="0" w:line="169" w:lineRule="exact"/>
              <w:rPr>
                <w:sz w:val="20"/>
                <w:szCs w:val="20"/>
                <w:color w:val="auto"/>
              </w:rPr>
            </w:pPr>
            <w:r>
              <w:rPr>
                <w:rFonts w:ascii="Times New Roman" w:cs="Times New Roman" w:eastAsia="Times New Roman" w:hAnsi="Times New Roman"/>
                <w:sz w:val="15"/>
                <w:szCs w:val="15"/>
                <w:b w:val="1"/>
                <w:bCs w:val="1"/>
                <w:color w:val="auto"/>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5"/>
                <w:szCs w:val="15"/>
                <w:b w:val="1"/>
                <w:bCs w:val="1"/>
                <w:color w:val="auto"/>
              </w:rPr>
              <w:t>Loss</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5"/>
                <w:szCs w:val="15"/>
                <w:b w:val="1"/>
                <w:bCs w:val="1"/>
                <w:color w:val="auto"/>
              </w:rPr>
              <w:t>Equity</w:t>
            </w:r>
          </w:p>
        </w:tc>
      </w:tr>
      <w:tr>
        <w:trPr>
          <w:trHeight w:val="210"/>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2015</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31,647</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278,799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280,320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9"/>
                <w:szCs w:val="19"/>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Tax benefit from equity awards</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FF0FC"/>
          </w:tcPr>
          <w:p>
            <w:pPr>
              <w:spacing w:after="0"/>
              <w:rPr>
                <w:sz w:val="19"/>
                <w:szCs w:val="19"/>
                <w:color w:val="auto"/>
              </w:rPr>
            </w:pPr>
          </w:p>
        </w:tc>
      </w:tr>
      <w:tr>
        <w:trPr>
          <w:trHeight w:val="202"/>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issued under stock plans, net of</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(171)</w:t>
            </w:r>
          </w:p>
        </w:tc>
      </w:tr>
      <w:tr>
        <w:trPr>
          <w:trHeight w:val="21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2016</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31,748</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280,813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286,108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Cumulative effect of accounting change</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100" w:type="dxa"/>
            <w:vAlign w:val="bottom"/>
            <w:shd w:val="clear" w:color="auto" w:fill="CFF0FC"/>
          </w:tcPr>
          <w:p>
            <w:pPr>
              <w:spacing w:after="0"/>
              <w:rPr>
                <w:sz w:val="19"/>
                <w:szCs w:val="19"/>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shd w:val="clear" w:color="auto" w:fill="CFF0FC"/>
          </w:tcPr>
          <w:p>
            <w:pPr>
              <w:spacing w:after="0"/>
              <w:rPr>
                <w:sz w:val="19"/>
                <w:szCs w:val="19"/>
                <w:color w:val="auto"/>
              </w:rPr>
            </w:pPr>
          </w:p>
        </w:tc>
      </w:tr>
      <w:tr>
        <w:trPr>
          <w:trHeight w:val="202"/>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issued under stock plans, net of</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r>
      <w:tr>
        <w:trPr>
          <w:trHeight w:val="21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31,908</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282,666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17,542</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300,170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Cumulative effect of accounting change</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15,132</w:t>
            </w: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32,217</w:t>
            </w:r>
          </w:p>
        </w:tc>
        <w:tc>
          <w:tcPr>
            <w:tcW w:w="100" w:type="dxa"/>
            <w:vAlign w:val="bottom"/>
            <w:shd w:val="clear" w:color="auto" w:fill="CFF0FC"/>
          </w:tcPr>
          <w:p>
            <w:pPr>
              <w:spacing w:after="0"/>
              <w:rPr>
                <w:sz w:val="19"/>
                <w:szCs w:val="19"/>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Dividends declared on common stock ($1.00 per share)</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(32,518)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(32,518)</w:t>
            </w: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Pr>
          <w:p>
            <w:pPr>
              <w:spacing w:after="0"/>
              <w:rPr>
                <w:sz w:val="18"/>
                <w:szCs w:val="18"/>
                <w:color w:val="auto"/>
              </w:rPr>
            </w:pPr>
          </w:p>
        </w:tc>
      </w:tr>
      <w:tr>
        <w:trPr>
          <w:trHeight w:val="205"/>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issued under stock plans, net of</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shd w:val="clear" w:color="auto" w:fill="CFF0FC"/>
          </w:tcPr>
          <w:p>
            <w:pPr>
              <w:spacing w:after="0"/>
              <w:rPr>
                <w:sz w:val="18"/>
                <w:szCs w:val="18"/>
                <w:color w:val="auto"/>
              </w:rPr>
            </w:pPr>
          </w:p>
        </w:tc>
      </w:tr>
      <w:tr>
        <w:trPr>
          <w:trHeight w:val="207"/>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32,325</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318,947</w:t>
            </w:r>
          </w:p>
        </w:tc>
        <w:tc>
          <w:tcPr>
            <w:tcW w:w="10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the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46" w:name="page47"/>
    <w:bookmarkEnd w:id="4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2018</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line="169" w:lineRule="exact"/>
              <w:rPr>
                <w:sz w:val="20"/>
                <w:szCs w:val="20"/>
                <w:color w:val="auto"/>
              </w:rPr>
            </w:pPr>
            <w:r>
              <w:rPr>
                <w:rFonts w:ascii="Times New Roman" w:cs="Times New Roman" w:eastAsia="Times New Roman" w:hAnsi="Times New Roman"/>
                <w:sz w:val="15"/>
                <w:szCs w:val="15"/>
                <w:b w:val="1"/>
                <w:bCs w:val="1"/>
                <w:color w:val="auto"/>
              </w:rPr>
              <w:t>2017</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line="169" w:lineRule="exact"/>
              <w:rPr>
                <w:sz w:val="20"/>
                <w:szCs w:val="20"/>
                <w:color w:val="auto"/>
              </w:rPr>
            </w:pPr>
            <w:r>
              <w:rPr>
                <w:rFonts w:ascii="Times New Roman" w:cs="Times New Roman" w:eastAsia="Times New Roman" w:hAnsi="Times New Roman"/>
                <w:sz w:val="15"/>
                <w:szCs w:val="15"/>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OPERATING ACTIVITIES:</w:t>
            </w:r>
          </w:p>
        </w:tc>
        <w:tc>
          <w:tcPr>
            <w:tcW w:w="10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60" w:type="dxa"/>
            <w:vAlign w:val="bottom"/>
            <w:gridSpan w:val="2"/>
          </w:tcPr>
          <w:p>
            <w:pPr>
              <w:jc w:val="right"/>
              <w:ind w:right="69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32,217</w:t>
            </w:r>
          </w:p>
        </w:tc>
        <w:tc>
          <w:tcPr>
            <w:tcW w:w="60" w:type="dxa"/>
            <w:vAlign w:val="bottom"/>
          </w:tcPr>
          <w:p>
            <w:pPr>
              <w:spacing w:after="0"/>
              <w:rPr>
                <w:sz w:val="14"/>
                <w:szCs w:val="14"/>
                <w:color w:val="auto"/>
              </w:rPr>
            </w:pPr>
          </w:p>
        </w:tc>
        <w:tc>
          <w:tcPr>
            <w:tcW w:w="5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10,004</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(loss) from discontinued operations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(18,966)</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(1,166)</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24,231</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24,047</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Amortization of deferred commissions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7,659</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Excess tax benefits from equity awards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(2,144)</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(Gain) loss on non-marketable equity investments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cost method investments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Accounts and unbilled receivables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(4,050)</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(7,964)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royalties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 prepaid expenses and other current assets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(3,938)</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(25)</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commissions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(11,577)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 assets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(201)</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Accrued royalties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(32)</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Borders>
              <w:top w:val="single" w:sz="8" w:color="CFF0FC"/>
            </w:tcBorders>
            <w:shd w:val="clear" w:color="auto" w:fill="CFF0FC"/>
          </w:tcPr>
          <w:p>
            <w:pPr>
              <w:ind w:left="360"/>
              <w:spacing w:after="0" w:line="155" w:lineRule="exact"/>
              <w:rPr>
                <w:sz w:val="20"/>
                <w:szCs w:val="20"/>
                <w:color w:val="auto"/>
              </w:rPr>
            </w:pPr>
            <w:r>
              <w:rPr>
                <w:rFonts w:ascii="Times New Roman" w:cs="Times New Roman" w:eastAsia="Times New Roman" w:hAnsi="Times New Roman"/>
                <w:sz w:val="14"/>
                <w:szCs w:val="14"/>
                <w:color w:val="auto"/>
              </w:rPr>
              <w:t>Net cash provided by continuing operating activities</w:t>
            </w:r>
          </w:p>
        </w:tc>
        <w:tc>
          <w:tcPr>
            <w:tcW w:w="104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44,250</w:t>
            </w:r>
          </w:p>
        </w:tc>
        <w:tc>
          <w:tcPr>
            <w:tcW w:w="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42,604</w:t>
            </w: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23,888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(used in) provided by discontinued operating activities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Borders>
              <w:top w:val="single" w:sz="8" w:color="CFF0FC"/>
            </w:tcBorders>
            <w:shd w:val="clear" w:color="auto" w:fill="CFF0FC"/>
          </w:tcPr>
          <w:p>
            <w:pPr>
              <w:ind w:left="36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4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43,246</w:t>
            </w:r>
          </w:p>
        </w:tc>
        <w:tc>
          <w:tcPr>
            <w:tcW w:w="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46,712</w:t>
            </w: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24,234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Business combinations, net of cash acquired</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(55,255)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sale of discontinued operations, net of tax</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44,049</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68,992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90,073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(57,085)</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(83,279)</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(106,965)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Payments to acquire cost method investments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(500)</w:t>
            </w:r>
          </w:p>
        </w:tc>
        <w:tc>
          <w:tcPr>
            <w:tcW w:w="3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for sale of long-lived assets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Payments associated with capitalized software development</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(11,284)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(9,597)</w:t>
            </w:r>
          </w:p>
        </w:tc>
        <w:tc>
          <w:tcPr>
            <w:tcW w:w="3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(7,166)</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(5,515)</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(4,806)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ind w:left="360"/>
              <w:spacing w:after="0" w:line="155" w:lineRule="exact"/>
              <w:rPr>
                <w:sz w:val="20"/>
                <w:szCs w:val="20"/>
                <w:color w:val="auto"/>
              </w:rPr>
            </w:pPr>
            <w:r>
              <w:rPr>
                <w:rFonts w:ascii="Times New Roman" w:cs="Times New Roman" w:eastAsia="Times New Roman" w:hAnsi="Times New Roman"/>
                <w:sz w:val="14"/>
                <w:szCs w:val="14"/>
                <w:color w:val="auto"/>
              </w:rPr>
              <w:t>Net cash provided by (used in) continuing investing activities</w:t>
            </w:r>
          </w:p>
        </w:tc>
        <w:tc>
          <w:tcPr>
            <w:tcW w:w="10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36,673</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(8,818)</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(55,635)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Net cash used in discontinued investing activities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(115)</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(2,761)</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ind w:left="360"/>
              <w:spacing w:after="0" w:line="155"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36,558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(11,579)</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(56,656)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Taxes paid related to net settlement of equity awards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(412)</w:t>
            </w:r>
          </w:p>
        </w:tc>
        <w:tc>
          <w:tcPr>
            <w:tcW w:w="3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Excess tax benefits from equity awards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Payment of earn-out related to prior acquisitions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Payment of debt issue costs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Payment of cash dividends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(32,357)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Borders>
              <w:top w:val="single" w:sz="8" w:color="CFF0FC"/>
            </w:tcBorders>
            <w:shd w:val="clear" w:color="auto" w:fill="CFF0FC"/>
          </w:tcPr>
          <w:p>
            <w:pPr>
              <w:ind w:left="360"/>
              <w:spacing w:after="0" w:line="155"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04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(30,251)</w:t>
            </w:r>
          </w:p>
        </w:tc>
        <w:tc>
          <w:tcPr>
            <w:tcW w:w="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49,553</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35,134</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(32,376)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4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84,768</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49,634</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82,010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4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69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134,321</w:t>
            </w:r>
          </w:p>
        </w:tc>
        <w:tc>
          <w:tcPr>
            <w:tcW w:w="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84,768</w:t>
            </w:r>
          </w:p>
        </w:tc>
        <w:tc>
          <w:tcPr>
            <w:tcW w:w="26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49,634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10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paid</w:t>
            </w:r>
          </w:p>
        </w:tc>
        <w:tc>
          <w:tcPr>
            <w:tcW w:w="1860" w:type="dxa"/>
            <w:vAlign w:val="bottom"/>
            <w:gridSpan w:val="2"/>
          </w:tcPr>
          <w:p>
            <w:pPr>
              <w:jc w:val="right"/>
              <w:ind w:right="69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60" w:type="dxa"/>
            <w:vAlign w:val="bottom"/>
          </w:tcPr>
          <w:p>
            <w:pPr>
              <w:spacing w:after="0"/>
              <w:rPr>
                <w:sz w:val="17"/>
                <w:szCs w:val="17"/>
                <w:color w:val="auto"/>
              </w:rPr>
            </w:pPr>
          </w:p>
        </w:tc>
        <w:tc>
          <w:tcPr>
            <w:tcW w:w="5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80" w:type="dxa"/>
            <w:vAlign w:val="bottom"/>
            <w:tcBorders>
              <w:top w:val="single" w:sz="8" w:color="CFF0FC"/>
              <w:bottom w:val="single" w:sz="8" w:color="CFF0FC"/>
            </w:tcBorders>
            <w:shd w:val="clear" w:color="auto" w:fill="CFF0FC"/>
          </w:tcPr>
          <w:p>
            <w:pPr>
              <w:ind w:left="360"/>
              <w:spacing w:after="0" w:line="143" w:lineRule="exact"/>
              <w:rPr>
                <w:sz w:val="20"/>
                <w:szCs w:val="20"/>
                <w:color w:val="auto"/>
              </w:rPr>
            </w:pPr>
            <w:r>
              <w:rPr>
                <w:rFonts w:ascii="Times New Roman" w:cs="Times New Roman" w:eastAsia="Times New Roman" w:hAnsi="Times New Roman"/>
                <w:sz w:val="14"/>
                <w:szCs w:val="14"/>
                <w:color w:val="auto"/>
              </w:rPr>
              <w:t>Income taxes paid</w:t>
            </w:r>
          </w:p>
        </w:tc>
        <w:tc>
          <w:tcPr>
            <w:tcW w:w="104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ind w:right="69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16,513</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638</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2,496</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Non-cash additions to property and equipment</w:t>
            </w:r>
          </w:p>
        </w:tc>
        <w:tc>
          <w:tcPr>
            <w:tcW w:w="1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1,013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Entity and Segments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HealthStream, Inc. (the Company) was incorporated in 1990 as a Tennessee corporation and is headquartered in Nashville, Tennessee. As of December 31, 2018, the Company operated in two segments: HealthStream Workforce Solutions and HealthStream Provider Solutions. Workforce Solutions products consist of software-as-a-service (SaaS) based services and subscription-based solutions to meet the ongoing training, certification, assessment, and development needs of the healthcare community. These solutions provide, deliver, and track online education for our customers in the United States through our SaaS model. Provider Solutions products offer healthcare organizations software applications for administering and tracking provider credentialing, privileging, call center, and enrollment activities.</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February 12, 2018, the Company divested its Patient Experience (PX) business to Press Ganey Associates (Press Ganey) for $65.2 million in cash (after giving effect to the post-closing working capital adjustment). This sale of the PX business resulted in the divestiture of the Company’s patient experience solutions business segment. The results of operations for PX are presented as discontinued operations within the notes to consolidated financial statements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The Company adopted the Financial Accounting Standards Board (FASB) Accounting Standards Update (ASU) 2014-09,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and related guidance (ASC 606), effective January 1, 2018 using the modified retrospective transition approach. ASC 606 requires entities to recognize revenues when control of the promised goods or services is transferred to the customer at an amount that reflects the consideration to which the entity expects to be entitled in exchange for those goods or services. See Note 5 for further details.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In January 2016, the FASB issued ASU 2016-01, </w:t>
      </w:r>
      <w:r>
        <w:rPr>
          <w:rFonts w:ascii="Times New Roman" w:cs="Times New Roman" w:eastAsia="Times New Roman" w:hAnsi="Times New Roman"/>
          <w:sz w:val="17"/>
          <w:szCs w:val="17"/>
          <w:i w:val="1"/>
          <w:iCs w:val="1"/>
          <w:color w:val="auto"/>
        </w:rPr>
        <w:t>Financial Instruments – Overall (Sub Topic 825-10)</w:t>
      </w:r>
      <w:r>
        <w:rPr>
          <w:rFonts w:ascii="Times New Roman" w:cs="Times New Roman" w:eastAsia="Times New Roman" w:hAnsi="Times New Roman"/>
          <w:sz w:val="17"/>
          <w:szCs w:val="17"/>
          <w:color w:val="auto"/>
        </w:rPr>
        <w:t>, which addresses certain aspects of the recognition, measurement, presentation, and disclosure of financial instruments. The guidance, among other things, requires equity investments (except those accounted for under the equity method of accounting or those that result in consolidation of the investee) to be measured at fair value with changes in fair value recognized in net income. The Company adopted ASU 2016-01 effective January 1, 2018 on a prospective basis. See Note 17 for additional information regarding ASU 2016-01 and its impact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the Company’s balance sheet and statements of income.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Recognition of Revenue</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is recognized based on the following five step model:</w:t>
      </w:r>
    </w:p>
    <w:p>
      <w:pPr>
        <w:spacing w:after="0" w:line="25" w:lineRule="exact"/>
        <w:rPr>
          <w:sz w:val="20"/>
          <w:szCs w:val="20"/>
          <w:color w:val="auto"/>
        </w:rPr>
      </w:pPr>
    </w:p>
    <w:p>
      <w:pPr>
        <w:ind w:left="820" w:hanging="407"/>
        <w:spacing w:after="0"/>
        <w:tabs>
          <w:tab w:leader="none" w:pos="8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with a customer</w:t>
      </w:r>
    </w:p>
    <w:p>
      <w:pPr>
        <w:spacing w:after="0" w:line="7" w:lineRule="exact"/>
        <w:rPr>
          <w:rFonts w:ascii="Times New Roman" w:cs="Times New Roman" w:eastAsia="Times New Roman" w:hAnsi="Times New Roman"/>
          <w:sz w:val="17"/>
          <w:szCs w:val="17"/>
          <w:color w:val="auto"/>
        </w:rPr>
      </w:pPr>
    </w:p>
    <w:p>
      <w:pPr>
        <w:ind w:left="820" w:hanging="407"/>
        <w:spacing w:after="0"/>
        <w:tabs>
          <w:tab w:leader="none" w:pos="8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7" w:lineRule="exact"/>
        <w:rPr>
          <w:rFonts w:ascii="Times New Roman" w:cs="Times New Roman" w:eastAsia="Times New Roman" w:hAnsi="Times New Roman"/>
          <w:sz w:val="17"/>
          <w:szCs w:val="17"/>
          <w:color w:val="auto"/>
        </w:rPr>
      </w:pPr>
    </w:p>
    <w:p>
      <w:pPr>
        <w:ind w:left="820" w:hanging="407"/>
        <w:spacing w:after="0"/>
        <w:tabs>
          <w:tab w:leader="none" w:pos="8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7" w:lineRule="exact"/>
        <w:rPr>
          <w:rFonts w:ascii="Times New Roman" w:cs="Times New Roman" w:eastAsia="Times New Roman" w:hAnsi="Times New Roman"/>
          <w:sz w:val="17"/>
          <w:szCs w:val="17"/>
          <w:color w:val="auto"/>
        </w:rPr>
      </w:pPr>
    </w:p>
    <w:p>
      <w:pPr>
        <w:ind w:left="820" w:hanging="407"/>
        <w:spacing w:after="0"/>
        <w:tabs>
          <w:tab w:leader="none" w:pos="8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7" w:lineRule="exact"/>
        <w:rPr>
          <w:rFonts w:ascii="Times New Roman" w:cs="Times New Roman" w:eastAsia="Times New Roman" w:hAnsi="Times New Roman"/>
          <w:sz w:val="17"/>
          <w:szCs w:val="17"/>
          <w:color w:val="auto"/>
        </w:rPr>
      </w:pPr>
    </w:p>
    <w:p>
      <w:pPr>
        <w:ind w:left="820" w:hanging="407"/>
        <w:spacing w:after="0"/>
        <w:tabs>
          <w:tab w:leader="none" w:pos="8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Subscription/SaaS services revenues primarily consist of fees in consideration of providing customers access to one or more of our SaaS-based solutions and/or courseware subscriptions, as well as fees related to licensing agreements, all of which include routine customer support and technology enhancements. Revenue is generally recognized over time during the contract term beginning when the service is made available to the customer. Subscription/SaaS contracts are generally non-cancelable, one to five years in length, and billed annually, semi-annually, quarterly, or monthly in advance.</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Professional services revenues primarily consist of fees for implementation services, consulting, custom courseware development, and training. The majority of our professional services contracts are billed in advance based on a fixed price basis, and revenue is recognized over time as the services are performed. For both subscription/SaaS services and professional services, the time between billing the customer and when performance obligations are satisfied is generally not significant.</w:t>
      </w:r>
    </w:p>
    <w:p>
      <w:pPr>
        <w:spacing w:after="0" w:line="3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contracts with customers often contain multiple performance obligations. For these contracts, the Company accounts for individual performance obligations separately if they are distinct. The contract price, which represents transaction price,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subscribers within the contract.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receive payments from customers based on billing schedules established in our contracts. Accounts receivable - unbilled represent contract assets related to our conditional right to consideration for subscription/SaaS and professional services contracts where performance has occurred under the contract. Accounts receivable are primarily comprised of trade receivables that are recorded at the invoice amount, net of an allowance for doubtful accounts, when the right to consideration becomes unconditional. Other receivables, which are included within Accounts Receivable, include receivables from certain content partners and are not material.</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Deferred revenue represents contract liabilities that are recorded when cash payments are received or are due in advance of our satisfaction of performance obligations.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wholly-owned subsidiaries. All intercompany accounts and transactions have been eliminated in consolidation.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consolidated financial statements are prepared in accordance with U.S. generally accepted accounting principles. These accounting principles require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considers cash equivalents to be unrestricted, highly liquid investments with initial maturities of less than three months.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Marketable Securities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Marketable securities are classified as available for sale and are stated at fair market value, with the unrealized gains and losses, net of tax, reported in other accumulated comprehensive income (loss) on the accompanying consolidated balance sheets. Realized gains and losses and declines in market value judged to be other than temporary on investments in marketable securities are included in interest and other income on the accompanying consolidated statements of income. The cost of securities sold is based on the specific identification method. Interest and dividends on securities classified as available for sale are included in other income (expense) on the accompanying consolidated statements of income. Premiums and discounts are amortized over the life of the related available for sale security as an adjustment to the yield using the effective interest method.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Commissions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Deferred commissions represent costs to acquire contracts with customers, such as the initial sales commission payment, which are capitalized and amortized consistent with the transfer of the goods or services to the customer over the expected period of benefit. The capitalized contract cost is included under the caption “deferred commissions” in the accompanying consolidated balance sheet.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expected customer relationship period, limited by the technological obsolescence period of approximately three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Prepaid Royalties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Prepaid royalties represents advance payments associated with the sale of third party products, such as courseware subscriptions. Royalties are typically paid in advance at the commencement of the revenue cycle or periodically throughout the revenue cycle, such as quarterly, bi-annual, or annual installments. Royalty payments are amortized over the term of the underlying contracts, which generally range from 12 to 60 months, in order to match the direct royalty costs to the same period the subscription revenue is recognized. Amortization of royalties is included under the caption “cost of revenues (excluding depreciation and amortization)” in the accompanying consolidated statements of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49" w:name="page50"/>
    <w:bookmarkEnd w:id="4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Doubtful Accounts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estimates its allowance for doubtful accounts to include accounts that may become uncollectible in the future, along with using a specific identification method in which management considers the facts and circumstances surrounding each potentially uncollectible receivable. Uncollectible receivables are written-off in the period management believes it has exhausted its ability to collect payment from the customer. Bad debt expense is recorded when events or circumstances indicate an additional allowance is required.</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Changes in the allowance for doubtful accounts and the amounts charged to bad debt expense from continuing operations for the years ended December 31 were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74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Allowance Balance at</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Charged to Costs and</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Allowance Balance at</w:t>
            </w: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174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10"/>
        </w:trPr>
        <w:tc>
          <w:tcPr>
            <w:tcW w:w="2440" w:type="dxa"/>
            <w:vAlign w:val="bottom"/>
            <w:tcBorders>
              <w:top w:val="single" w:sz="8" w:color="CFF0FC"/>
            </w:tcBorders>
            <w:shd w:val="clear" w:color="auto" w:fill="CFF0FC"/>
          </w:tcPr>
          <w:p>
            <w:pPr>
              <w:jc w:val="right"/>
              <w:ind w:right="2019"/>
              <w:spacing w:after="0"/>
              <w:rPr>
                <w:sz w:val="20"/>
                <w:szCs w:val="20"/>
                <w:color w:val="auto"/>
              </w:rPr>
            </w:pPr>
            <w:r>
              <w:rPr>
                <w:rFonts w:ascii="Times New Roman" w:cs="Times New Roman" w:eastAsia="Times New Roman" w:hAnsi="Times New Roman"/>
                <w:sz w:val="16"/>
                <w:szCs w:val="16"/>
                <w:color w:val="auto"/>
                <w:w w:val="99"/>
              </w:rPr>
              <w:t>2018</w:t>
            </w:r>
          </w:p>
        </w:tc>
        <w:tc>
          <w:tcPr>
            <w:tcW w:w="1740" w:type="dxa"/>
            <w:vAlign w:val="bottom"/>
            <w:tcBorders>
              <w:top w:val="single" w:sz="8" w:color="auto"/>
            </w:tcBorders>
            <w:shd w:val="clear" w:color="auto" w:fill="CFF0FC"/>
          </w:tcPr>
          <w:p>
            <w:pPr>
              <w:jc w:val="right"/>
              <w:ind w:right="158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1,979</w:t>
            </w:r>
          </w:p>
        </w:tc>
        <w:tc>
          <w:tcPr>
            <w:tcW w:w="280" w:type="dxa"/>
            <w:vAlign w:val="bottom"/>
            <w:tcBorders>
              <w:top w:val="single" w:sz="8" w:color="CFF0FC"/>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ind w:right="158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1,033</w:t>
            </w:r>
          </w:p>
        </w:tc>
        <w:tc>
          <w:tcPr>
            <w:tcW w:w="2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Pr>
          <w:p>
            <w:pPr>
              <w:jc w:val="right"/>
              <w:ind w:right="2019"/>
              <w:spacing w:after="0"/>
              <w:rPr>
                <w:sz w:val="20"/>
                <w:szCs w:val="20"/>
                <w:color w:val="auto"/>
              </w:rPr>
            </w:pPr>
            <w:r>
              <w:rPr>
                <w:rFonts w:ascii="Times New Roman" w:cs="Times New Roman" w:eastAsia="Times New Roman" w:hAnsi="Times New Roman"/>
                <w:sz w:val="16"/>
                <w:szCs w:val="16"/>
                <w:color w:val="auto"/>
                <w:w w:val="99"/>
              </w:rPr>
              <w:t>2017</w:t>
            </w:r>
          </w:p>
        </w:tc>
        <w:tc>
          <w:tcPr>
            <w:tcW w:w="1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1,568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shd w:val="clear" w:color="auto" w:fill="CFF0FC"/>
          </w:tcPr>
          <w:p>
            <w:pPr>
              <w:jc w:val="right"/>
              <w:ind w:right="2019"/>
              <w:spacing w:after="0"/>
              <w:rPr>
                <w:sz w:val="20"/>
                <w:szCs w:val="20"/>
                <w:color w:val="auto"/>
              </w:rPr>
            </w:pPr>
            <w:r>
              <w:rPr>
                <w:rFonts w:ascii="Times New Roman" w:cs="Times New Roman" w:eastAsia="Times New Roman" w:hAnsi="Times New Roman"/>
                <w:sz w:val="16"/>
                <w:szCs w:val="16"/>
                <w:color w:val="auto"/>
                <w:w w:val="99"/>
              </w:rPr>
              <w:t>2016</w:t>
            </w: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Capitalized Software Development</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Capitalized software development is stated on the basis of cost and is presented net of accumulated amortization. The Company capitalizes costs incurred during the software development phase for projects when such costs are material. These assets are generally amortized using the straight-line method over three years. The Company capitalized approximately $11.9 million and $10.2 million during 2018 and 2017, respectively. Amortization of capitalized software development from continuing operations was approximately $9.6 million, $8.9 million, and $6.8 million during 2018, 2017, and 2016, respectively. Maintenance and operating costs are expensed as incurred. As of December 31, 2018 and 2017, there were no capitalized software development costs for external computer software developed for resale.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Level 1</w:t>
      </w:r>
      <w:r>
        <w:rPr>
          <w:rFonts w:ascii="Times New Roman" w:cs="Times New Roman" w:eastAsia="Times New Roman" w:hAnsi="Times New Roman"/>
          <w:sz w:val="17"/>
          <w:szCs w:val="17"/>
          <w:color w:val="auto"/>
        </w:rPr>
        <w:t xml:space="preserve"> – Observable inputs that reflect quoted prices (unadjusted) for identical assets or liabilities in active markets.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rPr>
        <w:t xml:space="preserve"> – Inputs other than quoted prices included in Level 1 that are observable for the asset or liability, either directly or indirectly.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Level 3</w:t>
      </w:r>
      <w:r>
        <w:rPr>
          <w:rFonts w:ascii="Times New Roman" w:cs="Times New Roman" w:eastAsia="Times New Roman" w:hAnsi="Times New Roman"/>
          <w:sz w:val="17"/>
          <w:szCs w:val="17"/>
          <w:color w:val="auto"/>
        </w:rPr>
        <w:t xml:space="preserve"> – Unobservable inputs in which little or no market data exists, therefore requiring the Company to develop its own assumptions.</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evaluates assets and liabilities subject to fair value measurements on a recurring basis to determine the appropriate level at which to classify them for each reporting period. This determination requires significant judgments to be made by the Company. At December 31, 2018 and 2017, our assets measured at fair value on a recurring basis consisted of marketable securities, which are classified as available for sale (see Note 4 –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Property and equipment are stated on the basis of cost. Depreciation is provided on the straight-line method over the following estimated useful lives, except for assets under capital leases and leasehold improvements, which are amortized over the shorter of the estimated useful life or their respective lease term.</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40" w:type="dxa"/>
            <w:vAlign w:val="bottom"/>
          </w:tcPr>
          <w:p>
            <w:pPr>
              <w:spacing w:after="0"/>
              <w:rPr>
                <w:sz w:val="18"/>
                <w:szCs w:val="18"/>
                <w:color w:val="auto"/>
              </w:rPr>
            </w:pPr>
          </w:p>
        </w:tc>
        <w:tc>
          <w:tcPr>
            <w:tcW w:w="168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213"/>
        </w:trPr>
        <w:tc>
          <w:tcPr>
            <w:tcW w:w="9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5 - 7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9740" w:type="dxa"/>
            <w:vAlign w:val="bottom"/>
          </w:tcPr>
          <w:p>
            <w:pPr>
              <w:spacing w:after="0"/>
              <w:rPr>
                <w:sz w:val="20"/>
                <w:szCs w:val="20"/>
                <w:color w:val="auto"/>
              </w:rPr>
            </w:pPr>
            <w:r>
              <w:rPr>
                <w:rFonts w:ascii="Times New Roman" w:cs="Times New Roman" w:eastAsia="Times New Roman" w:hAnsi="Times New Roman"/>
                <w:sz w:val="16"/>
                <w:szCs w:val="16"/>
                <w:color w:val="auto"/>
              </w:rPr>
              <w:t>Equipment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0" w:name="page51"/>
    <w:bookmarkEnd w:id="5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and Intangible Assets</w:t>
      </w:r>
    </w:p>
    <w:p>
      <w:pPr>
        <w:spacing w:after="0" w:line="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Goodwill represents the excess of purchase price in a business combination over the fair value of the net identifiable assets acquired. The carrying amount of our goodwill is evaluated for impairment at least annually during the fourth quarter and whenever events or changes in facts or circumstances indicate that impairment may exist. In accordance with ASC 350, </w:t>
      </w:r>
      <w:r>
        <w:rPr>
          <w:rFonts w:ascii="Times New Roman" w:cs="Times New Roman" w:eastAsia="Times New Roman" w:hAnsi="Times New Roman"/>
          <w:sz w:val="17"/>
          <w:szCs w:val="17"/>
          <w:i w:val="1"/>
          <w:iCs w:val="1"/>
          <w:color w:val="auto"/>
        </w:rPr>
        <w:t>Intangibles – Goodwill and Other</w:t>
      </w:r>
      <w:r>
        <w:rPr>
          <w:rFonts w:ascii="Times New Roman" w:cs="Times New Roman" w:eastAsia="Times New Roman" w:hAnsi="Times New Roman"/>
          <w:sz w:val="17"/>
          <w:szCs w:val="17"/>
          <w:color w:val="auto"/>
        </w:rPr>
        <w:t>, companies may opt to first assess qualitative factors to determine whether it is more likely than not that the fair value of a reporting unit is less than its carrying amount. A qualitative assessment includes factors such as financial performance, industry and market metrics, and other factors affecting the reporting unit. If this assessment concludes that it is more likely than not that the fair value of a reporting unit exceeds its carrying value, then goodwill is not considered impaired and no further impairment testing is required. Conversely, if the qualitative assessment concludes that it is more likely than not that the fair value of a reporting unit is less than its carrying value, we must then compare the fair value of the reporting unit to its carrying value. The Company determines fair value of the reporting units using both income and market based models. These models require the use of various assumptions relating to cash flow projections, growth rates, discount rates and terminal value calculations. There were no goodwill impairments identified or recorded for the years ended December 31, 2018, 2017, or 2016.</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December 31, 2018, intangible assets include customer relationships, internally-developed technology and patents, non-competition agreements, and trade names. These intangible assets are considered to have definite useful lives and are being amortized on a straight-line basis over periods ranging between five and thirteen years. The weighted average amortization period for definite lived intangible assets as of December 31, 2018 was 11.3 years. Intangible assets are reviewed for impairment whenever events or changes in facts or circumstances indicate that the carrying amount of the assets may not be recoverable. There were no intangible asset impairments identified or recorded for the years ended December 31, 2018, 2017, or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Assets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Long-lived assets to be held for use are reviewed for events or changes in facts and circumstances, both internally and externally, which may indicate that an impairment of long-lived assets held for use is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intangible assets, property and equipment, capitalized software development, deferred commissions, and other assets will be recoverable. There were no long-lived asset impairments identified or recorded for the years ended December 31, 2018, 2017, or 2016.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Non-Marketable Equity Investments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Non-marketable equity investments are accounted for using the equity method when the Company can exercise significant influence over the investee. Investments for which the Company is not able to exercise significant influence over the investee are accounted for under the cost method, and measured at fair value with changes in fair value recognized in net income. The proportionate share of income or loss from equity method investments and any changes in fair value of cost method investments are recorded under the caption “other income, net” in the accompanying consolidated statements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has various financial instruments, including cash and cash equivalents, accounts receivable, accounts receivable-unbilled, accounts payable, accrued liabilities, and deferred revenue. The carrying amounts of these financial instruments approximate fair value because of the short term maturity or short term nature of such instruments. The Company also has marketable securities, which are recorded at approximate fair value based on quoted market prices or alternative pricing sources (see Note 4 – Marketable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expenses the costs of advertising as incurred. Advertising expense for the years ended December 31, 2018, 2017, and 2016 was approximately $721,000, $868,000, and $824,000, respectively, and is included under the caption “sales and marketing expense” in the accompanying consolidated statements of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Shipping and Handling Costs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Shipping and handling costs that are associated with our products and services are included in cost of revenues.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1" w:name="page52"/>
    <w:bookmarkEnd w:id="5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2018, the Company had established a valuation allowance of $311,000 for the portion of its net deferred tax assets that are not more likely than not expected to be realized.The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expenses any penalties or interest associated with tax obligations as general and administrative expenses and interest expense,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Common equivalent shares that have an anti-dilutive effect on diluted net income per share were excluded from the calculation of diluted weighted average shares outstanding for the years ended December 31, 2018, 2017, and 2016.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of Credit Risk and Significant Customers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credit risks relate primarily to cash and cash equivalents, marketable securities, and accounts receivable. The Company places its temporary excess cash investments in high quality, short-term money market instruments. At times, such investments may be in excess of the FDIC insurance limits. Marketable securities consist primarily of investment grade corporate debt securities and government sponsored enterprise debt securities.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sells its products and services to various companies in the healthcare industry that are primarily located in the United States. Customer credit worthiness evaluations are performed on an ongoing basis, and the Company generally requires no collateral from customers. An allowance for doubtful accounts is maintained for potentially uncollectible accounts receivable. The Company did not have any single customer representing over 10% of net revenues or accounts receivable during 2018, 2017, or 2016.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Based Compensation</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of December 31, 2018, the Company maintains two stock based compensation plans under which awards are outstanding, as described in Note 11. The Company accounts for stock based compensation using the fair-value based method for costs related to share-based payments, including stock options and restricted share units. The Company uses the Black Scholes option pricing model for calculating the fair value of option awards issued under its stock based compensation plan. The Company measures compensation cost of restricted share units based on the closing fair market value of the Company’s stock on the date of grant. Stock based compensation cost is measured at the grant date, based on the fair value of the award that is ultimately expected to vest, and is recognized as an expense over the requisite service period. The Company recognizes tax benefits from stock based compensation if an excess tax benefit is realized. Excess tax benefits are reflected in the statement of income as a component of the provision for income taxes when realized.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 Not Yet Adopted</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In February 2016, the FASB issued ASU 2016-02, </w:t>
      </w:r>
      <w:r>
        <w:rPr>
          <w:rFonts w:ascii="Times New Roman" w:cs="Times New Roman" w:eastAsia="Times New Roman" w:hAnsi="Times New Roman"/>
          <w:sz w:val="17"/>
          <w:szCs w:val="17"/>
          <w:i w:val="1"/>
          <w:iCs w:val="1"/>
          <w:color w:val="auto"/>
        </w:rPr>
        <w:t>Leases (ASC 842)</w:t>
      </w:r>
      <w:r>
        <w:rPr>
          <w:rFonts w:ascii="Times New Roman" w:cs="Times New Roman" w:eastAsia="Times New Roman" w:hAnsi="Times New Roman"/>
          <w:sz w:val="17"/>
          <w:szCs w:val="17"/>
          <w:color w:val="auto"/>
        </w:rPr>
        <w:t xml:space="preserve">, which supersedes the lease requirements in ASC 840,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ASC 842 requires lessees to recognize assets and liabilities for most leases and provide enhanced disclosures. The Company will adopt ASC 842 effective January 1, 2019 using a modified retrospective approach. As permitted under the transition guidance, we will carry forward the assessment of whether our contracts contain or are leases, classification of our leases, and remaining lease terms. Based on our portfolio of leases as of January 1, 2019, approximately $5.0 million of lease assets and liabilities relating to real estate will be recognized on our balance sheet upon adoption. Additionally, we anticipate recording a material lease asset and liability upon the commencement date of our new corporate headquarters of approximately $24 million. Except as set forth above, we do not anticipate that the adoption of ASC 842 will have any significant impact on the Company’s consolidated financial position and results of operations. We are substantially complete with our implementation efforts.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2" w:name="page53"/>
    <w:bookmarkEnd w:id="5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In June 2016, the FASB issued ASU 2016-03, </w:t>
      </w:r>
      <w:r>
        <w:rPr>
          <w:rFonts w:ascii="Times New Roman" w:cs="Times New Roman" w:eastAsia="Times New Roman" w:hAnsi="Times New Roman"/>
          <w:sz w:val="17"/>
          <w:szCs w:val="17"/>
          <w:i w:val="1"/>
          <w:iCs w:val="1"/>
          <w:color w:val="auto"/>
        </w:rPr>
        <w:t>Financial Instruments—Credit Losses (ASC 326): Measurement of Credit Losses on Financial Instruments</w:t>
      </w:r>
      <w:r>
        <w:rPr>
          <w:rFonts w:ascii="Times New Roman" w:cs="Times New Roman" w:eastAsia="Times New Roman" w:hAnsi="Times New Roman"/>
          <w:sz w:val="17"/>
          <w:szCs w:val="17"/>
          <w:color w:val="auto"/>
        </w:rPr>
        <w:t>, which amends guidance on reporting credit losses for assets held at amortized cost basis and available for sale debt securities. For assets held at amortized cost basis, ASC 326 eliminates the probable initial recognition threshold in current GAAP and, instead, requires an entity to reflect its current estimate of all expected credit losses. The standard will be effective for the first interim period within annual reporting periods beginning after December 15, 2019. The Company will adopt this ASU on January 1, 2020 and is currently evaluating the impact that adoption of this ASU will have on the Company’s consolidated financial position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SHAREHOLDERS’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is authorized to issue up to 75 million shares of common stock. The number of common shares issued and outstanding as of December 31, 2018 and 2017 was approximately 32.3 million and 31.9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EARNINGS PER SHARE</w:t>
      </w:r>
    </w:p>
    <w:p>
      <w:pPr>
        <w:spacing w:after="0" w:line="22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 for the three years ended December 31, 2018 (in thousands, except per share amounts):</w:t>
      </w:r>
    </w:p>
    <w:p>
      <w:pPr>
        <w:jc w:val="center"/>
        <w:ind w:left="6620"/>
        <w:spacing w:after="0" w:line="236" w:lineRule="auto"/>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620"/>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7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13,251</w:t>
            </w: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8,838</w:t>
            </w:r>
          </w:p>
        </w:tc>
        <w:tc>
          <w:tcPr>
            <w:tcW w:w="26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(1,036)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32,217</w:t>
            </w:r>
          </w:p>
        </w:tc>
        <w:tc>
          <w:tcPr>
            <w:tcW w:w="2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Effect of dilutive shares</w:t>
            </w: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Weighted-average diluted shares</w:t>
            </w: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32,335</w:t>
            </w:r>
          </w:p>
        </w:tc>
        <w:tc>
          <w:tcPr>
            <w:tcW w:w="2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32,196</w:t>
            </w: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7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Earnings (loss) per share – basic:</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840" w:type="dxa"/>
            <w:vAlign w:val="bottom"/>
            <w:shd w:val="clear" w:color="auto" w:fill="CFF0FC"/>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5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840" w:type="dxa"/>
            <w:vAlign w:val="bottom"/>
            <w:tcBorders>
              <w:top w:val="single" w:sz="8" w:color="auto"/>
              <w:bottom w:val="single" w:sz="8" w:color="auto"/>
            </w:tcBorders>
            <w:shd w:val="clear" w:color="auto" w:fill="CFF0FC"/>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Earnings (loss) per share – diluted:</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26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7"/>
        </w:trPr>
        <w:tc>
          <w:tcPr>
            <w:tcW w:w="6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84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Potentially dilutive shares representing approximately 91,000, 58,000, and 38,000 shares of common stock for the years ended December 31, 2018, 2017, and 2016, respectively, were excluded from the calculation of diluted earnings per share because their effect would have been anti-dilutive.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3" w:name="page54"/>
    <w:bookmarkEnd w:id="5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MARKETABLE SECURITIES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2018 and 2017, the fair value of marketable securities, which were all classified as available for sale, included the following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Level 2:</w:t>
            </w:r>
          </w:p>
        </w:tc>
        <w:tc>
          <w:tcPr>
            <w:tcW w:w="1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Government-sponsored enterprise debt securities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34,520</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5"/>
                <w:szCs w:val="15"/>
                <w:b w:val="1"/>
                <w:bCs w:val="1"/>
                <w:color w:val="auto"/>
              </w:rPr>
              <w:t>December 31, 2017</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2"/>
              <w:spacing w:after="0" w:line="148" w:lineRule="exact"/>
              <w:rPr>
                <w:sz w:val="20"/>
                <w:szCs w:val="20"/>
                <w:color w:val="auto"/>
              </w:rPr>
            </w:pPr>
            <w:r>
              <w:rPr>
                <w:rFonts w:ascii="Times New Roman" w:cs="Times New Roman" w:eastAsia="Times New Roman" w:hAnsi="Times New Roman"/>
                <w:sz w:val="15"/>
                <w:szCs w:val="15"/>
                <w:b w:val="1"/>
                <w:bCs w:val="1"/>
                <w:color w:val="auto"/>
              </w:rPr>
              <w:t>Adjusted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2"/>
              <w:spacing w:after="0" w:line="148"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00"/>
              <w:spacing w:after="0" w:line="148" w:lineRule="exact"/>
              <w:rPr>
                <w:sz w:val="20"/>
                <w:szCs w:val="20"/>
                <w:color w:val="auto"/>
              </w:rPr>
            </w:pPr>
            <w:r>
              <w:rPr>
                <w:rFonts w:ascii="Times New Roman" w:cs="Times New Roman" w:eastAsia="Times New Roman" w:hAnsi="Times New Roman"/>
                <w:sz w:val="15"/>
                <w:szCs w:val="15"/>
                <w:b w:val="1"/>
                <w:bCs w:val="1"/>
                <w:color w:val="auto"/>
                <w:w w:val="99"/>
              </w:rPr>
              <w:t>Unrealized</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02"/>
              <w:spacing w:after="0"/>
              <w:rPr>
                <w:sz w:val="20"/>
                <w:szCs w:val="20"/>
                <w:color w:val="auto"/>
              </w:rPr>
            </w:pPr>
            <w:r>
              <w:rPr>
                <w:rFonts w:ascii="Times New Roman" w:cs="Times New Roman" w:eastAsia="Times New Roman" w:hAnsi="Times New Roman"/>
                <w:sz w:val="15"/>
                <w:szCs w:val="15"/>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62"/>
              <w:spacing w:after="0"/>
              <w:rPr>
                <w:sz w:val="20"/>
                <w:szCs w:val="20"/>
                <w:color w:val="auto"/>
              </w:rPr>
            </w:pPr>
            <w:r>
              <w:rPr>
                <w:rFonts w:ascii="Times New Roman" w:cs="Times New Roman" w:eastAsia="Times New Roman" w:hAnsi="Times New Roman"/>
                <w:sz w:val="15"/>
                <w:szCs w:val="15"/>
                <w:b w:val="1"/>
                <w:bCs w:val="1"/>
                <w:color w:val="auto"/>
              </w:rPr>
              <w:t>Gains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Losses</w:t>
            </w: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0" w:type="dxa"/>
            <w:vAlign w:val="bottom"/>
          </w:tcPr>
          <w:p>
            <w:pPr>
              <w:spacing w:after="0"/>
              <w:rPr>
                <w:sz w:val="1"/>
                <w:szCs w:val="1"/>
                <w:color w:val="auto"/>
              </w:rPr>
            </w:pP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Level 2:</w:t>
            </w:r>
          </w:p>
        </w:tc>
        <w:tc>
          <w:tcPr>
            <w:tcW w:w="1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Government-sponsored enterprise debt securities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46,388</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carrying amounts of the marketable securities reported in the consolidated balance sheets approximate fair value based on quoted market prices or alternative pricing sources and models utilizing market observable inputs. As of December 31, 2018, the Company does not consider any of its marketable securities to be other than temporarily impaired. During the years ended December 31, 2018 and 2017,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REVENUE RECOGNITION AND SALES COMMISSIONS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Adoption of ASC 606, Revenue from Contracts with Customers</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January 1, 2018, the Company adopted ASC 606 using the modified retrospective approach applied to contracts not completed as of January 1, 2018. As such, results for reporting periods beginning after January 1, 2018 are presented under ASC 606, while prior period amounts continue to be reported in accordance with ASC 605.</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cumulative effect of the changes made to the Company’s consolidated January 1, 2018 balance sheet in connection with the adoption of ASC 606 was as follows (in thousands):</w:t>
      </w:r>
    </w:p>
    <w:tbl>
      <w:tblPr>
        <w:tblLayout w:type="fixed"/>
        <w:tblInd w:w="0" w:type="dxa"/>
        <w:tblCellMar>
          <w:top w:w="0" w:type="dxa"/>
          <w:left w:w="0" w:type="dxa"/>
          <w:bottom w:w="0" w:type="dxa"/>
          <w:right w:w="0" w:type="dxa"/>
        </w:tblCellMar>
      </w:tblPr>
      <w:tr>
        <w:trPr>
          <w:trHeight w:val="141"/>
        </w:trPr>
        <w:tc>
          <w:tcPr>
            <w:tcW w:w="62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Times New Roman" w:cs="Times New Roman" w:eastAsia="Times New Roman" w:hAnsi="Times New Roman"/>
                <w:sz w:val="14"/>
                <w:szCs w:val="14"/>
                <w:b w:val="1"/>
                <w:bCs w:val="1"/>
                <w:color w:val="auto"/>
              </w:rPr>
              <w:t>ASC 606</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628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0" w:type="dxa"/>
            <w:vAlign w:val="bottom"/>
          </w:tcPr>
          <w:p>
            <w:pPr>
              <w:spacing w:after="0"/>
              <w:rPr>
                <w:sz w:val="15"/>
                <w:szCs w:val="15"/>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1, 2018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Borders>
              <w:top w:val="single" w:sz="8" w:color="auto"/>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w w:val="95"/>
              </w:rPr>
              <w:t>Assets</w:t>
            </w:r>
          </w:p>
        </w:tc>
        <w:tc>
          <w:tcPr>
            <w:tcW w:w="5840" w:type="dxa"/>
            <w:vAlign w:val="bottom"/>
            <w:tcBorders>
              <w:top w:val="single" w:sz="8" w:color="auto"/>
              <w:bottom w:val="single" w:sz="8" w:color="CFF0FC"/>
            </w:tcBorders>
            <w:gridSpan w:val="3"/>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134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126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130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26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royalties, net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(902)</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Other prepaid expenses and other 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(2,900)</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(274)</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Deferred commissions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Non-current assets of discontinued operations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6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 current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64,938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(4,488)</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(1,374)</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(2,848)</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6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Shareholders’ equity</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17,542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15,132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4" w:name="page55"/>
    <w:bookmarkEnd w:id="5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impact of adopting ASC 606 on the Company’s consolidated balance sheet as of December 31, 2018 and statements of income for the year ended December 31, 2018 was as follows (in thousands):</w:t>
      </w:r>
    </w:p>
    <w:p>
      <w:pPr>
        <w:sectPr>
          <w:pgSz w:w="11900" w:h="16838" w:orient="portrait"/>
          <w:cols w:equalWidth="0" w:num="1">
            <w:col w:w="11420"/>
          </w:cols>
          <w:pgMar w:left="240" w:top="263"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Assets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Prepaid royalties, net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prepaid expenses and other current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commissions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Liabilities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revenue, current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revenue, noncurrent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Shareholders’ equity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Statement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Revenues, net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Costs and expenses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revenues (excluding depreciation and amortization)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 and marketing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income</w:t>
      </w:r>
    </w:p>
    <w:p>
      <w:pPr>
        <w:spacing w:after="0" w:line="32" w:lineRule="exact"/>
        <w:rPr>
          <w:sz w:val="20"/>
          <w:szCs w:val="20"/>
          <w:color w:val="auto"/>
        </w:rPr>
      </w:pPr>
    </w:p>
    <w:p>
      <w:pPr>
        <w:ind w:right="1860"/>
        <w:spacing w:after="0" w:line="281" w:lineRule="auto"/>
        <w:rPr>
          <w:sz w:val="20"/>
          <w:szCs w:val="20"/>
          <w:color w:val="auto"/>
        </w:rPr>
      </w:pPr>
      <w:r>
        <w:rPr>
          <w:rFonts w:ascii="Times New Roman" w:cs="Times New Roman" w:eastAsia="Times New Roman" w:hAnsi="Times New Roman"/>
          <w:sz w:val="16"/>
          <w:szCs w:val="16"/>
          <w:color w:val="auto"/>
        </w:rPr>
        <w:t>Income from continuing operations before income tax provision Income tax provision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from continuing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December 31, 2018</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As</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Balances without</w:t>
            </w: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Adoption of</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Higher/(Lower)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14,801</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70,796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0" w:type="dxa"/>
            <w:vAlign w:val="bottom"/>
          </w:tcPr>
          <w:p>
            <w:pPr>
              <w:spacing w:after="0"/>
              <w:rPr>
                <w:sz w:val="1"/>
                <w:szCs w:val="1"/>
                <w:color w:val="auto"/>
              </w:rPr>
            </w:pPr>
          </w:p>
        </w:tc>
      </w:tr>
      <w:tr>
        <w:trPr>
          <w:trHeight w:val="648"/>
        </w:trPr>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8"/>
        </w:trPr>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40" w:type="dxa"/>
            <w:vAlign w:val="bottom"/>
          </w:tcPr>
          <w:p>
            <w:pPr>
              <w:spacing w:after="0"/>
              <w:rPr>
                <w:sz w:val="11"/>
                <w:szCs w:val="11"/>
                <w:color w:val="auto"/>
              </w:rPr>
            </w:pPr>
          </w:p>
        </w:tc>
        <w:tc>
          <w:tcPr>
            <w:tcW w:w="1100" w:type="dxa"/>
            <w:vAlign w:val="bottom"/>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Balances without</w:t>
            </w:r>
          </w:p>
        </w:tc>
        <w:tc>
          <w:tcPr>
            <w:tcW w:w="120" w:type="dxa"/>
            <w:vAlign w:val="bottom"/>
          </w:tcPr>
          <w:p>
            <w:pPr>
              <w:spacing w:after="0"/>
              <w:rPr>
                <w:sz w:val="11"/>
                <w:szCs w:val="11"/>
                <w:color w:val="auto"/>
              </w:rPr>
            </w:pP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Adoption of</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11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12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Higher/(Lower)</w:t>
            </w:r>
          </w:p>
        </w:tc>
        <w:tc>
          <w:tcPr>
            <w:tcW w:w="0" w:type="dxa"/>
            <w:vAlign w:val="bottom"/>
          </w:tcPr>
          <w:p>
            <w:pPr>
              <w:spacing w:after="0"/>
              <w:rPr>
                <w:sz w:val="1"/>
                <w:szCs w:val="1"/>
                <w:color w:val="auto"/>
              </w:rPr>
            </w:pPr>
          </w:p>
        </w:tc>
      </w:tr>
      <w:tr>
        <w:trPr>
          <w:trHeight w:val="204"/>
        </w:trPr>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231,616</w:t>
            </w: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230,876</w:t>
            </w:r>
          </w:p>
        </w:tc>
        <w:tc>
          <w:tcPr>
            <w:tcW w:w="2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96,014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95,711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-3357245</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-3082925</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-2808605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-2534285</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-2259330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-3640455</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-1093470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-818515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-544195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-269875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-1376045</wp:posOffset>
            </wp:positionV>
            <wp:extent cx="72466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6020" w:space="720"/>
            <w:col w:w="4680"/>
          </w:cols>
          <w:pgMar w:left="240" w:top="263" w:right="239" w:bottom="1440" w:gutter="0" w:footer="0" w:header="0"/>
          <w:type w:val="continuous"/>
        </w:sectPr>
      </w:pPr>
    </w:p>
    <w:p>
      <w:pPr>
        <w:spacing w:after="0" w:line="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is recognized based on the following five step model:</w:t>
      </w:r>
    </w:p>
    <w:p>
      <w:pPr>
        <w:spacing w:after="0" w:line="223" w:lineRule="exact"/>
        <w:rPr>
          <w:sz w:val="20"/>
          <w:szCs w:val="20"/>
          <w:color w:val="auto"/>
        </w:rPr>
      </w:pPr>
    </w:p>
    <w:p>
      <w:pPr>
        <w:ind w:left="820" w:hanging="407"/>
        <w:spacing w:after="0"/>
        <w:tabs>
          <w:tab w:leader="none" w:pos="8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with a customer</w:t>
      </w:r>
    </w:p>
    <w:p>
      <w:pPr>
        <w:spacing w:after="0" w:line="25" w:lineRule="exact"/>
        <w:rPr>
          <w:rFonts w:ascii="Times New Roman" w:cs="Times New Roman" w:eastAsia="Times New Roman" w:hAnsi="Times New Roman"/>
          <w:sz w:val="17"/>
          <w:szCs w:val="17"/>
          <w:color w:val="auto"/>
        </w:rPr>
      </w:pPr>
    </w:p>
    <w:p>
      <w:pPr>
        <w:ind w:left="820" w:hanging="407"/>
        <w:spacing w:after="0"/>
        <w:tabs>
          <w:tab w:leader="none" w:pos="8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7" w:lineRule="exact"/>
        <w:rPr>
          <w:rFonts w:ascii="Times New Roman" w:cs="Times New Roman" w:eastAsia="Times New Roman" w:hAnsi="Times New Roman"/>
          <w:sz w:val="17"/>
          <w:szCs w:val="17"/>
          <w:color w:val="auto"/>
        </w:rPr>
      </w:pPr>
    </w:p>
    <w:p>
      <w:pPr>
        <w:ind w:left="820" w:hanging="407"/>
        <w:spacing w:after="0"/>
        <w:tabs>
          <w:tab w:leader="none" w:pos="8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7" w:lineRule="exact"/>
        <w:rPr>
          <w:rFonts w:ascii="Times New Roman" w:cs="Times New Roman" w:eastAsia="Times New Roman" w:hAnsi="Times New Roman"/>
          <w:sz w:val="17"/>
          <w:szCs w:val="17"/>
          <w:color w:val="auto"/>
        </w:rPr>
      </w:pPr>
    </w:p>
    <w:p>
      <w:pPr>
        <w:ind w:left="820" w:hanging="407"/>
        <w:spacing w:after="0"/>
        <w:tabs>
          <w:tab w:leader="none" w:pos="8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7" w:lineRule="exact"/>
        <w:rPr>
          <w:rFonts w:ascii="Times New Roman" w:cs="Times New Roman" w:eastAsia="Times New Roman" w:hAnsi="Times New Roman"/>
          <w:sz w:val="17"/>
          <w:szCs w:val="17"/>
          <w:color w:val="auto"/>
        </w:rPr>
      </w:pPr>
    </w:p>
    <w:p>
      <w:pPr>
        <w:ind w:left="820" w:hanging="407"/>
        <w:spacing w:after="0"/>
        <w:tabs>
          <w:tab w:leader="none" w:pos="8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represents revenues included in continuing operations disaggregated by revenue source for the year ended December 31, 2018 (in thousands).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taxes are excluded from revenues.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Business Segments</w:t>
            </w:r>
          </w:p>
        </w:tc>
        <w:tc>
          <w:tcPr>
            <w:tcW w:w="1440" w:type="dxa"/>
            <w:vAlign w:val="bottom"/>
          </w:tcPr>
          <w:p>
            <w:pPr>
              <w:jc w:val="right"/>
              <w:ind w:right="3"/>
              <w:spacing w:after="0" w:line="131" w:lineRule="exact"/>
              <w:rPr>
                <w:sz w:val="20"/>
                <w:szCs w:val="20"/>
                <w:color w:val="auto"/>
              </w:rPr>
            </w:pPr>
            <w:r>
              <w:rPr>
                <w:rFonts w:ascii="Times New Roman" w:cs="Times New Roman" w:eastAsia="Times New Roman" w:hAnsi="Times New Roman"/>
                <w:sz w:val="14"/>
                <w:szCs w:val="14"/>
                <w:b w:val="1"/>
                <w:bCs w:val="1"/>
                <w:color w:val="auto"/>
              </w:rPr>
              <w:t>Workforce</w:t>
            </w: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tcPr>
          <w:p>
            <w:pPr>
              <w:jc w:val="center"/>
              <w:ind w:right="323"/>
              <w:spacing w:after="0" w:line="131"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380" w:type="dxa"/>
            <w:vAlign w:val="bottom"/>
            <w:gridSpan w:val="2"/>
            <w:vMerge w:val="continue"/>
          </w:tcPr>
          <w:p>
            <w:pPr>
              <w:spacing w:after="0"/>
              <w:rPr>
                <w:sz w:val="15"/>
                <w:szCs w:val="15"/>
                <w:color w:val="auto"/>
              </w:rPr>
            </w:pP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jc w:val="center"/>
              <w:ind w:right="34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Subscription/SaaS services</w:t>
            </w:r>
          </w:p>
        </w:tc>
        <w:tc>
          <w:tcPr>
            <w:tcW w:w="26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ind w:right="1283"/>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184,926</w:t>
            </w:r>
          </w:p>
        </w:tc>
        <w:tc>
          <w:tcPr>
            <w:tcW w:w="3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35,542</w:t>
            </w:r>
          </w:p>
        </w:tc>
        <w:tc>
          <w:tcPr>
            <w:tcW w:w="3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220,468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Professional services</w:t>
            </w:r>
          </w:p>
        </w:tc>
        <w:tc>
          <w:tcPr>
            <w:tcW w:w="1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36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5,935</w:t>
            </w:r>
          </w:p>
        </w:tc>
        <w:tc>
          <w:tcPr>
            <w:tcW w:w="3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revenues, net</w:t>
            </w:r>
          </w:p>
        </w:tc>
        <w:tc>
          <w:tcPr>
            <w:tcW w:w="1440" w:type="dxa"/>
            <w:vAlign w:val="bottom"/>
            <w:tcBorders>
              <w:bottom w:val="single" w:sz="8" w:color="auto"/>
            </w:tcBorders>
            <w:shd w:val="clear" w:color="auto" w:fill="CFF0FC"/>
          </w:tcPr>
          <w:p>
            <w:pPr>
              <w:jc w:val="right"/>
              <w:ind w:right="1283"/>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190,139</w:t>
            </w:r>
          </w:p>
        </w:tc>
        <w:tc>
          <w:tcPr>
            <w:tcW w:w="3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41,477</w:t>
            </w:r>
          </w:p>
        </w:tc>
        <w:tc>
          <w:tcPr>
            <w:tcW w:w="3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231,616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type w:val="continuous"/>
        </w:sectPr>
      </w:pPr>
    </w:p>
    <w:bookmarkStart w:id="55" w:name="page56"/>
    <w:bookmarkEnd w:id="5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Subscription/SaaS services revenues primarily consist of fees in consideration of providing customers access to one or more of our SaaS-based solutions and/or courseware subscriptions, as well as for license arrangements, all of which include routine customer support and technology enhancements. Revenue is generally recognized over time during the contract term beginning when the service is made available to the customer. Subscription/SaaS contracts are generally non-cancelable, one to five years in length, and billed annually, semi-annually, quarterly, or monthly in advance.</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Professional services revenues primarily consist of fees for implementation services, consulting, custom courseware development, and training. The majority of our professional services contracts are billed in advance based on a fixed price basis, and revenue is recognized over time as the services are performed. For both subscription/SaaS services and professional services, the time between billing the customer and when performance obligations are satisfied is not significant.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contracts with customers often contain multiple performance obligations. For these contracts, the Company accounts for individual performance obligations separately if they are distinct. The contract price, which represents transaction price,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subscribers within the contract.</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receive payments from customers based on billing schedules established in our contracts. Accounts receivable - unbilled represent contract assets related to our conditional right to consideration for subscription/SaaS and professional services contracts where performance has occurred under the contract. Accounts receivable are primarily comprised of trade receivables that are recorded at the invoice amount, net of an allowance for doubtful accounts, when the right to consideration becomes unconditional. Other receivables, which are included within Accounts Receivable, include receivables from certain content partners and are not material. For the years ended December 31, 2018 and 2017, the Company recognized $1.0 million and $1.6 million, respectively, in impairment losses on receivables and contract assets arising from the Company’s contracts with customers.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Deferred revenue represents contract liabilities that are recorded when cash payments are received or are due in advance of our satisfaction of performance obligations. During the year ended December 31, 2018, we recognized revenues of approximately $63.7 million from amounts included in deferred revenue at the beginning of the period. As of December 31, 2018, approximately $447 million of revenue is expected to be recognized from remaining performance obligations under contracts with customers. We expect to recognize revenue on approximately 48% of these remaining performance obligations over the 12 months ending December 31, 2019, with the remaining amounts recognized thereafter.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Commissions</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Sales commissions earned by our sales organization are considered incremental and recoverable costs of obtaining a contract with a customer. The Company’s sales commission plans for 2018 typically include multiple payments, including initial payments in the period a customer contract is obtained and subsequent payments either 15 or 27 months after the initial payment. Under ASC 606, costs to acquire contracts with customers, such as the initial sales commission payment, are capitalized and amortized consistent with the pattern of revenue recognition, whereas subsequent sales commission payments which require a substantive performance condition of the employee are expensed ratably through the payment date. In contrast, under ASC 605, initial sales commission payments were expensed in the period earned. Under ASC 606, the initial commission payments are capitalized in the period a customer contract is obtained and are amortized consistent with the transfer of the goods or services to the customer over the expected period of benefit. The capitalized contract cost is included under the caption “deferred commissions” in the accompanying consolidated balance sheet.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expected customer relationship period, limited by the technological obsolescence period of approximately three years. The Company recorded amortization of deferred commissions of $7.7 million for the year ended December 31, 2018, which is included in Sales and marketing expenses in the accompanying consolidated statement of income.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6" w:name="page57"/>
    <w:bookmarkEnd w:id="5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AND 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consist of the following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600" w:type="dxa"/>
            <w:vAlign w:val="bottom"/>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Equipment</w:t>
            </w:r>
          </w:p>
        </w:tc>
        <w:tc>
          <w:tcPr>
            <w:tcW w:w="27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21,129</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23,776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27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Gross property and equipment</w:t>
            </w:r>
          </w:p>
        </w:tc>
        <w:tc>
          <w:tcPr>
            <w:tcW w:w="2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(20,827)</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(24,392)</w:t>
            </w:r>
          </w:p>
        </w:tc>
        <w:tc>
          <w:tcPr>
            <w:tcW w:w="0" w:type="dxa"/>
            <w:vAlign w:val="bottom"/>
          </w:tcPr>
          <w:p>
            <w:pPr>
              <w:spacing w:after="0"/>
              <w:rPr>
                <w:sz w:val="1"/>
                <w:szCs w:val="1"/>
                <w:color w:val="auto"/>
              </w:rPr>
            </w:pPr>
          </w:p>
        </w:tc>
      </w:tr>
      <w:tr>
        <w:trPr>
          <w:trHeight w:val="207"/>
        </w:trPr>
        <w:tc>
          <w:tcPr>
            <w:tcW w:w="5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7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15,866</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Depreciation of property and equipment totaled approximately $5.5 million, $5.9 million, and $6.1 million for the years ended December 31, 2018, 2017, and 2016,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GOODWILL AND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 of goodwill for the years ended December 31, 2018 and 2017 are as follows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9"/>
              </w:rPr>
              <w:t>Workforce</w:t>
            </w:r>
          </w:p>
        </w:tc>
        <w:tc>
          <w:tcPr>
            <w:tcW w:w="18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Provider</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24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2018</w:t>
            </w:r>
          </w:p>
        </w:tc>
        <w:tc>
          <w:tcPr>
            <w:tcW w:w="2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16,381</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69,763</w:t>
            </w: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86,144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Changes in carrying amount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23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16,381</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69,763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86,144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9"/>
              </w:rPr>
              <w:t>Workforce</w:t>
            </w:r>
          </w:p>
        </w:tc>
        <w:tc>
          <w:tcPr>
            <w:tcW w:w="18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Provider</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January 1, 2017</w:t>
            </w: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24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496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16,381</w:t>
            </w:r>
          </w:p>
        </w:tc>
        <w:tc>
          <w:tcPr>
            <w:tcW w:w="280" w:type="dxa"/>
            <w:vAlign w:val="bottom"/>
          </w:tcPr>
          <w:p>
            <w:pPr>
              <w:spacing w:after="0"/>
              <w:rPr>
                <w:sz w:val="17"/>
                <w:szCs w:val="17"/>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69,230</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 of Morrisey Associates, Inc.</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23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16,381</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69,763</w:t>
            </w: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2017, the Company recorded a measurement period adjustment of approximately $533,000 of additional goodwill in relation to the August 2016 acquisition of Morrisey Associates, Inc.</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Intangible assets other than goodwill are considered to have finite useful lives. Customer-related intangibles include customer relationships and are amortized over their estimated useful lives ranging from five to thirteen years. Other intangible assets include technology and patents and trade names and are amortized over their estimated useful lives ranging from five to nine years. Amortization of intangible assets was approximately $9.1 million, $9.2 million, and $7.4 million for the years ended December 31, 2018, 2017, and 2016,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Identifiable intangible assets are comprised of the following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8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6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10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related</w:t>
            </w:r>
          </w:p>
        </w:tc>
        <w:tc>
          <w:tcPr>
            <w:tcW w:w="19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76,714</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(23,245)</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53,469</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76,714</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(17,033)</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59,681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(9,663)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(7,708)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9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92,286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(32,908</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59,378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93,238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(24,741</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68,497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3"/>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The expected future annual amortization expense for the years ending December 31, is as follows (in thousands):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2019</w:t>
            </w: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9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23,165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9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7" w:name="page58"/>
    <w:bookmarkEnd w:id="5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DISCONTINUED OPERATIONS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February 12, 2018, the Company divested its PX business to Press Ganey for $65.2 million in cash (after giving effect to the post-closing working capital adjustment), resulting in a gain, net of tax, of $19.0 million. Approximately $6.55 million of the proceeds are being held in escrow for a period of time following the closing as a source of recovery for any indemnification claims by Press Ganey. The Company estimated the fair value of the contingent consideration asset based on the likelihood of receiving cash proceeds from the escrow. Such contingent consideration is remeasured at fair value based on changes in facts each period and are recorded within the “Gain on sale of discontinued operations” caption within the consolidated statements of income. The sale of the PX business was effected (i) by the contribution by the Company of specified assets and certain liabilities used in the PX business to a newly-formed wholly-owned subsidiary of the Company, and</w:t>
      </w:r>
    </w:p>
    <w:p>
      <w:pPr>
        <w:spacing w:after="0" w:line="2" w:lineRule="exact"/>
        <w:rPr>
          <w:sz w:val="20"/>
          <w:szCs w:val="20"/>
          <w:color w:val="auto"/>
        </w:rPr>
      </w:pPr>
    </w:p>
    <w:p>
      <w:pPr>
        <w:ind w:firstLine="8"/>
        <w:spacing w:after="0" w:line="259" w:lineRule="auto"/>
        <w:tabs>
          <w:tab w:leader="none" w:pos="25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thereafter, the sale by the Company to Press Ganey of all the outstanding equity interests of such wholly-owned subsidiary. In connection with such contribution, the Company retained certain liabilities related to the PX business.</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This sale of the PX business resulted in the divestiture of the Company’s patient experience solutions business segment. The Company has classified the results of its PX business segment as discontinued operations in its consolidated statements of income and cash flows for all periods presented. Additionally, the related assets and liabilities are reported as assets and liabilities of discontinued operations in the Company’s consolidated balance sheet as of December 31, 2017.</w:t>
      </w:r>
    </w:p>
    <w:p>
      <w:pPr>
        <w:spacing w:after="0" w:line="176"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The financial results of the PX business for the period prior to divestiture during the years ended December 31, 2018, 2017, and 2016 are presented in discontinued operations in the Company’s consolidated statements of income. The following table presents the financial results of the PX business (in thousands):</w:t>
      </w:r>
    </w:p>
    <w:p>
      <w:pPr>
        <w:spacing w:after="0" w:line="14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48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net</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32,763</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Cost of revenues (excluding depreciation and amortization)</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development</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general and administrative expenses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discontinued operations before income tax provision</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Income tax benefit</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(773)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07"/>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income from discontinued operations, net of income taxes</w:t>
            </w:r>
          </w:p>
        </w:tc>
        <w:tc>
          <w:tcPr>
            <w:tcW w:w="7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8" w:name="page59"/>
    <w:bookmarkEnd w:id="5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aggregate carrying amounts of the classes of assets and liabilities of discontinued operations as of December 31, 2017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Carrying amounts of assets included as part of discontinued operations:</w:t>
            </w:r>
          </w:p>
        </w:tc>
        <w:tc>
          <w:tcPr>
            <w:tcW w:w="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 – unbilled</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6"/>
                <w:szCs w:val="16"/>
                <w:color w:val="auto"/>
              </w:rPr>
              <w:t>Prepaid royalties, net of amortization</w:t>
            </w: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prepaid expenses and other current assets</w:t>
            </w: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7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9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Capitalized software development, net</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Customer-related intangibles, net</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7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9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9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assets of discontinued operations in the consolidated balance sheet</w:t>
            </w:r>
          </w:p>
        </w:tc>
        <w:tc>
          <w:tcPr>
            <w:tcW w:w="7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9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6"/>
                <w:szCs w:val="16"/>
                <w:color w:val="auto"/>
              </w:rPr>
              <w:t>Carrying amounts of liabilities included as part of discontinued operations:</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7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6"/>
                <w:szCs w:val="16"/>
                <w:color w:val="auto"/>
              </w:rPr>
              <w:t>Accrued royalties</w:t>
            </w: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7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9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7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of discontinued operations in the consolidated balance sheet</w:t>
            </w:r>
          </w:p>
        </w:tc>
        <w:tc>
          <w:tcPr>
            <w:tcW w:w="76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59" w:name="page60"/>
    <w:bookmarkEnd w:id="5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BUSINESS SEGMENTS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provides services to healthcare organizations and other members within the healthcare industry. The Company’s services are focused on the delivery of workforce development products and services (HealthStream Workforce Solutions) and provider credentialing, privileging, call center, and enrollment products and services (HealthStream Provider Solutions).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years ended December 31, 2018, 2017, and 2016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Revenues, net:</w:t>
            </w:r>
          </w:p>
        </w:tc>
        <w:tc>
          <w:tcPr>
            <w:tcW w:w="27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r>
      <w:tr>
        <w:trPr>
          <w:trHeight w:val="210"/>
        </w:trPr>
        <w:tc>
          <w:tcPr>
            <w:tcW w:w="4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27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190,139</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178,061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168,040</w:t>
            </w:r>
          </w:p>
        </w:tc>
        <w:tc>
          <w:tcPr>
            <w:tcW w:w="120" w:type="dxa"/>
            <w:vAlign w:val="bottom"/>
            <w:shd w:val="clear" w:color="auto" w:fill="CFF0FC"/>
          </w:tcPr>
          <w:p>
            <w:pPr>
              <w:spacing w:after="0"/>
              <w:rPr>
                <w:sz w:val="18"/>
                <w:szCs w:val="18"/>
                <w:color w:val="auto"/>
              </w:rPr>
            </w:pPr>
          </w:p>
        </w:tc>
      </w:tr>
      <w:tr>
        <w:trPr>
          <w:trHeight w:val="213"/>
        </w:trPr>
        <w:tc>
          <w:tcPr>
            <w:tcW w:w="4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27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41,477</w:t>
            </w:r>
          </w:p>
        </w:tc>
        <w:tc>
          <w:tcPr>
            <w:tcW w:w="2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36,838</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24,084</w:t>
            </w:r>
          </w:p>
        </w:tc>
        <w:tc>
          <w:tcPr>
            <w:tcW w:w="120" w:type="dxa"/>
            <w:vAlign w:val="bottom"/>
            <w:tcBorders>
              <w:bottom w:val="single" w:sz="8" w:color="CFF0FC"/>
            </w:tcBorders>
          </w:tcPr>
          <w:p>
            <w:pPr>
              <w:spacing w:after="0"/>
              <w:rPr>
                <w:sz w:val="18"/>
                <w:szCs w:val="18"/>
                <w:color w:val="auto"/>
              </w:rPr>
            </w:pPr>
          </w:p>
        </w:tc>
      </w:tr>
      <w:tr>
        <w:trPr>
          <w:trHeight w:val="21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revenues, net</w:t>
            </w:r>
          </w:p>
        </w:tc>
        <w:tc>
          <w:tcPr>
            <w:tcW w:w="27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231,616</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214,899</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192,124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3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24"/>
                <w:szCs w:val="24"/>
                <w:color w:val="auto"/>
              </w:rPr>
            </w:pPr>
          </w:p>
        </w:tc>
        <w:tc>
          <w:tcPr>
            <w:tcW w:w="8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4"/>
                <w:szCs w:val="24"/>
                <w:color w:val="auto"/>
              </w:rPr>
            </w:pPr>
          </w:p>
        </w:tc>
      </w:tr>
      <w:tr>
        <w:trPr>
          <w:trHeight w:val="207"/>
        </w:trPr>
        <w:tc>
          <w:tcPr>
            <w:tcW w:w="4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274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38,834</w:t>
            </w:r>
          </w:p>
        </w:tc>
        <w:tc>
          <w:tcPr>
            <w:tcW w:w="280" w:type="dxa"/>
            <w:vAlign w:val="bottom"/>
          </w:tcPr>
          <w:p>
            <w:pPr>
              <w:spacing w:after="0"/>
              <w:rPr>
                <w:sz w:val="17"/>
                <w:szCs w:val="17"/>
                <w:color w:val="auto"/>
              </w:rPr>
            </w:pPr>
          </w:p>
        </w:tc>
        <w:tc>
          <w:tcPr>
            <w:tcW w:w="5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33,579</w:t>
            </w:r>
          </w:p>
        </w:tc>
        <w:tc>
          <w:tcPr>
            <w:tcW w:w="2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37,329</w:t>
            </w:r>
          </w:p>
        </w:tc>
        <w:tc>
          <w:tcPr>
            <w:tcW w:w="120" w:type="dxa"/>
            <w:vAlign w:val="bottom"/>
          </w:tcPr>
          <w:p>
            <w:pPr>
              <w:spacing w:after="0"/>
              <w:rPr>
                <w:sz w:val="17"/>
                <w:szCs w:val="17"/>
                <w:color w:val="auto"/>
              </w:rPr>
            </w:pPr>
          </w:p>
        </w:tc>
      </w:tr>
      <w:tr>
        <w:trPr>
          <w:trHeight w:val="219"/>
        </w:trPr>
        <w:tc>
          <w:tcPr>
            <w:tcW w:w="4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2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(2,443)</w:t>
            </w:r>
          </w:p>
        </w:tc>
      </w:tr>
      <w:tr>
        <w:trPr>
          <w:trHeight w:val="213"/>
        </w:trPr>
        <w:tc>
          <w:tcPr>
            <w:tcW w:w="4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Unallocated</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(26,817)</w:t>
            </w:r>
          </w:p>
        </w:tc>
        <w:tc>
          <w:tcPr>
            <w:tcW w:w="5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(25,051)</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(27,715)</w:t>
            </w:r>
          </w:p>
        </w:tc>
      </w:tr>
      <w:tr>
        <w:trPr>
          <w:trHeight w:val="210"/>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income</w:t>
            </w:r>
          </w:p>
        </w:tc>
        <w:tc>
          <w:tcPr>
            <w:tcW w:w="27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15,491</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32"/>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assets *</w:t>
            </w: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3"/>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Pr>
          <w:p>
            <w:pPr>
              <w:spacing w:after="0"/>
              <w:rPr>
                <w:sz w:val="24"/>
                <w:szCs w:val="24"/>
                <w:color w:val="auto"/>
              </w:rPr>
            </w:pPr>
          </w:p>
        </w:tc>
        <w:tc>
          <w:tcPr>
            <w:tcW w:w="18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10"/>
        </w:trPr>
        <w:tc>
          <w:tcPr>
            <w:tcW w:w="45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Workforce Solutions</w:t>
            </w:r>
          </w:p>
        </w:tc>
        <w:tc>
          <w:tcPr>
            <w:tcW w:w="27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104,668</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90,055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Provider Solutions</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150,797</w:t>
            </w:r>
          </w:p>
        </w:tc>
        <w:tc>
          <w:tcPr>
            <w:tcW w:w="120" w:type="dxa"/>
            <w:vAlign w:val="bottom"/>
          </w:tcPr>
          <w:p>
            <w:pPr>
              <w:spacing w:after="0"/>
              <w:rPr>
                <w:sz w:val="18"/>
                <w:szCs w:val="18"/>
                <w:color w:val="auto"/>
              </w:rPr>
            </w:pPr>
          </w:p>
        </w:tc>
      </w:tr>
      <w:tr>
        <w:trPr>
          <w:trHeight w:val="219"/>
        </w:trPr>
        <w:tc>
          <w:tcPr>
            <w:tcW w:w="4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34,198</w:t>
            </w:r>
          </w:p>
        </w:tc>
        <w:tc>
          <w:tcPr>
            <w:tcW w:w="120" w:type="dxa"/>
            <w:vAlign w:val="bottom"/>
            <w:shd w:val="clear" w:color="auto" w:fill="CFF0FC"/>
          </w:tcPr>
          <w:p>
            <w:pPr>
              <w:spacing w:after="0"/>
              <w:rPr>
                <w:sz w:val="19"/>
                <w:szCs w:val="19"/>
                <w:color w:val="auto"/>
              </w:rPr>
            </w:pPr>
          </w:p>
        </w:tc>
      </w:tr>
      <w:tr>
        <w:trPr>
          <w:trHeight w:val="213"/>
        </w:trPr>
        <w:tc>
          <w:tcPr>
            <w:tcW w:w="4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Unallocated</w:t>
            </w:r>
          </w:p>
        </w:tc>
        <w:tc>
          <w:tcPr>
            <w:tcW w:w="274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191,643</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136,069</w:t>
            </w:r>
          </w:p>
        </w:tc>
        <w:tc>
          <w:tcPr>
            <w:tcW w:w="120" w:type="dxa"/>
            <w:vAlign w:val="bottom"/>
            <w:tcBorders>
              <w:bottom w:val="single" w:sz="8" w:color="CFF0FC"/>
            </w:tcBorders>
          </w:tcPr>
          <w:p>
            <w:pPr>
              <w:spacing w:after="0"/>
              <w:rPr>
                <w:sz w:val="18"/>
                <w:szCs w:val="18"/>
                <w:color w:val="auto"/>
              </w:rPr>
            </w:pPr>
          </w:p>
        </w:tc>
      </w:tr>
      <w:tr>
        <w:trPr>
          <w:trHeight w:val="210"/>
        </w:trPr>
        <w:tc>
          <w:tcPr>
            <w:tcW w:w="45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27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441,948</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411,119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8"/>
        <w:spacing w:after="0" w:line="232" w:lineRule="auto"/>
        <w:tabs>
          <w:tab w:leader="none" w:pos="11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assets include accounts and unbilled receivables, prepaid royalties, prepaid and other current assets, other assets, capitalized software development, deferred commissions,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60" w:name="page61"/>
    <w:bookmarkEnd w:id="6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(benefit) for income taxes is comprised of the following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640" w:type="dxa"/>
            <w:vAlign w:val="bottom"/>
          </w:tcPr>
          <w:p>
            <w:pPr>
              <w:spacing w:after="0"/>
              <w:rPr>
                <w:sz w:val="15"/>
                <w:szCs w:val="15"/>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r>
      <w:tr>
        <w:trPr>
          <w:trHeight w:val="210"/>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federal</w:t>
            </w:r>
          </w:p>
        </w:tc>
        <w:tc>
          <w:tcPr>
            <w:tcW w:w="26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Current state</w:t>
            </w:r>
          </w:p>
        </w:tc>
        <w:tc>
          <w:tcPr>
            <w:tcW w:w="2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8"/>
                <w:szCs w:val="18"/>
                <w:color w:val="auto"/>
              </w:rPr>
            </w:pPr>
          </w:p>
        </w:tc>
      </w:tr>
      <w:tr>
        <w:trPr>
          <w:trHeight w:val="222"/>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federal</w:t>
            </w:r>
          </w:p>
        </w:tc>
        <w:tc>
          <w:tcPr>
            <w:tcW w:w="26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(1,464)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20" w:type="dxa"/>
            <w:vAlign w:val="bottom"/>
            <w:shd w:val="clear" w:color="auto" w:fill="CFF0FC"/>
          </w:tcPr>
          <w:p>
            <w:pPr>
              <w:spacing w:after="0"/>
              <w:rPr>
                <w:sz w:val="19"/>
                <w:szCs w:val="19"/>
                <w:color w:val="auto"/>
              </w:rPr>
            </w:pPr>
          </w:p>
        </w:tc>
      </w:tr>
      <w:tr>
        <w:trPr>
          <w:trHeight w:val="213"/>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Deferred state</w:t>
            </w:r>
          </w:p>
        </w:tc>
        <w:tc>
          <w:tcPr>
            <w:tcW w:w="26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Borders>
              <w:bottom w:val="single" w:sz="8" w:color="CFF0FC"/>
            </w:tcBorders>
          </w:tcPr>
          <w:p>
            <w:pPr>
              <w:spacing w:after="0"/>
              <w:rPr>
                <w:sz w:val="18"/>
                <w:szCs w:val="18"/>
                <w:color w:val="auto"/>
              </w:rPr>
            </w:pPr>
          </w:p>
        </w:tc>
      </w:tr>
      <w:tr>
        <w:trPr>
          <w:trHeight w:val="210"/>
        </w:trPr>
        <w:tc>
          <w:tcPr>
            <w:tcW w:w="46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 reconciliation of income taxes at the statutory federal income tax rate to the provision for income taxes included in the accompanying consolidated statements of income is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734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tax provision at the statutory rate</w:t>
            </w: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20" w:type="dxa"/>
            <w:vAlign w:val="bottom"/>
            <w:shd w:val="clear" w:color="auto" w:fill="CFF0FC"/>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State income tax provision, net of federal benefit</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Pr>
          <w:p>
            <w:pPr>
              <w:spacing w:after="0"/>
              <w:rPr>
                <w:sz w:val="18"/>
                <w:szCs w:val="18"/>
                <w:color w:val="auto"/>
              </w:rPr>
            </w:pPr>
          </w:p>
        </w:tc>
      </w:tr>
      <w:tr>
        <w:trPr>
          <w:trHeight w:val="222"/>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credits</w:t>
            </w: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(583)</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(560)</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Change in state valuation allowance</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r>
      <w:tr>
        <w:trPr>
          <w:trHeight w:val="222"/>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Act revaluation of deferred tax balances</w:t>
            </w: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(1,680)</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740" w:type="dxa"/>
            <w:vAlign w:val="bottom"/>
          </w:tcPr>
          <w:p>
            <w:pPr>
              <w:spacing w:after="0"/>
              <w:rPr>
                <w:sz w:val="18"/>
                <w:szCs w:val="18"/>
                <w:color w:val="auto"/>
              </w:rPr>
            </w:pPr>
          </w:p>
        </w:tc>
        <w:tc>
          <w:tcPr>
            <w:tcW w:w="56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(626)</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r>
      <w:tr>
        <w:trPr>
          <w:trHeight w:val="222"/>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w:t>
            </w:r>
          </w:p>
        </w:tc>
      </w:tr>
      <w:tr>
        <w:trPr>
          <w:trHeight w:val="207"/>
        </w:trPr>
        <w:tc>
          <w:tcPr>
            <w:tcW w:w="7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74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20" w:type="dxa"/>
            <w:vAlign w:val="bottom"/>
          </w:tcPr>
          <w:p>
            <w:pPr>
              <w:spacing w:after="0"/>
              <w:rPr>
                <w:sz w:val="17"/>
                <w:szCs w:val="17"/>
                <w:color w:val="auto"/>
              </w:rPr>
            </w:pPr>
          </w:p>
        </w:tc>
      </w:tr>
      <w:tr>
        <w:trPr>
          <w:trHeight w:val="20"/>
        </w:trPr>
        <w:tc>
          <w:tcPr>
            <w:tcW w:w="7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Management periodically assesses the realizability of its deferred tax assets, and to the extent that a recovery is not likely, a valuation allowance is established to reduce the deferred tax asset to the amount estimated to be recoverable. At December 31, 2018, a valuation allowance of $311,000 exists.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December 31, 2018, the Company had state net operating loss carryforwards of $4.8 million. These loss carryforwards will expire in years 2030 through 2038. The Company is subject to income taxation at the federal and various state levels. The Company is subject to U.S. federal tax examinations for tax years 2015 through 2018. Loss carryforwards and credit carryforwards generated or utilized in years earlier than 2015 are also subject to examination and adjustment. The Company has completed examinations with the Internal Revenue Service for tax years 2013 and 2014.</w:t>
      </w:r>
    </w:p>
    <w:p>
      <w:pPr>
        <w:spacing w:after="0" w:line="1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On December 22, 2017, the President signed into law the Tax Cuts and Jobs Act (the Tax Act), reducing the U.S. corporate income tax rate to 21% effective January 1, 2018. Under ASC 740, the effects of new legislation are recognized in the period that includes the date of enactment.</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Subsequent to the enactment of the Tax Act, the SEC staff issued Staff Accounting Bulletin No. 118, Income Tax Accounting Implications of the Tax Cuts and Jobs Act (SAB 118), which allows companies to record provisional amounts related to the effects of the Tax Act to the extent that a company’s accounting for certain income tax effects of the Tax Act is incomplete but the company is able to determine a reasonable estimate during a measurement period not to extend beyond one year from the enactment date. The Company previously made provisional estimates for the impact of the Tax Act as of and for the year ended December 31, 2017 related to the remeasurement of our deferred tax liability. The impact was to remeasure our deferred tax liability by $1.7 million as of December 31, 2017, which has been reflected in our effect tax rate reconciliation. As of December 31, 2018, we have completed our accounting and measurement analyses related to the income tax effects of the Tax Act, and no significant adjustments to the provisional amounts were recorded during the year ended December 31,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61" w:name="page62"/>
    <w:bookmarkEnd w:id="6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beginning and ending liability for gross unrecognized tax benefits at December 31, 2018 and 2017 are as follows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6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8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660" w:type="dxa"/>
            <w:vAlign w:val="bottom"/>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7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Additions for tax positions in the current year</w:t>
            </w: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27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27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recognized a nominal amount for interest and penalties related to unrecognized tax benefits within the provision for income taxes during the years ended December 31, 2018 and 2017. Unrecognized tax benefits included tax positions of approximately $339,000 and $337,000 at December 31, 2018 and 2017, respectively, that if recognized would impact the Company’s effective tax rate. The reduction for tax positions of prior years reflected in the table above as of December 31, 2018 relates to an item considered to be effectively settled due to lapse of the statute of limitations.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3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8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3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5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36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3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Accrued liabilities</w:t>
            </w:r>
          </w:p>
        </w:tc>
        <w:tc>
          <w:tcPr>
            <w:tcW w:w="2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Tax credits</w:t>
            </w: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revenue</w:t>
            </w: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Depreciation</w:t>
            </w:r>
          </w:p>
        </w:tc>
        <w:tc>
          <w:tcPr>
            <w:tcW w:w="2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Basis difference on investments</w:t>
            </w: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25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3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Less: Valuation allowance</w:t>
            </w:r>
          </w:p>
        </w:tc>
        <w:tc>
          <w:tcPr>
            <w:tcW w:w="2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(311)</w:t>
            </w: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assets, net of valuation allowance</w:t>
            </w:r>
          </w:p>
        </w:tc>
        <w:tc>
          <w:tcPr>
            <w:tcW w:w="25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Deductible goodwill</w:t>
            </w: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Nondeductible intangible assets</w:t>
            </w:r>
          </w:p>
        </w:tc>
        <w:tc>
          <w:tcPr>
            <w:tcW w:w="2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assets</w:t>
            </w: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Capitalized software development</w:t>
            </w:r>
          </w:p>
        </w:tc>
        <w:tc>
          <w:tcPr>
            <w:tcW w:w="2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4,746</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PX sale deferral</w:t>
            </w:r>
          </w:p>
        </w:tc>
        <w:tc>
          <w:tcPr>
            <w:tcW w:w="2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5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14,630</w:t>
            </w: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25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liabilities (assets)</w:t>
            </w:r>
          </w:p>
        </w:tc>
        <w:tc>
          <w:tcPr>
            <w:tcW w:w="336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3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realized approximately $540,000 of excess tax benefits related to stock based awards during the year ended December 31, 2018, which was reflected in the statement of income as a component of the provision for income taxes.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62" w:name="page63"/>
    <w:bookmarkEnd w:id="6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STOCK 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 Incentive Plans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has outstanding equity-based awards under its 2016 Omnibus Incentive Plan (2016 Plan) and 2010 Stock Incentive Plan (2010 Plan) (collectively, the 2016 Plan and the 2010 Plan, referred to as the Plans). In addition, the 2016 Plan authorizes the grant of options, restricted share units (RSUs), or other forms of stock based compensation to employees, officers, directors, and others, and such grants must be approved by the Compensation Committee of the Board of Directors. Options which have been granted under the Plans have terms of no more than ten years, with certain restrictions. The 2016 Plan allows the Compensation Committee of the Board of Directors to determine the vesting period and parameters of each grant. The vesting period of the options and RSUs granted has historically ranged from immediate vesting to annual vesting up to four years, generally beginning one year after the grant date. As of December 31, 2018, approximately 1.1 million shares of unissued common stock remained reserved for future stock incentive grants under the 2016 Plan. The Company issues new shares of common stock when options are exercised or when RSUs become vested.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 Option Activity</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 summary of activity and various other information relative to stock options for the year ended December 31, 2018 is presented in the tables below (in thousands, except exercise price).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12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3"/>
        </w:trPr>
        <w:tc>
          <w:tcPr>
            <w:tcW w:w="7120" w:type="dxa"/>
            <w:vAlign w:val="bottom"/>
          </w:tcPr>
          <w:p>
            <w:pPr>
              <w:spacing w:after="0"/>
              <w:rPr>
                <w:sz w:val="15"/>
                <w:szCs w:val="15"/>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10"/>
        </w:trPr>
        <w:tc>
          <w:tcPr>
            <w:tcW w:w="7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beginning of period</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(357)</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Expired</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7"/>
        </w:trPr>
        <w:tc>
          <w:tcPr>
            <w:tcW w:w="7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Outstanding at end of period</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FF0FC"/>
            </w:tcBorders>
          </w:tcPr>
          <w:p>
            <w:pPr>
              <w:spacing w:after="0"/>
              <w:rPr>
                <w:sz w:val="21"/>
                <w:szCs w:val="21"/>
                <w:color w:val="auto"/>
              </w:rPr>
            </w:pPr>
          </w:p>
        </w:tc>
      </w:tr>
      <w:tr>
        <w:trPr>
          <w:trHeight w:val="197"/>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at end of period</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aggregate intrinsic value for stock options in the table above represents the total difference between the Company’s closing stock price on December 31, 2018 (the last trading day of the year) of $24.15 per share and the option exercise price, multiplied by the number of in-the-money options as of December 31, 2018. The weighted average remaining contractual term of options outstanding at December 31, 2018 was 0.3 years. Options exercisable at December 31, 2018 have a weighted average remaining contractual term of 0.3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information relative to option activity during the three years ended December 31, 2018 is as follows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Borders>
              <w:bottom w:val="single" w:sz="8" w:color="CFF0FC"/>
            </w:tcBorders>
          </w:tcPr>
          <w:p>
            <w:pPr>
              <w:spacing w:after="0"/>
              <w:rPr>
                <w:sz w:val="15"/>
                <w:szCs w:val="15"/>
                <w:color w:val="auto"/>
              </w:rPr>
            </w:pPr>
          </w:p>
        </w:tc>
        <w:tc>
          <w:tcPr>
            <w:tcW w:w="20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grant date fair value of stock options vested</w:t>
            </w:r>
          </w:p>
        </w:tc>
        <w:tc>
          <w:tcPr>
            <w:tcW w:w="20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intrinsic value of stock options exercised</w:t>
            </w:r>
          </w:p>
        </w:tc>
        <w:tc>
          <w:tcPr>
            <w:tcW w:w="2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FF0FC"/>
            </w:tcBorders>
            <w:vMerge w:val="continue"/>
          </w:tcPr>
          <w:p>
            <w:pPr>
              <w:spacing w:after="0"/>
              <w:rPr>
                <w:sz w:val="20"/>
                <w:szCs w:val="20"/>
                <w:color w:val="auto"/>
              </w:rPr>
            </w:pPr>
          </w:p>
        </w:tc>
        <w:tc>
          <w:tcPr>
            <w:tcW w:w="204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28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28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proceeds from exercise of stock options</w:t>
            </w:r>
          </w:p>
        </w:tc>
        <w:tc>
          <w:tcPr>
            <w:tcW w:w="20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63" w:name="page64"/>
    <w:bookmarkEnd w:id="6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Restricted Share Unit Activity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activity relative to RSUs for the year ended December 31, 2018 is as follows (in thousands, except weighted average grant date fair value):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13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140" w:type="dxa"/>
            <w:vAlign w:val="bottom"/>
          </w:tcPr>
          <w:p>
            <w:pPr>
              <w:spacing w:after="0"/>
              <w:rPr>
                <w:sz w:val="15"/>
                <w:szCs w:val="15"/>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beginning of period</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end of period</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aggregate fair value of RSUs that vested during the year ended December 31, 2018 and 2017, as of the respective vesting dates, was approximately $1.8 million and $1.9 million, respectively. A portion of RSUs that vested in 2018 and 2017 were net-share settled such that the Company withheld shares with value equivalent to the employees’ minimum statutory obligation for the applicable income and other employment taxes, and remitted the cash to the appropriate taxing authorities. The total shares withheld for RSUs during 2018 and 2017 were 13,300 and 17,122, respectively, and were based on the value of the RSUs on their respective settlement dates as determined by the Company’s closing stock price. Total payments related to RSUs for the employees’ tax obligations to taxing authorities were approximately $338,000 in 2018, $412,000 in 2017, and $316,000 in 2016, and are reflected as a financing activity within the consolidated statements of cash flows. These net-share settlements had the effect of share repurchases by the Company as they reduced and retired the number of shares that would have otherwise been issued as a result of the vesting and did not represent an expense to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 Based Compensation</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Total stock based compensation expense, which is recorded in our consolidated statements of income, recorded for the years ended December 31, is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58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r>
      <w:tr>
        <w:trPr>
          <w:trHeight w:val="210"/>
        </w:trPr>
        <w:tc>
          <w:tcPr>
            <w:tcW w:w="5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 (excluding depreciation and amortization)</w:t>
            </w:r>
          </w:p>
        </w:tc>
        <w:tc>
          <w:tcPr>
            <w:tcW w:w="17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Product development</w:t>
            </w: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r>
      <w:tr>
        <w:trPr>
          <w:trHeight w:val="222"/>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FF0FC"/>
          </w:tcPr>
          <w:p>
            <w:pPr>
              <w:spacing w:after="0"/>
              <w:rPr>
                <w:sz w:val="19"/>
                <w:szCs w:val="19"/>
                <w:color w:val="auto"/>
              </w:rPr>
            </w:pPr>
          </w:p>
        </w:tc>
      </w:tr>
      <w:tr>
        <w:trPr>
          <w:trHeight w:val="213"/>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general and administrative</w:t>
            </w:r>
          </w:p>
        </w:tc>
        <w:tc>
          <w:tcPr>
            <w:tcW w:w="17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Borders>
              <w:bottom w:val="single" w:sz="8" w:color="CFF0FC"/>
            </w:tcBorders>
          </w:tcPr>
          <w:p>
            <w:pPr>
              <w:spacing w:after="0"/>
              <w:rPr>
                <w:sz w:val="18"/>
                <w:szCs w:val="18"/>
                <w:color w:val="auto"/>
              </w:rPr>
            </w:pPr>
          </w:p>
        </w:tc>
      </w:tr>
      <w:tr>
        <w:trPr>
          <w:trHeight w:val="210"/>
        </w:trPr>
        <w:tc>
          <w:tcPr>
            <w:tcW w:w="55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stock based compensation expense</w:t>
            </w:r>
          </w:p>
        </w:tc>
        <w:tc>
          <w:tcPr>
            <w:tcW w:w="17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amortizes the fair value of all stock based awards, net of estimated forfeitures, on a straight-line basis over the requisite service period, which generally is the vesting period. As of December 31, 2018, total unrecognized compensation expense related to non-vested stock options and RSUs was approximately $3.2 million, net of estimated forfeitures, with a weighted average expense recognition period remaining of 2.2 years. The Company realized approximately $540,000 of excess tax benefits related to stock based awards during the year ended December 31, 2018, which was reflected in the statement of income as a component of the provision for income taxes.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Stock based compensation cost for RSUs is measured based on the closing fair market value of the Company’s stock on the date of grant. Stock based compensation cost for stock options is estimated at the grant date based on the fair value calculated using the Black-Scholes method. The Company did not grant any stock options during the years ended December 31, 2018, 2017, or 2016.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64" w:name="page65"/>
    <w:bookmarkEnd w:id="6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EMPLOYEE BENEFIT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401(k) Plan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subject to IRS limitations. The Company elected to provide eligible employees with matching contributions totaling approximately $1.3 million, $764,000, and $311,000 for the years ended December 31, 2018, 2017, and 2016,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2018 and 2017, the Company had no debt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Revolving Credit Facility</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entered into a Second Amendment to Revolving Credit Agreement (Revolving Credit Facility), amending the Revolving Credit Facility, dated as of December 31, 2018 with SunTrust Bank (SunTrust), extending the maturity date to November 24, 2020.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2020,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9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the Revolving Credit Facility requires the Company to meet certain financial tests, including, without limitation:</w:t>
      </w:r>
    </w:p>
    <w:p>
      <w:pPr>
        <w:spacing w:after="0" w:line="223" w:lineRule="exact"/>
        <w:rPr>
          <w:sz w:val="20"/>
          <w:szCs w:val="20"/>
          <w:color w:val="auto"/>
        </w:rPr>
      </w:pPr>
    </w:p>
    <w:p>
      <w:pPr>
        <w:ind w:left="1120" w:hanging="558"/>
        <w:spacing w:after="0"/>
        <w:tabs>
          <w:tab w:leader="none" w:pos="11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funded debt leverage ratio (consolidated debt/consolidated EBITDA) of not greater than 3.0 to 1.0; and</w:t>
      </w:r>
    </w:p>
    <w:p>
      <w:pPr>
        <w:spacing w:after="0" w:line="115" w:lineRule="exact"/>
        <w:rPr>
          <w:rFonts w:ascii="Times New Roman" w:cs="Times New Roman" w:eastAsia="Times New Roman" w:hAnsi="Times New Roman"/>
          <w:sz w:val="17"/>
          <w:szCs w:val="17"/>
          <w:color w:val="auto"/>
        </w:rPr>
      </w:pPr>
    </w:p>
    <w:p>
      <w:pPr>
        <w:ind w:left="1120" w:hanging="558"/>
        <w:spacing w:after="0"/>
        <w:tabs>
          <w:tab w:leader="none" w:pos="11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interest coverage ratio (consolidated EBITDA/consolidated interest expense) of not less than 3.0 to 1.0.</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As of December 31, 2018, the Company was in compliance with all covenants. There were no balances outstanding on the Revolving Credit Facility as of December 31, 2018 and there were no borrowings under the Revolving Credit Facility during the year ended December 31, 2018.</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65" w:name="page66"/>
    <w:bookmarkEnd w:id="6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has non-cancellable operating leases primarily for office space and hosting facilities. Some lease agreements contain provisions for escalating rent payments over the initial terms of the lease. The Company accounts for these leases by recognizing rent expense on a straight-line basis and adjusting the deferred rent expense liability for the difference between the straight-line rent expense and the amount of rent paid. The terms of the lease agreements generally provide the Company the option to renew. Total rent expense under all operating leases was approximately $7.4 million, $6.6 million, and $4.1 million for the years ended December 31, 2018, 2017, and 2016, respectively.</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Future rental payment commitments at December 31, 2018 under non-cancelable operating leases, with initial terms of one year or more, are as follows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2019</w:t>
            </w:r>
          </w:p>
        </w:tc>
        <w:tc>
          <w:tcPr>
            <w:tcW w:w="4460" w:type="dxa"/>
            <w:vAlign w:val="bottom"/>
            <w:gridSpan w:val="2"/>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shd w:val="clear" w:color="auto" w:fill="CFF0FC"/>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3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100" w:type="dxa"/>
            <w:vAlign w:val="bottom"/>
          </w:tcPr>
          <w:p>
            <w:pPr>
              <w:spacing w:after="0"/>
              <w:rPr>
                <w:sz w:val="18"/>
                <w:szCs w:val="18"/>
                <w:color w:val="auto"/>
              </w:rPr>
            </w:pPr>
          </w:p>
        </w:tc>
      </w:tr>
      <w:tr>
        <w:trPr>
          <w:trHeight w:val="222"/>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3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100" w:type="dxa"/>
            <w:vAlign w:val="bottom"/>
            <w:shd w:val="clear" w:color="auto" w:fill="CFF0FC"/>
          </w:tcPr>
          <w:p>
            <w:pPr>
              <w:spacing w:after="0"/>
              <w:rPr>
                <w:sz w:val="19"/>
                <w:szCs w:val="19"/>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3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00" w:type="dxa"/>
            <w:vAlign w:val="bottom"/>
          </w:tcPr>
          <w:p>
            <w:pPr>
              <w:spacing w:after="0"/>
              <w:rPr>
                <w:sz w:val="18"/>
                <w:szCs w:val="18"/>
                <w:color w:val="auto"/>
              </w:rPr>
            </w:pPr>
          </w:p>
        </w:tc>
      </w:tr>
      <w:tr>
        <w:trPr>
          <w:trHeight w:val="222"/>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3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00" w:type="dxa"/>
            <w:vAlign w:val="bottom"/>
            <w:shd w:val="clear" w:color="auto" w:fill="CFF0FC"/>
          </w:tcPr>
          <w:p>
            <w:pPr>
              <w:spacing w:after="0"/>
              <w:rPr>
                <w:sz w:val="19"/>
                <w:szCs w:val="19"/>
                <w:color w:val="auto"/>
              </w:rPr>
            </w:pPr>
          </w:p>
        </w:tc>
      </w:tr>
      <w:tr>
        <w:trPr>
          <w:trHeight w:val="213"/>
        </w:trPr>
        <w:tc>
          <w:tcPr>
            <w:tcW w:w="5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38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26,085</w:t>
            </w:r>
          </w:p>
        </w:tc>
        <w:tc>
          <w:tcPr>
            <w:tcW w:w="100" w:type="dxa"/>
            <w:vAlign w:val="bottom"/>
            <w:tcBorders>
              <w:bottom w:val="single" w:sz="8" w:color="CFF0FC"/>
            </w:tcBorders>
          </w:tcPr>
          <w:p>
            <w:pPr>
              <w:spacing w:after="0"/>
              <w:rPr>
                <w:sz w:val="18"/>
                <w:szCs w:val="18"/>
                <w:color w:val="auto"/>
              </w:rPr>
            </w:pPr>
          </w:p>
        </w:tc>
      </w:tr>
      <w:tr>
        <w:trPr>
          <w:trHeight w:val="210"/>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38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COLLABORATIVE ARRANGEMENT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participated in a collaborative arrangement, SimVentures</w:t>
      </w:r>
      <w:r>
        <w:rPr>
          <w:rFonts w:ascii="Times New Roman" w:cs="Times New Roman" w:eastAsia="Times New Roman" w:hAnsi="Times New Roman"/>
          <w:sz w:val="14"/>
          <w:szCs w:val="14"/>
          <w:color w:val="auto"/>
        </w:rPr>
        <w:t>TM</w:t>
      </w:r>
      <w:r>
        <w:rPr>
          <w:rFonts w:ascii="Times New Roman" w:cs="Times New Roman" w:eastAsia="Times New Roman" w:hAnsi="Times New Roman"/>
          <w:sz w:val="17"/>
          <w:szCs w:val="17"/>
          <w:color w:val="auto"/>
        </w:rPr>
        <w:t>, with Laerdal Medical A/S (Laerdal Medical), which ended effective March 1, 2018. Prior to the termination of this collaborative arrangement, the Company received 50 percent of the profits or losses generated from the collaborative arrangement. For the year ended December 31, 2018, the Company recorded $391,000 of revenues and $187,000 of expenses related to the collaborative arrangement. For the year ended December 31, 2017, the Company recorded $2.2 million of revenues and $1.2 million of expenses related to the collaborative arrangement. For the year ended December 31, 2016, the Company recorded $2.7 million of revenues and $1.4 million of expenses related to the collaborative arrangement.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LITIGATION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connection with its business, the Company is from time to time involved in various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NON-MARKETABLE EQUITY INVESTMENTS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Non-marketable equity investments are accounted for using the equity method when the Company can exercise significant influence over the investee. Non-marketable equity investments where the Company is not able to exercise significant influence over the investee are accounted for under the cost method. ASU 2016-01, </w:t>
      </w:r>
      <w:r>
        <w:rPr>
          <w:rFonts w:ascii="Times New Roman" w:cs="Times New Roman" w:eastAsia="Times New Roman" w:hAnsi="Times New Roman"/>
          <w:sz w:val="17"/>
          <w:szCs w:val="17"/>
          <w:i w:val="1"/>
          <w:iCs w:val="1"/>
          <w:color w:val="auto"/>
        </w:rPr>
        <w:t>Financial Instruments – Overall (Subtopic 825-10)</w:t>
      </w:r>
      <w:r>
        <w:rPr>
          <w:rFonts w:ascii="Times New Roman" w:cs="Times New Roman" w:eastAsia="Times New Roman" w:hAnsi="Times New Roman"/>
          <w:sz w:val="17"/>
          <w:szCs w:val="17"/>
          <w:color w:val="auto"/>
        </w:rPr>
        <w:t>, became effective for the Company as of January 1, 2018 and requires equity investments (except those accounted for under the equity method of accounting or those that result in consolidation of the investee) to be measured at fair value with changes in fair value recognized in net income. For the year ended December 31, 2018, the Company recorded a $1.3 million reduction to the carrying value of a cost method investment due to a change in fair value, based on observable prices from an orderly transaction for a similar investment made in this investee. The fair value adjustment is included in “Other (loss) income, net” in the accompanying consolidated statements of income. The aggregate carrying amount of all cost method investments was $2.1 million and $2.5 million as of December 31, 2018 and December 31, 2017, respectively, which carrying value the Company evaluates for impairment at each reporting period. The fair value of a cost method investment is not estimated if there are no identified events or changes in circumstances that may have a significant adverse effect on the fair value of the investment.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66" w:name="page67"/>
    <w:bookmarkEnd w:id="6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January 10, 2019, the Company acquired the outstanding equity of Providigm, LLC, a Denver-based company focused on quality assurance and performance</w:t>
      </w:r>
    </w:p>
    <w:p>
      <w:pPr>
        <w:spacing w:after="0" w:line="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improvement in healthcare, primarily serving skilled nursing facilities, for $18.0 million in cash, subject to a post-closing working capital adjustment. In addition, up to an additional $500,000 in cash may be paid contingent upon the performance of Providigm during an 18-month period following closing. The acquisition will be accounted for using the acquisition method of business combination under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initial accounting for the business combination is incomplete due to the timing of the acquisition. Therefore, we are unable disclose certain information required by ASC 805. We will provide preliminary purchase price allocation information in our Quarterly Report on Form 10-Q for the quarter ending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67" w:name="page68"/>
    <w:bookmarkEnd w:id="6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2018.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Management assessed the effectiveness of the Company’s internal control over financial reporting as of December 31, 2018. In making this assessment, management used the criteria set forth by the Committee of Sponsoring Organizations of the Treadway Commission in Internal Control-Integrated Framework (2013 Framework). Management’s assessment included an evaluation of the design of our internal control over financial reporting and testing of the operational effectiveness of our internal control over financial reporting. Management believes that, as of December 31, 2018,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There were no changes in HealthStream’s internal control over financial reporting that occurred during the fourth quarter of 2018 that have materially affected, or that are reasonably likely to materially affect, HealthStream’s internal control over financial reporting.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68" w:name="page69"/>
    <w:bookmarkEnd w:id="68"/>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870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707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Information as to directors of the Company and corporate governance is incorporated by reference from the information to be contained in our proxy statement for the 2019 Annual Meeting of Shareholders (2019 Proxy Statement)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by reference from the information to be contained in the Company’s 2019 Proxy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by reference from the information to be contained in the Company’s 2019 Proxy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by reference from the information to be contained in the Company’s 2019 Proxy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Accounting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by reference from the information to be contained in the Company’s 2019 Proxy Statement.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69" w:name="page70"/>
    <w:bookmarkEnd w:id="6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Financial Statement Schedules</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(a)(1) Financial Statements</w:t>
      </w:r>
    </w:p>
    <w:p>
      <w:pPr>
        <w:spacing w:after="0" w:line="1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Reference is made to the financial statements included in Item 8 to this Report on Form 10-K.</w:t>
      </w:r>
    </w:p>
    <w:p>
      <w:pPr>
        <w:spacing w:after="0" w:line="1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(a)(2) Financial Statement Schedules</w:t>
      </w:r>
    </w:p>
    <w:p>
      <w:pPr>
        <w:spacing w:after="0" w:line="115" w:lineRule="exact"/>
        <w:rPr>
          <w:sz w:val="20"/>
          <w:szCs w:val="20"/>
          <w:color w:val="auto"/>
        </w:rPr>
      </w:pPr>
    </w:p>
    <w:p>
      <w:pPr>
        <w:ind w:left="860"/>
        <w:spacing w:after="0" w:line="281" w:lineRule="auto"/>
        <w:rPr>
          <w:sz w:val="20"/>
          <w:szCs w:val="20"/>
          <w:color w:val="auto"/>
        </w:rPr>
      </w:pPr>
      <w:r>
        <w:rPr>
          <w:rFonts w:ascii="Times New Roman" w:cs="Times New Roman" w:eastAsia="Times New Roman" w:hAnsi="Times New Roman"/>
          <w:sz w:val="17"/>
          <w:szCs w:val="17"/>
          <w:color w:val="auto"/>
        </w:rPr>
        <w:t>All schedules are omitted because they are not applicable or the required information is shown in the Consolidated Financial Statements or the notes thereto.</w:t>
      </w:r>
    </w:p>
    <w:p>
      <w:pPr>
        <w:spacing w:after="0" w:line="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(a)(3) Exhibits</w:t>
      </w:r>
    </w:p>
    <w:p>
      <w:pPr>
        <w:sectPr>
          <w:pgSz w:w="11900" w:h="16838" w:orient="portrait"/>
          <w:cols w:equalWidth="0" w:num="1">
            <w:col w:w="11420"/>
          </w:cols>
          <w:pgMar w:left="240" w:top="263" w:right="239" w:bottom="144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5"/>
          <w:szCs w:val="15"/>
          <w:color w:val="auto"/>
        </w:rPr>
        <w:t>(1)</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5"/>
          <w:szCs w:val="15"/>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5"/>
          <w:szCs w:val="15"/>
          <w:color w:val="auto"/>
        </w:rPr>
        <w:t>(16)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5"/>
          <w:szCs w:val="15"/>
          <w:color w:val="auto"/>
        </w:rPr>
        <w:t>(8)</w:t>
      </w:r>
      <w:r>
        <w:rPr>
          <w:rFonts w:ascii="Times New Roman" w:cs="Times New Roman" w:eastAsia="Times New Roman" w:hAnsi="Times New Roman"/>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5"/>
          <w:szCs w:val="15"/>
          <w:color w:val="auto"/>
        </w:rPr>
        <w:t>(6)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5"/>
          <w:szCs w:val="15"/>
          <w:color w:val="auto"/>
        </w:rPr>
        <w:t>(3)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5"/>
          <w:szCs w:val="15"/>
          <w:color w:val="auto"/>
        </w:rPr>
        <w:t>(4)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5"/>
          <w:szCs w:val="15"/>
          <w:color w:val="auto"/>
        </w:rPr>
        <w:t>(4)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5"/>
          <w:szCs w:val="15"/>
          <w:color w:val="auto"/>
        </w:rPr>
        <w:t>(4)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5"/>
          <w:szCs w:val="15"/>
          <w:color w:val="auto"/>
        </w:rPr>
        <w:t>(5)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5"/>
          <w:szCs w:val="15"/>
          <w:color w:val="auto"/>
        </w:rPr>
        <w:t>(5)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5"/>
          <w:szCs w:val="15"/>
          <w:color w:val="auto"/>
        </w:rPr>
        <w:t>(7)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5"/>
          <w:szCs w:val="15"/>
          <w:color w:val="auto"/>
        </w:rPr>
        <w:t>(10)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5"/>
          <w:szCs w:val="15"/>
          <w:color w:val="auto"/>
        </w:rPr>
        <w:t>(11)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5"/>
          <w:szCs w:val="15"/>
          <w:color w:val="auto"/>
        </w:rPr>
        <w:t>(12)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5"/>
          <w:szCs w:val="15"/>
          <w:color w:val="auto"/>
        </w:rPr>
        <w:t>(12)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5"/>
          <w:szCs w:val="15"/>
          <w:color w:val="auto"/>
        </w:rPr>
        <w:t>(13)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5"/>
          <w:szCs w:val="15"/>
          <w:color w:val="auto"/>
        </w:rPr>
        <w:t>(14)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5"/>
          <w:szCs w:val="15"/>
          <w:color w:val="auto"/>
        </w:rPr>
        <w:t>(15)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9" w:lineRule="exact"/>
        <w:rPr>
          <w:sz w:val="20"/>
          <w:szCs w:val="20"/>
          <w:color w:val="auto"/>
        </w:rPr>
      </w:pPr>
    </w:p>
    <w:p>
      <w:pPr>
        <w:spacing w:after="0" w:line="248" w:lineRule="auto"/>
        <w:rPr>
          <w:rFonts w:ascii="Times New Roman" w:cs="Times New Roman" w:eastAsia="Times New Roman" w:hAnsi="Times New Roman"/>
          <w:sz w:val="17"/>
          <w:szCs w:val="17"/>
          <w:u w:val="single" w:color="auto"/>
          <w:color w:val="0000EE"/>
        </w:rPr>
      </w:pPr>
      <w:hyperlink r:id="rId93">
        <w:r>
          <w:rPr>
            <w:rFonts w:ascii="Times New Roman" w:cs="Times New Roman" w:eastAsia="Times New Roman" w:hAnsi="Times New Roman"/>
            <w:sz w:val="17"/>
            <w:szCs w:val="17"/>
            <w:u w:val="single" w:color="auto"/>
            <w:color w:val="0000EE"/>
          </w:rPr>
          <w:t>Membership Interest Purchase Agreement, dated as of February 12, 2015, between HealthStream, Inc., Littrell Holdings, Inc., HealthLine</w:t>
        </w:r>
      </w:hyperlink>
      <w:r>
        <w:rPr>
          <w:rFonts w:ascii="Times New Roman" w:cs="Times New Roman" w:eastAsia="Times New Roman" w:hAnsi="Times New Roman"/>
          <w:sz w:val="17"/>
          <w:szCs w:val="17"/>
          <w:u w:val="single" w:color="auto"/>
          <w:color w:val="0000EE"/>
        </w:rPr>
        <w:t xml:space="preserve"> </w:t>
      </w:r>
      <w:hyperlink r:id="rId93">
        <w:r>
          <w:rPr>
            <w:rFonts w:ascii="Times New Roman" w:cs="Times New Roman" w:eastAsia="Times New Roman" w:hAnsi="Times New Roman"/>
            <w:sz w:val="17"/>
            <w:szCs w:val="17"/>
            <w:u w:val="single" w:color="auto"/>
            <w:color w:val="0000EE"/>
          </w:rPr>
          <w:t>Systems, Inc., the Shareholders of HealthLine Systems, Inc., and Dan Littrell in his individual capacity and as the Shareholders</w:t>
        </w:r>
      </w:hyperlink>
      <w:r>
        <w:rPr>
          <w:rFonts w:ascii="Times New Roman" w:cs="Times New Roman" w:eastAsia="Times New Roman" w:hAnsi="Times New Roman"/>
          <w:sz w:val="17"/>
          <w:szCs w:val="17"/>
          <w:u w:val="single" w:color="auto"/>
          <w:color w:val="0000EE"/>
        </w:rPr>
        <w:t xml:space="preserve"> </w:t>
      </w:r>
      <w:hyperlink r:id="rId93">
        <w:r>
          <w:rPr>
            <w:rFonts w:ascii="Times New Roman" w:cs="Times New Roman" w:eastAsia="Times New Roman" w:hAnsi="Times New Roman"/>
            <w:sz w:val="17"/>
            <w:szCs w:val="17"/>
            <w:u w:val="single" w:color="auto"/>
            <w:color w:val="0000EE"/>
          </w:rPr>
          <w:t>Representative.</w:t>
        </w:r>
      </w:hyperlink>
    </w:p>
    <w:p>
      <w:pPr>
        <w:spacing w:after="0" w:line="2" w:lineRule="exact"/>
        <w:rPr>
          <w:rFonts w:ascii="Times New Roman" w:cs="Times New Roman" w:eastAsia="Times New Roman" w:hAnsi="Times New Roman"/>
          <w:sz w:val="17"/>
          <w:szCs w:val="17"/>
          <w:u w:val="single" w:color="auto"/>
          <w:color w:val="0000EE"/>
        </w:rPr>
      </w:pPr>
    </w:p>
    <w:p>
      <w:pPr>
        <w:spacing w:after="0"/>
        <w:rPr>
          <w:rFonts w:ascii="Times New Roman" w:cs="Times New Roman" w:eastAsia="Times New Roman" w:hAnsi="Times New Roman"/>
          <w:sz w:val="17"/>
          <w:szCs w:val="17"/>
          <w:u w:val="single" w:color="auto"/>
          <w:color w:val="0000EE"/>
        </w:rPr>
      </w:pPr>
      <w:hyperlink r:id="rId94">
        <w:r>
          <w:rPr>
            <w:rFonts w:ascii="Times New Roman" w:cs="Times New Roman" w:eastAsia="Times New Roman" w:hAnsi="Times New Roman"/>
            <w:sz w:val="17"/>
            <w:szCs w:val="17"/>
            <w:u w:val="single" w:color="auto"/>
            <w:color w:val="0000EE"/>
          </w:rPr>
          <w:t>Stock Purchase Agreement, by and between Echo, Inc. and Morrisey Holdings, Inc., dated August 8, 2016.</w:t>
        </w:r>
      </w:hyperlink>
    </w:p>
    <w:p>
      <w:pPr>
        <w:spacing w:after="0" w:line="9" w:lineRule="exact"/>
        <w:rPr>
          <w:rFonts w:ascii="Times New Roman" w:cs="Times New Roman" w:eastAsia="Times New Roman" w:hAnsi="Times New Roman"/>
          <w:sz w:val="17"/>
          <w:szCs w:val="17"/>
          <w:u w:val="single" w:color="auto"/>
          <w:color w:val="0000EE"/>
        </w:rPr>
      </w:pPr>
    </w:p>
    <w:p>
      <w:pPr>
        <w:ind w:right="380"/>
        <w:spacing w:after="0" w:line="255" w:lineRule="auto"/>
        <w:rPr>
          <w:rFonts w:ascii="Times New Roman" w:cs="Times New Roman" w:eastAsia="Times New Roman" w:hAnsi="Times New Roman"/>
          <w:sz w:val="17"/>
          <w:szCs w:val="17"/>
          <w:u w:val="single" w:color="auto"/>
          <w:color w:val="0000EE"/>
        </w:rPr>
      </w:pPr>
      <w:hyperlink r:id="rId95">
        <w:r>
          <w:rPr>
            <w:rFonts w:ascii="Times New Roman" w:cs="Times New Roman" w:eastAsia="Times New Roman" w:hAnsi="Times New Roman"/>
            <w:sz w:val="17"/>
            <w:szCs w:val="17"/>
            <w:u w:val="single" w:color="auto"/>
            <w:color w:val="0000EE"/>
          </w:rPr>
          <w:t>Membership Interest Purchase Agreement, by and between HealthStream, Inc. and Press Ganey Associates, Inc., dated February 12,</w:t>
        </w:r>
      </w:hyperlink>
      <w:r>
        <w:rPr>
          <w:rFonts w:ascii="Times New Roman" w:cs="Times New Roman" w:eastAsia="Times New Roman" w:hAnsi="Times New Roman"/>
          <w:sz w:val="17"/>
          <w:szCs w:val="17"/>
          <w:u w:val="single" w:color="auto"/>
          <w:color w:val="0000EE"/>
        </w:rPr>
        <w:t xml:space="preserve"> </w:t>
      </w:r>
      <w:hyperlink r:id="rId95">
        <w:r>
          <w:rPr>
            <w:rFonts w:ascii="Times New Roman" w:cs="Times New Roman" w:eastAsia="Times New Roman" w:hAnsi="Times New Roman"/>
            <w:sz w:val="17"/>
            <w:szCs w:val="17"/>
            <w:u w:val="single" w:color="auto"/>
            <w:color w:val="0000EE"/>
          </w:rPr>
          <w:t>2018.</w:t>
        </w:r>
      </w:hyperlink>
    </w:p>
    <w:p>
      <w:pPr>
        <w:spacing w:after="0" w:line="2"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r:id="rId96">
        <w:r>
          <w:rPr>
            <w:rFonts w:ascii="Times New Roman" w:cs="Times New Roman" w:eastAsia="Times New Roman" w:hAnsi="Times New Roman"/>
            <w:sz w:val="17"/>
            <w:szCs w:val="17"/>
            <w:u w:val="single" w:color="auto"/>
            <w:color w:val="0000EE"/>
          </w:rPr>
          <w:t>Fourth Amended and Restated Charter of HealthStream, Inc.</w:t>
        </w:r>
      </w:hyperlink>
    </w:p>
    <w:p>
      <w:pPr>
        <w:spacing w:after="0" w:line="9"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r:id="rId97">
        <w:r>
          <w:rPr>
            <w:rFonts w:ascii="Times New Roman" w:cs="Times New Roman" w:eastAsia="Times New Roman" w:hAnsi="Times New Roman"/>
            <w:sz w:val="17"/>
            <w:szCs w:val="17"/>
            <w:u w:val="single" w:color="auto"/>
            <w:color w:val="0000EE"/>
          </w:rPr>
          <w:t>Second Amended and Restated Bylaws of HealthStream, Inc.</w:t>
        </w:r>
      </w:hyperlink>
    </w:p>
    <w:p>
      <w:pPr>
        <w:spacing w:after="0" w:line="21"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r:id="rId96">
        <w:r>
          <w:rPr>
            <w:rFonts w:ascii="Times New Roman" w:cs="Times New Roman" w:eastAsia="Times New Roman" w:hAnsi="Times New Roman"/>
            <w:sz w:val="17"/>
            <w:szCs w:val="17"/>
            <w:u w:val="single" w:color="auto"/>
            <w:color w:val="0000EE"/>
          </w:rPr>
          <w:t>Form of certificate representing the common stock, no par value per share, of HealthStream, Inc.</w:t>
        </w:r>
      </w:hyperlink>
    </w:p>
    <w:p>
      <w:pPr>
        <w:spacing w:after="0" w:line="21"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r:id="rId96">
        <w:r>
          <w:rPr>
            <w:rFonts w:ascii="Times New Roman" w:cs="Times New Roman" w:eastAsia="Times New Roman" w:hAnsi="Times New Roman"/>
            <w:sz w:val="17"/>
            <w:szCs w:val="17"/>
            <w:u w:val="single" w:color="auto"/>
            <w:color w:val="0000EE"/>
          </w:rPr>
          <w:t>Reference is made to Exhibits 3.1 and 3.2.</w:t>
        </w:r>
      </w:hyperlink>
    </w:p>
    <w:p>
      <w:pPr>
        <w:spacing w:after="0" w:line="21"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r:id="rId98">
        <w:r>
          <w:rPr>
            <w:rFonts w:ascii="Times New Roman" w:cs="Times New Roman" w:eastAsia="Times New Roman" w:hAnsi="Times New Roman"/>
            <w:sz w:val="17"/>
            <w:szCs w:val="17"/>
            <w:u w:val="single" w:color="auto"/>
            <w:color w:val="0000EE"/>
          </w:rPr>
          <w:t>2010 Stock Incentive Plan, effective as of May 27, 2010</w:t>
        </w:r>
      </w:hyperlink>
    </w:p>
    <w:p>
      <w:pPr>
        <w:spacing w:after="0" w:line="21"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r:id="rId96">
        <w:r>
          <w:rPr>
            <w:rFonts w:ascii="Times New Roman" w:cs="Times New Roman" w:eastAsia="Times New Roman" w:hAnsi="Times New Roman"/>
            <w:sz w:val="17"/>
            <w:szCs w:val="17"/>
            <w:u w:val="single" w:color="auto"/>
            <w:color w:val="0000EE"/>
          </w:rPr>
          <w:t>Form of Indemnification Agreement</w:t>
        </w:r>
      </w:hyperlink>
    </w:p>
    <w:p>
      <w:pPr>
        <w:spacing w:after="0" w:line="21" w:lineRule="exact"/>
        <w:rPr>
          <w:sz w:val="20"/>
          <w:szCs w:val="20"/>
          <w:color w:val="auto"/>
        </w:rPr>
      </w:pPr>
    </w:p>
    <w:p>
      <w:pPr>
        <w:ind w:right="1560"/>
        <w:spacing w:after="0" w:line="265" w:lineRule="auto"/>
        <w:rPr>
          <w:rFonts w:ascii="Times New Roman" w:cs="Times New Roman" w:eastAsia="Times New Roman" w:hAnsi="Times New Roman"/>
          <w:sz w:val="17"/>
          <w:szCs w:val="17"/>
          <w:u w:val="single" w:color="auto"/>
          <w:color w:val="0000EE"/>
        </w:rPr>
      </w:pPr>
      <w:hyperlink r:id="rId99">
        <w:r>
          <w:rPr>
            <w:rFonts w:ascii="Times New Roman" w:cs="Times New Roman" w:eastAsia="Times New Roman" w:hAnsi="Times New Roman"/>
            <w:sz w:val="17"/>
            <w:szCs w:val="17"/>
            <w:u w:val="single" w:color="auto"/>
            <w:color w:val="0000EE"/>
          </w:rPr>
          <w:t>Executive Employment Agreement, dated July 21, 2005, between HealthStream, Inc. and Robert A. Frist, Jr.</w:t>
        </w:r>
      </w:hyperlink>
      <w:r>
        <w:rPr>
          <w:rFonts w:ascii="Times New Roman" w:cs="Times New Roman" w:eastAsia="Times New Roman" w:hAnsi="Times New Roman"/>
          <w:sz w:val="17"/>
          <w:szCs w:val="17"/>
          <w:u w:val="single" w:color="auto"/>
          <w:color w:val="0000EE"/>
        </w:rPr>
        <w:t xml:space="preserve"> </w:t>
      </w:r>
      <w:hyperlink r:id="rId100">
        <w:r>
          <w:rPr>
            <w:rFonts w:ascii="Times New Roman" w:cs="Times New Roman" w:eastAsia="Times New Roman" w:hAnsi="Times New Roman"/>
            <w:sz w:val="17"/>
            <w:szCs w:val="17"/>
            <w:u w:val="single" w:color="auto"/>
            <w:color w:val="0000EE"/>
          </w:rPr>
          <w:t>Form of HealthStream, Inc. Non-Qualified Stock Option Agreement (Employees) under 2010 Stock Incentive Plan</w:t>
        </w:r>
      </w:hyperlink>
      <w:r>
        <w:rPr>
          <w:rFonts w:ascii="Times New Roman" w:cs="Times New Roman" w:eastAsia="Times New Roman" w:hAnsi="Times New Roman"/>
          <w:sz w:val="17"/>
          <w:szCs w:val="17"/>
          <w:u w:val="single" w:color="auto"/>
          <w:color w:val="0000EE"/>
        </w:rPr>
        <w:t xml:space="preserve"> </w:t>
      </w:r>
      <w:hyperlink r:id="rId101">
        <w:r>
          <w:rPr>
            <w:rFonts w:ascii="Times New Roman" w:cs="Times New Roman" w:eastAsia="Times New Roman" w:hAnsi="Times New Roman"/>
            <w:sz w:val="17"/>
            <w:szCs w:val="17"/>
            <w:u w:val="single" w:color="auto"/>
            <w:color w:val="0000EE"/>
          </w:rPr>
          <w:t>Form of HealthStream, Inc. Incentive Stock Option Agreement (Employees) under 2010 Stock Incentive Plan</w:t>
        </w:r>
      </w:hyperlink>
      <w:r>
        <w:rPr>
          <w:rFonts w:ascii="Times New Roman" w:cs="Times New Roman" w:eastAsia="Times New Roman" w:hAnsi="Times New Roman"/>
          <w:sz w:val="17"/>
          <w:szCs w:val="17"/>
          <w:u w:val="single" w:color="auto"/>
          <w:color w:val="0000EE"/>
        </w:rPr>
        <w:t xml:space="preserve"> </w:t>
      </w:r>
      <w:hyperlink r:id="rId102">
        <w:r>
          <w:rPr>
            <w:rFonts w:ascii="Times New Roman" w:cs="Times New Roman" w:eastAsia="Times New Roman" w:hAnsi="Times New Roman"/>
            <w:sz w:val="17"/>
            <w:szCs w:val="17"/>
            <w:u w:val="single" w:color="auto"/>
            <w:color w:val="0000EE"/>
          </w:rPr>
          <w:t>Form of HealthStream, Inc. Non-Qualified Stock Option Agreement (Directors) under 2010 Stock Incentive Plan</w:t>
        </w:r>
      </w:hyperlink>
      <w:r>
        <w:rPr>
          <w:rFonts w:ascii="Times New Roman" w:cs="Times New Roman" w:eastAsia="Times New Roman" w:hAnsi="Times New Roman"/>
          <w:sz w:val="17"/>
          <w:szCs w:val="17"/>
          <w:u w:val="single" w:color="auto"/>
          <w:color w:val="0000EE"/>
        </w:rPr>
        <w:t xml:space="preserve"> </w:t>
      </w:r>
      <w:hyperlink r:id="rId103">
        <w:r>
          <w:rPr>
            <w:rFonts w:ascii="Times New Roman" w:cs="Times New Roman" w:eastAsia="Times New Roman" w:hAnsi="Times New Roman"/>
            <w:sz w:val="17"/>
            <w:szCs w:val="17"/>
            <w:u w:val="single" w:color="auto"/>
            <w:color w:val="0000EE"/>
          </w:rPr>
          <w:t>Form of HealthStream, Inc. Restricted Share Unit Agreement (Officers) under 2010 Stock Incentive Plan</w:t>
        </w:r>
      </w:hyperlink>
    </w:p>
    <w:p>
      <w:pPr>
        <w:spacing w:after="0" w:line="1" w:lineRule="exact"/>
        <w:rPr>
          <w:rFonts w:ascii="Times New Roman" w:cs="Times New Roman" w:eastAsia="Times New Roman" w:hAnsi="Times New Roman"/>
          <w:sz w:val="17"/>
          <w:szCs w:val="17"/>
          <w:u w:val="single" w:color="auto"/>
          <w:color w:val="0000EE"/>
        </w:rPr>
      </w:pPr>
    </w:p>
    <w:p>
      <w:pPr>
        <w:ind w:right="220"/>
        <w:spacing w:after="0" w:line="257" w:lineRule="auto"/>
        <w:rPr>
          <w:rFonts w:ascii="Times New Roman" w:cs="Times New Roman" w:eastAsia="Times New Roman" w:hAnsi="Times New Roman"/>
          <w:sz w:val="17"/>
          <w:szCs w:val="17"/>
          <w:u w:val="single" w:color="auto"/>
          <w:color w:val="0000EE"/>
        </w:rPr>
      </w:pPr>
      <w:hyperlink r:id="rId104">
        <w:r>
          <w:rPr>
            <w:rFonts w:ascii="Times New Roman" w:cs="Times New Roman" w:eastAsia="Times New Roman" w:hAnsi="Times New Roman"/>
            <w:sz w:val="17"/>
            <w:szCs w:val="17"/>
            <w:u w:val="single" w:color="auto"/>
            <w:color w:val="0000EE"/>
          </w:rPr>
          <w:t>Form of HealthStream, Inc. Restricted Share Unit Agreement (Non-Employee Director) under 2010 Stock Incentive Plan</w:t>
        </w:r>
      </w:hyperlink>
      <w:r>
        <w:rPr>
          <w:rFonts w:ascii="Times New Roman" w:cs="Times New Roman" w:eastAsia="Times New Roman" w:hAnsi="Times New Roman"/>
          <w:sz w:val="17"/>
          <w:szCs w:val="17"/>
          <w:u w:val="single" w:color="auto"/>
          <w:color w:val="0000EE"/>
        </w:rPr>
        <w:t xml:space="preserve"> </w:t>
      </w:r>
      <w:hyperlink r:id="rId105">
        <w:r>
          <w:rPr>
            <w:rFonts w:ascii="Times New Roman" w:cs="Times New Roman" w:eastAsia="Times New Roman" w:hAnsi="Times New Roman"/>
            <w:sz w:val="17"/>
            <w:szCs w:val="17"/>
            <w:u w:val="single" w:color="auto"/>
            <w:color w:val="0000EE"/>
          </w:rPr>
          <w:t>Revolving Credit Agreement, dated November 24, 2014, by and among HealthStream, Inc., the several banks and other financial</w:t>
        </w:r>
      </w:hyperlink>
      <w:r>
        <w:rPr>
          <w:rFonts w:ascii="Times New Roman" w:cs="Times New Roman" w:eastAsia="Times New Roman" w:hAnsi="Times New Roman"/>
          <w:sz w:val="17"/>
          <w:szCs w:val="17"/>
          <w:u w:val="single" w:color="auto"/>
          <w:color w:val="0000EE"/>
        </w:rPr>
        <w:t xml:space="preserve"> </w:t>
      </w:r>
      <w:hyperlink r:id="rId105">
        <w:r>
          <w:rPr>
            <w:rFonts w:ascii="Times New Roman" w:cs="Times New Roman" w:eastAsia="Times New Roman" w:hAnsi="Times New Roman"/>
            <w:sz w:val="17"/>
            <w:szCs w:val="17"/>
            <w:u w:val="single" w:color="auto"/>
            <w:color w:val="0000EE"/>
          </w:rPr>
          <w:t>institutions and lenders from time to time party thereto and SunTrust Bank, as administrative agent, issuing bank, and swingline lender</w:t>
        </w:r>
      </w:hyperlink>
      <w:r>
        <w:rPr>
          <w:rFonts w:ascii="Times New Roman" w:cs="Times New Roman" w:eastAsia="Times New Roman" w:hAnsi="Times New Roman"/>
          <w:sz w:val="17"/>
          <w:szCs w:val="17"/>
          <w:u w:val="single" w:color="auto"/>
          <w:color w:val="0000EE"/>
        </w:rPr>
        <w:t xml:space="preserve"> </w:t>
      </w:r>
      <w:hyperlink w:anchor="page73">
        <w:r>
          <w:rPr>
            <w:rFonts w:ascii="Times New Roman" w:cs="Times New Roman" w:eastAsia="Times New Roman" w:hAnsi="Times New Roman"/>
            <w:sz w:val="17"/>
            <w:szCs w:val="17"/>
            <w:u w:val="single" w:color="auto"/>
            <w:color w:val="0000EE"/>
          </w:rPr>
          <w:t>Summary of Director and Executive Officer Compensation</w:t>
        </w:r>
      </w:hyperlink>
    </w:p>
    <w:p>
      <w:pPr>
        <w:spacing w:after="0"/>
        <w:rPr>
          <w:rFonts w:ascii="Times New Roman" w:cs="Times New Roman" w:eastAsia="Times New Roman" w:hAnsi="Times New Roman"/>
          <w:sz w:val="17"/>
          <w:szCs w:val="17"/>
          <w:u w:val="single" w:color="auto"/>
          <w:color w:val="0000EE"/>
        </w:rPr>
      </w:pPr>
      <w:hyperlink r:id="rId106">
        <w:r>
          <w:rPr>
            <w:rFonts w:ascii="Times New Roman" w:cs="Times New Roman" w:eastAsia="Times New Roman" w:hAnsi="Times New Roman"/>
            <w:sz w:val="17"/>
            <w:szCs w:val="17"/>
            <w:u w:val="single" w:color="auto"/>
            <w:color w:val="0000EE"/>
          </w:rPr>
          <w:t>Letter Agreement, dated as of September 24, 2015, between HealthStream, Inc. and Michael Sousa.</w:t>
        </w:r>
      </w:hyperlink>
    </w:p>
    <w:p>
      <w:pPr>
        <w:spacing w:after="0" w:line="21" w:lineRule="exact"/>
        <w:rPr>
          <w:rFonts w:ascii="Times New Roman" w:cs="Times New Roman" w:eastAsia="Times New Roman" w:hAnsi="Times New Roman"/>
          <w:sz w:val="17"/>
          <w:szCs w:val="17"/>
          <w:u w:val="single" w:color="auto"/>
          <w:color w:val="0000EE"/>
        </w:rPr>
      </w:pPr>
    </w:p>
    <w:p>
      <w:pPr>
        <w:spacing w:after="0"/>
        <w:rPr>
          <w:rFonts w:ascii="Times New Roman" w:cs="Times New Roman" w:eastAsia="Times New Roman" w:hAnsi="Times New Roman"/>
          <w:sz w:val="17"/>
          <w:szCs w:val="17"/>
          <w:u w:val="single" w:color="auto"/>
          <w:color w:val="0000EE"/>
        </w:rPr>
      </w:pPr>
      <w:hyperlink r:id="rId107">
        <w:r>
          <w:rPr>
            <w:rFonts w:ascii="Times New Roman" w:cs="Times New Roman" w:eastAsia="Times New Roman" w:hAnsi="Times New Roman"/>
            <w:sz w:val="17"/>
            <w:szCs w:val="17"/>
            <w:u w:val="single" w:color="auto"/>
            <w:color w:val="0000EE"/>
          </w:rPr>
          <w:t>2016 Omnibus Incentive Plan.</w:t>
        </w:r>
      </w:hyperlink>
    </w:p>
    <w:p>
      <w:pPr>
        <w:spacing w:after="0" w:line="21" w:lineRule="exact"/>
        <w:rPr>
          <w:rFonts w:ascii="Times New Roman" w:cs="Times New Roman" w:eastAsia="Times New Roman" w:hAnsi="Times New Roman"/>
          <w:sz w:val="17"/>
          <w:szCs w:val="17"/>
          <w:u w:val="single" w:color="auto"/>
          <w:color w:val="0000EE"/>
        </w:rPr>
      </w:pPr>
    </w:p>
    <w:p>
      <w:pPr>
        <w:spacing w:after="0"/>
        <w:rPr>
          <w:rFonts w:ascii="Times New Roman" w:cs="Times New Roman" w:eastAsia="Times New Roman" w:hAnsi="Times New Roman"/>
          <w:sz w:val="17"/>
          <w:szCs w:val="17"/>
          <w:u w:val="single" w:color="auto"/>
          <w:color w:val="0000EE"/>
        </w:rPr>
      </w:pPr>
      <w:hyperlink r:id="rId108">
        <w:r>
          <w:rPr>
            <w:rFonts w:ascii="Times New Roman" w:cs="Times New Roman" w:eastAsia="Times New Roman" w:hAnsi="Times New Roman"/>
            <w:sz w:val="17"/>
            <w:szCs w:val="17"/>
            <w:u w:val="single" w:color="auto"/>
            <w:color w:val="0000EE"/>
          </w:rPr>
          <w:t>Form of HealthStream, Inc. Restricted Share Unit Agreement (Officers) under 2016 Omnibus Incentive Plan.</w:t>
        </w:r>
      </w:hyperlink>
    </w:p>
    <w:p>
      <w:pPr>
        <w:spacing w:after="0" w:line="21" w:lineRule="exact"/>
        <w:rPr>
          <w:rFonts w:ascii="Times New Roman" w:cs="Times New Roman" w:eastAsia="Times New Roman" w:hAnsi="Times New Roman"/>
          <w:sz w:val="17"/>
          <w:szCs w:val="17"/>
          <w:u w:val="single" w:color="auto"/>
          <w:color w:val="0000EE"/>
        </w:rPr>
      </w:pPr>
    </w:p>
    <w:p>
      <w:pPr>
        <w:spacing w:after="0"/>
        <w:rPr>
          <w:rFonts w:ascii="Times New Roman" w:cs="Times New Roman" w:eastAsia="Times New Roman" w:hAnsi="Times New Roman"/>
          <w:sz w:val="17"/>
          <w:szCs w:val="17"/>
          <w:u w:val="single" w:color="auto"/>
          <w:color w:val="0000EE"/>
        </w:rPr>
      </w:pPr>
      <w:hyperlink r:id="rId109">
        <w:r>
          <w:rPr>
            <w:rFonts w:ascii="Times New Roman" w:cs="Times New Roman" w:eastAsia="Times New Roman" w:hAnsi="Times New Roman"/>
            <w:sz w:val="17"/>
            <w:szCs w:val="17"/>
            <w:u w:val="single" w:color="auto"/>
            <w:color w:val="0000EE"/>
          </w:rPr>
          <w:t>Form of HealthStream, Inc. Restricted Share Unit Agreement (Non-Employee Director) under 2016 Omnibus Incentive Plan.</w:t>
        </w:r>
      </w:hyperlink>
    </w:p>
    <w:p>
      <w:pPr>
        <w:spacing w:after="0" w:line="21" w:lineRule="exact"/>
        <w:rPr>
          <w:rFonts w:ascii="Times New Roman" w:cs="Times New Roman" w:eastAsia="Times New Roman" w:hAnsi="Times New Roman"/>
          <w:sz w:val="17"/>
          <w:szCs w:val="17"/>
          <w:u w:val="single" w:color="auto"/>
          <w:color w:val="0000EE"/>
        </w:rPr>
      </w:pPr>
    </w:p>
    <w:p>
      <w:pPr>
        <w:spacing w:after="0"/>
        <w:rPr>
          <w:rFonts w:ascii="Times New Roman" w:cs="Times New Roman" w:eastAsia="Times New Roman" w:hAnsi="Times New Roman"/>
          <w:sz w:val="17"/>
          <w:szCs w:val="17"/>
          <w:u w:val="single" w:color="auto"/>
          <w:color w:val="0000EE"/>
        </w:rPr>
      </w:pPr>
      <w:hyperlink r:id="rId110">
        <w:r>
          <w:rPr>
            <w:rFonts w:ascii="Times New Roman" w:cs="Times New Roman" w:eastAsia="Times New Roman" w:hAnsi="Times New Roman"/>
            <w:sz w:val="17"/>
            <w:szCs w:val="17"/>
            <w:u w:val="single" w:color="auto"/>
            <w:color w:val="0000EE"/>
          </w:rPr>
          <w:t>Lease Agreement, dated April 3, 2017, by and between HealthStream, Inc. and Capitol View Joint Venture.</w:t>
        </w:r>
      </w:hyperlink>
    </w:p>
    <w:p>
      <w:pPr>
        <w:spacing w:after="0" w:line="21" w:lineRule="exact"/>
        <w:rPr>
          <w:rFonts w:ascii="Times New Roman" w:cs="Times New Roman" w:eastAsia="Times New Roman" w:hAnsi="Times New Roman"/>
          <w:sz w:val="17"/>
          <w:szCs w:val="17"/>
          <w:u w:val="single" w:color="auto"/>
          <w:color w:val="0000EE"/>
        </w:rPr>
      </w:pPr>
    </w:p>
    <w:p>
      <w:pPr>
        <w:ind w:right="180"/>
        <w:spacing w:after="0" w:line="259" w:lineRule="auto"/>
        <w:rPr>
          <w:rFonts w:ascii="Times New Roman" w:cs="Times New Roman" w:eastAsia="Times New Roman" w:hAnsi="Times New Roman"/>
          <w:sz w:val="17"/>
          <w:szCs w:val="17"/>
          <w:u w:val="single" w:color="auto"/>
          <w:color w:val="0000EE"/>
        </w:rPr>
      </w:pPr>
      <w:hyperlink r:id="rId111">
        <w:r>
          <w:rPr>
            <w:rFonts w:ascii="Times New Roman" w:cs="Times New Roman" w:eastAsia="Times New Roman" w:hAnsi="Times New Roman"/>
            <w:sz w:val="17"/>
            <w:szCs w:val="17"/>
            <w:u w:val="single" w:color="auto"/>
            <w:color w:val="0000EE"/>
          </w:rPr>
          <w:t>First Amendment to Revolving Credit Agreement, dated November 13, 2017, by and between HealthStream, Inc. and SunTrust Bank.</w:t>
        </w:r>
      </w:hyperlink>
      <w:r>
        <w:rPr>
          <w:rFonts w:ascii="Times New Roman" w:cs="Times New Roman" w:eastAsia="Times New Roman" w:hAnsi="Times New Roman"/>
          <w:sz w:val="17"/>
          <w:szCs w:val="17"/>
          <w:u w:val="single" w:color="auto"/>
          <w:color w:val="0000EE"/>
        </w:rPr>
        <w:t xml:space="preserve"> </w:t>
      </w:r>
      <w:hyperlink r:id="rId112">
        <w:r>
          <w:rPr>
            <w:rFonts w:ascii="Times New Roman" w:cs="Times New Roman" w:eastAsia="Times New Roman" w:hAnsi="Times New Roman"/>
            <w:sz w:val="17"/>
            <w:szCs w:val="17"/>
            <w:u w:val="single" w:color="auto"/>
            <w:color w:val="0000EE"/>
          </w:rPr>
          <w:t>Second Amendment to Revolving Credit Agreement, dated as of December 31, 2018, by and between HealthStream, Inc. and SunTrust</w:t>
        </w:r>
      </w:hyperlink>
      <w:r>
        <w:rPr>
          <w:rFonts w:ascii="Times New Roman" w:cs="Times New Roman" w:eastAsia="Times New Roman" w:hAnsi="Times New Roman"/>
          <w:sz w:val="17"/>
          <w:szCs w:val="17"/>
          <w:u w:val="single" w:color="auto"/>
          <w:color w:val="0000EE"/>
        </w:rPr>
        <w:t xml:space="preserve"> </w:t>
      </w:r>
      <w:hyperlink r:id="rId112">
        <w:r>
          <w:rPr>
            <w:rFonts w:ascii="Times New Roman" w:cs="Times New Roman" w:eastAsia="Times New Roman" w:hAnsi="Times New Roman"/>
            <w:sz w:val="17"/>
            <w:szCs w:val="17"/>
            <w:u w:val="single" w:color="auto"/>
            <w:color w:val="0000EE"/>
          </w:rPr>
          <w:t>Bank.</w:t>
        </w:r>
      </w:hyperlink>
    </w:p>
    <w:p>
      <w:pPr>
        <w:ind w:right="3180"/>
        <w:spacing w:after="0" w:line="258" w:lineRule="auto"/>
        <w:rPr>
          <w:rFonts w:ascii="Times New Roman" w:cs="Times New Roman" w:eastAsia="Times New Roman" w:hAnsi="Times New Roman"/>
          <w:sz w:val="17"/>
          <w:szCs w:val="17"/>
          <w:u w:val="single" w:color="auto"/>
          <w:color w:val="0000EE"/>
        </w:rPr>
      </w:pPr>
      <w:hyperlink w:anchor="page74">
        <w:r>
          <w:rPr>
            <w:rFonts w:ascii="Times New Roman" w:cs="Times New Roman" w:eastAsia="Times New Roman" w:hAnsi="Times New Roman"/>
            <w:sz w:val="17"/>
            <w:szCs w:val="17"/>
            <w:u w:val="single" w:color="auto"/>
            <w:color w:val="0000EE"/>
          </w:rPr>
          <w:t>HealthStream, Inc. 2018 Executive and Corporate Management Cash Incentive Bonus Plan</w:t>
        </w:r>
      </w:hyperlink>
      <w:r>
        <w:rPr>
          <w:rFonts w:ascii="Times New Roman" w:cs="Times New Roman" w:eastAsia="Times New Roman" w:hAnsi="Times New Roman"/>
          <w:sz w:val="17"/>
          <w:szCs w:val="17"/>
          <w:u w:val="single" w:color="auto"/>
          <w:color w:val="0000EE"/>
        </w:rPr>
        <w:t xml:space="preserve"> </w:t>
      </w:r>
      <w:hyperlink w:anchor="page76">
        <w:r>
          <w:rPr>
            <w:rFonts w:ascii="Times New Roman" w:cs="Times New Roman" w:eastAsia="Times New Roman" w:hAnsi="Times New Roman"/>
            <w:sz w:val="17"/>
            <w:szCs w:val="17"/>
            <w:u w:val="single" w:color="auto"/>
            <w:color w:val="0000EE"/>
          </w:rPr>
          <w:t>HealthStream, Inc. 2018 Provider Solutions Cash Incentive Bonus Plan</w:t>
        </w:r>
      </w:hyperlink>
    </w:p>
    <w:p>
      <w:pPr>
        <w:ind w:right="140"/>
        <w:spacing w:after="0" w:line="274" w:lineRule="auto"/>
        <w:rPr>
          <w:rFonts w:ascii="Times New Roman" w:cs="Times New Roman" w:eastAsia="Times New Roman" w:hAnsi="Times New Roman"/>
          <w:sz w:val="17"/>
          <w:szCs w:val="17"/>
          <w:u w:val="single" w:color="auto"/>
          <w:color w:val="0000EE"/>
        </w:rPr>
      </w:pPr>
      <w:hyperlink r:id="rId113">
        <w:r>
          <w:rPr>
            <w:rFonts w:ascii="Times New Roman" w:cs="Times New Roman" w:eastAsia="Times New Roman" w:hAnsi="Times New Roman"/>
            <w:sz w:val="17"/>
            <w:szCs w:val="17"/>
            <w:u w:val="single" w:color="auto"/>
            <w:color w:val="0000EE"/>
          </w:rPr>
          <w:t>Form of HealthStream, Inc. Restricted Share Unit Agreement (Performance) under 2016 Omnibus Plan between HealthStream, Inc. and</w:t>
        </w:r>
      </w:hyperlink>
      <w:r>
        <w:rPr>
          <w:rFonts w:ascii="Times New Roman" w:cs="Times New Roman" w:eastAsia="Times New Roman" w:hAnsi="Times New Roman"/>
          <w:sz w:val="17"/>
          <w:szCs w:val="17"/>
          <w:u w:val="single" w:color="auto"/>
          <w:color w:val="0000EE"/>
        </w:rPr>
        <w:t xml:space="preserve"> </w:t>
      </w:r>
      <w:hyperlink r:id="rId113">
        <w:r>
          <w:rPr>
            <w:rFonts w:ascii="Times New Roman" w:cs="Times New Roman" w:eastAsia="Times New Roman" w:hAnsi="Times New Roman"/>
            <w:sz w:val="17"/>
            <w:szCs w:val="17"/>
            <w:u w:val="single" w:color="auto"/>
            <w:color w:val="0000EE"/>
          </w:rPr>
          <w:t>J. Edward Pearson</w:t>
        </w:r>
      </w:hyperlink>
    </w:p>
    <w:p>
      <w:pPr>
        <w:spacing w:after="0" w:line="17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1280" w:space="720"/>
            <w:col w:w="9420"/>
          </w:cols>
          <w:pgMar w:left="240" w:top="263" w:right="2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2000" w:type="dxa"/>
            <w:vAlign w:val="bottom"/>
            <w:gridSpan w:val="2"/>
          </w:tcPr>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tc>
        <w:tc>
          <w:tcPr>
            <w:tcW w:w="9140" w:type="dxa"/>
            <w:vAlign w:val="bottom"/>
            <w:gridSpan w:val="8"/>
            <w:vMerge w:val="restart"/>
          </w:tcPr>
          <w:p>
            <w:pPr>
              <w:spacing w:after="0"/>
              <w:rPr>
                <w:rFonts w:ascii="Times New Roman" w:cs="Times New Roman" w:eastAsia="Times New Roman" w:hAnsi="Times New Roman"/>
                <w:sz w:val="17"/>
                <w:szCs w:val="17"/>
                <w:color w:val="0000EE"/>
              </w:rPr>
            </w:pPr>
            <w:hyperlink r:id="rId115">
              <w:r>
                <w:rPr>
                  <w:rFonts w:ascii="Times New Roman" w:cs="Times New Roman" w:eastAsia="Times New Roman" w:hAnsi="Times New Roman"/>
                  <w:sz w:val="17"/>
                  <w:szCs w:val="17"/>
                  <w:color w:val="0000EE"/>
                </w:rPr>
                <w:t>Form of HealthStream, Inc. Restricted Share Unit Agreement (Performance) under 2016 Stock Incentive Plan between HealthStream,</w:t>
              </w:r>
            </w:hyperlink>
          </w:p>
        </w:tc>
        <w:tc>
          <w:tcPr>
            <w:tcW w:w="2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00" w:type="dxa"/>
            <w:vAlign w:val="bottom"/>
            <w:tcBorders>
              <w:top w:val="single" w:sz="8" w:color="0000EE"/>
            </w:tcBorders>
          </w:tcPr>
          <w:p>
            <w:pPr>
              <w:spacing w:after="0" w:line="142" w:lineRule="exact"/>
              <w:rPr>
                <w:sz w:val="20"/>
                <w:szCs w:val="20"/>
                <w:color w:val="auto"/>
              </w:rPr>
            </w:pPr>
            <w:r>
              <w:rPr>
                <w:rFonts w:ascii="Times New Roman" w:cs="Times New Roman" w:eastAsia="Times New Roman" w:hAnsi="Times New Roman"/>
                <w:sz w:val="16"/>
                <w:szCs w:val="16"/>
                <w:color w:val="auto"/>
              </w:rPr>
              <w:t xml:space="preserve">10.21^ </w:t>
            </w:r>
            <w:r>
              <w:rPr>
                <w:rFonts w:ascii="Times New Roman" w:cs="Times New Roman" w:eastAsia="Times New Roman" w:hAnsi="Times New Roman"/>
                <w:sz w:val="13"/>
                <w:szCs w:val="13"/>
                <w:color w:val="auto"/>
              </w:rPr>
              <w:t>(9)</w:t>
            </w:r>
          </w:p>
        </w:tc>
        <w:tc>
          <w:tcPr>
            <w:tcW w:w="900" w:type="dxa"/>
            <w:vAlign w:val="bottom"/>
          </w:tcPr>
          <w:p>
            <w:pPr>
              <w:spacing w:after="0"/>
              <w:rPr>
                <w:sz w:val="13"/>
                <w:szCs w:val="13"/>
                <w:color w:val="auto"/>
              </w:rPr>
            </w:pPr>
          </w:p>
        </w:tc>
        <w:tc>
          <w:tcPr>
            <w:tcW w:w="9140" w:type="dxa"/>
            <w:vAlign w:val="bottom"/>
            <w:tcBorders>
              <w:bottom w:val="single" w:sz="8" w:color="0000EE"/>
            </w:tcBorders>
            <w:gridSpan w:val="8"/>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Borders>
              <w:bottom w:val="single" w:sz="8" w:color="0000EE"/>
            </w:tcBorders>
          </w:tcPr>
          <w:p>
            <w:pPr>
              <w:spacing w:after="0" w:line="183" w:lineRule="exact"/>
              <w:rPr>
                <w:rFonts w:ascii="Times New Roman" w:cs="Times New Roman" w:eastAsia="Times New Roman" w:hAnsi="Times New Roman"/>
                <w:sz w:val="17"/>
                <w:szCs w:val="17"/>
                <w:color w:val="0000EE"/>
                <w:w w:val="98"/>
              </w:rPr>
            </w:pPr>
            <w:hyperlink r:id="rId115">
              <w:r>
                <w:rPr>
                  <w:rFonts w:ascii="Times New Roman" w:cs="Times New Roman" w:eastAsia="Times New Roman" w:hAnsi="Times New Roman"/>
                  <w:sz w:val="17"/>
                  <w:szCs w:val="17"/>
                  <w:color w:val="0000EE"/>
                  <w:w w:val="98"/>
                </w:rPr>
                <w:t>Inc. and Michael Sousa</w:t>
              </w:r>
            </w:hyperlink>
          </w:p>
        </w:tc>
        <w:tc>
          <w:tcPr>
            <w:tcW w:w="78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21.1</w:t>
            </w:r>
          </w:p>
        </w:tc>
        <w:tc>
          <w:tcPr>
            <w:tcW w:w="900" w:type="dxa"/>
            <w:vAlign w:val="bottom"/>
          </w:tcPr>
          <w:p>
            <w:pPr>
              <w:spacing w:after="0"/>
              <w:rPr>
                <w:sz w:val="15"/>
                <w:szCs w:val="15"/>
                <w:color w:val="auto"/>
              </w:rPr>
            </w:pPr>
          </w:p>
        </w:tc>
        <w:tc>
          <w:tcPr>
            <w:tcW w:w="9420" w:type="dxa"/>
            <w:vAlign w:val="bottom"/>
            <w:gridSpan w:val="9"/>
          </w:tcPr>
          <w:p>
            <w:pPr>
              <w:spacing w:after="0" w:line="169" w:lineRule="exact"/>
              <w:rPr>
                <w:rFonts w:ascii="Times New Roman" w:cs="Times New Roman" w:eastAsia="Times New Roman" w:hAnsi="Times New Roman"/>
                <w:sz w:val="17"/>
                <w:szCs w:val="17"/>
                <w:color w:val="0000EE"/>
              </w:rPr>
            </w:pPr>
            <w:hyperlink w:anchor="page80">
              <w:r>
                <w:rPr>
                  <w:rFonts w:ascii="Times New Roman" w:cs="Times New Roman" w:eastAsia="Times New Roman" w:hAnsi="Times New Roman"/>
                  <w:sz w:val="17"/>
                  <w:szCs w:val="17"/>
                  <w:color w:val="0000EE"/>
                </w:rPr>
                <w:t>Subsidiaries of HealthStream, Inc.</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23.1</w:t>
            </w:r>
          </w:p>
        </w:tc>
        <w:tc>
          <w:tcPr>
            <w:tcW w:w="900" w:type="dxa"/>
            <w:vAlign w:val="bottom"/>
          </w:tcPr>
          <w:p>
            <w:pPr>
              <w:spacing w:after="0"/>
              <w:rPr>
                <w:sz w:val="17"/>
                <w:szCs w:val="17"/>
                <w:color w:val="auto"/>
              </w:rPr>
            </w:pPr>
          </w:p>
        </w:tc>
        <w:tc>
          <w:tcPr>
            <w:tcW w:w="4100" w:type="dxa"/>
            <w:vAlign w:val="bottom"/>
            <w:tcBorders>
              <w:bottom w:val="single" w:sz="8" w:color="0000EE"/>
            </w:tcBorders>
            <w:gridSpan w:val="3"/>
          </w:tcPr>
          <w:p>
            <w:pPr>
              <w:spacing w:after="0" w:line="183" w:lineRule="exact"/>
              <w:rPr>
                <w:rFonts w:ascii="Times New Roman" w:cs="Times New Roman" w:eastAsia="Times New Roman" w:hAnsi="Times New Roman"/>
                <w:sz w:val="17"/>
                <w:szCs w:val="17"/>
                <w:color w:val="0000EE"/>
                <w:w w:val="99"/>
              </w:rPr>
            </w:pPr>
            <w:hyperlink w:anchor="page81">
              <w:r>
                <w:rPr>
                  <w:rFonts w:ascii="Times New Roman" w:cs="Times New Roman" w:eastAsia="Times New Roman" w:hAnsi="Times New Roman"/>
                  <w:sz w:val="17"/>
                  <w:szCs w:val="17"/>
                  <w:color w:val="0000EE"/>
                  <w:w w:val="99"/>
                </w:rPr>
                <w:t>Consent of Independent Registered Public Accounting Firm</w:t>
              </w:r>
            </w:hyperlink>
          </w:p>
        </w:tc>
        <w:tc>
          <w:tcPr>
            <w:tcW w:w="5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900" w:type="dxa"/>
            <w:vAlign w:val="bottom"/>
          </w:tcPr>
          <w:p>
            <w:pPr>
              <w:spacing w:after="0"/>
              <w:rPr>
                <w:sz w:val="17"/>
                <w:szCs w:val="17"/>
                <w:color w:val="auto"/>
              </w:rPr>
            </w:pPr>
          </w:p>
        </w:tc>
        <w:tc>
          <w:tcPr>
            <w:tcW w:w="7080" w:type="dxa"/>
            <w:vAlign w:val="bottom"/>
            <w:tcBorders>
              <w:bottom w:val="single" w:sz="8" w:color="0000EE"/>
            </w:tcBorders>
            <w:gridSpan w:val="5"/>
          </w:tcPr>
          <w:p>
            <w:pPr>
              <w:spacing w:after="0" w:line="183" w:lineRule="exact"/>
              <w:rPr>
                <w:rFonts w:ascii="Times New Roman" w:cs="Times New Roman" w:eastAsia="Times New Roman" w:hAnsi="Times New Roman"/>
                <w:sz w:val="17"/>
                <w:szCs w:val="17"/>
                <w:color w:val="0000EE"/>
              </w:rPr>
            </w:pPr>
            <w:hyperlink w:anchor="page82">
              <w:r>
                <w:rPr>
                  <w:rFonts w:ascii="Times New Roman" w:cs="Times New Roman" w:eastAsia="Times New Roman" w:hAnsi="Times New Roman"/>
                  <w:sz w:val="17"/>
                  <w:szCs w:val="17"/>
                  <w:color w:val="0000EE"/>
                </w:rPr>
                <w:t>Certification of the Chief Executive Officer Pursuant to Section 302 of the Sarbanes-Oxley Act of 2002</w:t>
              </w:r>
            </w:hyperlink>
          </w:p>
        </w:tc>
        <w:tc>
          <w:tcPr>
            <w:tcW w:w="2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00" w:type="dxa"/>
            <w:vAlign w:val="bottom"/>
          </w:tcPr>
          <w:p>
            <w:pPr>
              <w:spacing w:after="0"/>
              <w:rPr>
                <w:sz w:val="17"/>
                <w:szCs w:val="17"/>
                <w:color w:val="auto"/>
              </w:rPr>
            </w:pPr>
          </w:p>
        </w:tc>
        <w:tc>
          <w:tcPr>
            <w:tcW w:w="7020" w:type="dxa"/>
            <w:vAlign w:val="bottom"/>
            <w:tcBorders>
              <w:bottom w:val="single" w:sz="8" w:color="0000EE"/>
            </w:tcBorders>
            <w:gridSpan w:val="4"/>
          </w:tcPr>
          <w:p>
            <w:pPr>
              <w:spacing w:after="0" w:line="183" w:lineRule="exact"/>
              <w:rPr>
                <w:rFonts w:ascii="Times New Roman" w:cs="Times New Roman" w:eastAsia="Times New Roman" w:hAnsi="Times New Roman"/>
                <w:sz w:val="17"/>
                <w:szCs w:val="17"/>
                <w:color w:val="0000EE"/>
                <w:w w:val="99"/>
              </w:rPr>
            </w:pPr>
            <w:hyperlink w:anchor="page83">
              <w:r>
                <w:rPr>
                  <w:rFonts w:ascii="Times New Roman" w:cs="Times New Roman" w:eastAsia="Times New Roman" w:hAnsi="Times New Roman"/>
                  <w:sz w:val="17"/>
                  <w:szCs w:val="17"/>
                  <w:color w:val="0000EE"/>
                  <w:w w:val="99"/>
                </w:rPr>
                <w:t>Certification of the Chief Financial Officer Pursuant to Section 302 of the Sarbanes-Oxley Act of 2002</w:t>
              </w:r>
            </w:hyperlink>
          </w:p>
        </w:tc>
        <w:tc>
          <w:tcPr>
            <w:tcW w:w="12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00" w:type="dxa"/>
            <w:vAlign w:val="bottom"/>
          </w:tcPr>
          <w:p>
            <w:pPr>
              <w:spacing w:after="0"/>
              <w:rPr>
                <w:sz w:val="17"/>
                <w:szCs w:val="17"/>
                <w:color w:val="auto"/>
              </w:rPr>
            </w:pPr>
          </w:p>
        </w:tc>
        <w:tc>
          <w:tcPr>
            <w:tcW w:w="8320" w:type="dxa"/>
            <w:vAlign w:val="bottom"/>
            <w:tcBorders>
              <w:bottom w:val="single" w:sz="8" w:color="0000EE"/>
            </w:tcBorders>
            <w:gridSpan w:val="7"/>
          </w:tcPr>
          <w:p>
            <w:pPr>
              <w:spacing w:after="0" w:line="183" w:lineRule="exact"/>
              <w:rPr>
                <w:rFonts w:ascii="Times New Roman" w:cs="Times New Roman" w:eastAsia="Times New Roman" w:hAnsi="Times New Roman"/>
                <w:sz w:val="17"/>
                <w:szCs w:val="17"/>
                <w:color w:val="0000EE"/>
              </w:rPr>
            </w:pPr>
            <w:hyperlink w:anchor="page84">
              <w:r>
                <w:rPr>
                  <w:rFonts w:ascii="Times New Roman" w:cs="Times New Roman" w:eastAsia="Times New Roman" w:hAnsi="Times New Roman"/>
                  <w:sz w:val="17"/>
                  <w:szCs w:val="17"/>
                  <w:color w:val="0000EE"/>
                </w:rPr>
                <w:t>Certification Pursuant to 18 U.S.C. Section 1350, as Adopted Pursuant to Section 906 of the Sarbanes-Oxley Act of 2002</w:t>
              </w:r>
            </w:hyperlink>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32.2</w:t>
            </w:r>
          </w:p>
        </w:tc>
        <w:tc>
          <w:tcPr>
            <w:tcW w:w="900" w:type="dxa"/>
            <w:vAlign w:val="bottom"/>
          </w:tcPr>
          <w:p>
            <w:pPr>
              <w:spacing w:after="0"/>
              <w:rPr>
                <w:sz w:val="17"/>
                <w:szCs w:val="17"/>
                <w:color w:val="auto"/>
              </w:rPr>
            </w:pPr>
          </w:p>
        </w:tc>
        <w:tc>
          <w:tcPr>
            <w:tcW w:w="8300" w:type="dxa"/>
            <w:vAlign w:val="bottom"/>
            <w:tcBorders>
              <w:bottom w:val="single" w:sz="8" w:color="0000EE"/>
            </w:tcBorders>
            <w:gridSpan w:val="6"/>
          </w:tcPr>
          <w:p>
            <w:pPr>
              <w:spacing w:after="0" w:line="183" w:lineRule="exact"/>
              <w:rPr>
                <w:rFonts w:ascii="Times New Roman" w:cs="Times New Roman" w:eastAsia="Times New Roman" w:hAnsi="Times New Roman"/>
                <w:sz w:val="17"/>
                <w:szCs w:val="17"/>
                <w:color w:val="0000EE"/>
              </w:rPr>
            </w:pPr>
            <w:hyperlink w:anchor="page85">
              <w:r>
                <w:rPr>
                  <w:rFonts w:ascii="Times New Roman" w:cs="Times New Roman" w:eastAsia="Times New Roman" w:hAnsi="Times New Roman"/>
                  <w:sz w:val="17"/>
                  <w:szCs w:val="17"/>
                  <w:color w:val="0000EE"/>
                </w:rPr>
                <w:t>Certification Pursuant to 18 U.S.C. Section 1350, as Adopted Pursuant to Section 906 of the Sarbanes-Oxley Act of 2002</w:t>
              </w:r>
            </w:hyperlink>
          </w:p>
        </w:tc>
        <w:tc>
          <w:tcPr>
            <w:tcW w:w="1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INS</w:t>
            </w: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SCH</w:t>
            </w: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Schema</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CAL</w:t>
            </w: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DEF</w:t>
            </w: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LAB</w:t>
            </w: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Label Linkbase</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PRE</w:t>
            </w: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to Registrant’s Registration Statement on Form S-1, as amended (Reg. No. 333-88939).</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Management contract or compensatory plan or arrangement</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Current Report on Form 8-K, dated February 13, 2015.</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Current Report on Form 8-K, dated August 8, 2016.</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Current Report on Form 8-K, dated July 25, 2005.</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Current Report on Form 8-K, dated June 1, 2010.</w:t>
            </w:r>
          </w:p>
        </w:tc>
        <w:tc>
          <w:tcPr>
            <w:tcW w:w="0" w:type="dxa"/>
            <w:vAlign w:val="bottom"/>
          </w:tcPr>
          <w:p>
            <w:pPr>
              <w:spacing w:after="0"/>
              <w:rPr>
                <w:sz w:val="1"/>
                <w:szCs w:val="1"/>
                <w:color w:val="auto"/>
              </w:rPr>
            </w:pPr>
          </w:p>
        </w:tc>
      </w:tr>
      <w:tr>
        <w:trPr>
          <w:trHeight w:val="204"/>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Quarterly Report on Form 10-Q, for the quarterly period ended March 31, 2012 filed</w:t>
            </w:r>
          </w:p>
        </w:tc>
        <w:tc>
          <w:tcPr>
            <w:tcW w:w="0" w:type="dxa"/>
            <w:vAlign w:val="bottom"/>
          </w:tcPr>
          <w:p>
            <w:pPr>
              <w:spacing w:after="0"/>
              <w:rPr>
                <w:sz w:val="1"/>
                <w:szCs w:val="1"/>
                <w:color w:val="auto"/>
              </w:rPr>
            </w:pPr>
          </w:p>
        </w:tc>
      </w:tr>
      <w:tr>
        <w:trPr>
          <w:trHeight w:val="203"/>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with the SEC on April 30, 2012.</w:t>
            </w:r>
          </w:p>
        </w:tc>
        <w:tc>
          <w:tcPr>
            <w:tcW w:w="0" w:type="dxa"/>
            <w:vAlign w:val="bottom"/>
          </w:tcPr>
          <w:p>
            <w:pPr>
              <w:spacing w:after="0"/>
              <w:rPr>
                <w:sz w:val="1"/>
                <w:szCs w:val="1"/>
                <w:color w:val="auto"/>
              </w:rPr>
            </w:pPr>
          </w:p>
        </w:tc>
      </w:tr>
      <w:tr>
        <w:trPr>
          <w:trHeight w:val="202"/>
        </w:trPr>
        <w:tc>
          <w:tcPr>
            <w:tcW w:w="11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to Appendix B of the Company’s Definitive Proxy Statement filed with the SEC on April 29, 2010.</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Current Report on Form 8-K, dated November 25, 2014.</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(8)</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Current Report on Form 8-K, dated October 23, 2015.</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Current Report on Form 8-K, dated May 16, 2018.</w:t>
            </w:r>
          </w:p>
        </w:tc>
        <w:tc>
          <w:tcPr>
            <w:tcW w:w="0" w:type="dxa"/>
            <w:vAlign w:val="bottom"/>
          </w:tcPr>
          <w:p>
            <w:pPr>
              <w:spacing w:after="0"/>
              <w:rPr>
                <w:sz w:val="1"/>
                <w:szCs w:val="1"/>
                <w:color w:val="auto"/>
              </w:rPr>
            </w:pPr>
          </w:p>
        </w:tc>
      </w:tr>
      <w:tr>
        <w:trPr>
          <w:trHeight w:val="204"/>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Quarterly Report on Form 10-Q, for the quarterly period ended September 30, 2015,</w:t>
            </w:r>
          </w:p>
        </w:tc>
        <w:tc>
          <w:tcPr>
            <w:tcW w:w="0" w:type="dxa"/>
            <w:vAlign w:val="bottom"/>
          </w:tcPr>
          <w:p>
            <w:pPr>
              <w:spacing w:after="0"/>
              <w:rPr>
                <w:sz w:val="1"/>
                <w:szCs w:val="1"/>
                <w:color w:val="auto"/>
              </w:rPr>
            </w:pPr>
          </w:p>
        </w:tc>
      </w:tr>
      <w:tr>
        <w:trPr>
          <w:trHeight w:val="203"/>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filed with the SEC on October 30, 2015.</w:t>
            </w:r>
          </w:p>
        </w:tc>
        <w:tc>
          <w:tcPr>
            <w:tcW w:w="0" w:type="dxa"/>
            <w:vAlign w:val="bottom"/>
          </w:tcPr>
          <w:p>
            <w:pPr>
              <w:spacing w:after="0"/>
              <w:rPr>
                <w:sz w:val="1"/>
                <w:szCs w:val="1"/>
                <w:color w:val="auto"/>
              </w:rPr>
            </w:pPr>
          </w:p>
        </w:tc>
      </w:tr>
      <w:tr>
        <w:trPr>
          <w:trHeight w:val="202"/>
        </w:trPr>
        <w:tc>
          <w:tcPr>
            <w:tcW w:w="11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Current Report on Form 8-K, dated May 31, 2016.</w:t>
            </w:r>
          </w:p>
        </w:tc>
        <w:tc>
          <w:tcPr>
            <w:tcW w:w="0" w:type="dxa"/>
            <w:vAlign w:val="bottom"/>
          </w:tcPr>
          <w:p>
            <w:pPr>
              <w:spacing w:after="0"/>
              <w:rPr>
                <w:sz w:val="1"/>
                <w:szCs w:val="1"/>
                <w:color w:val="auto"/>
              </w:rPr>
            </w:pPr>
          </w:p>
        </w:tc>
      </w:tr>
      <w:tr>
        <w:trPr>
          <w:trHeight w:val="204"/>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Quarterly Report on Form 10-Q, for the quarterly period ended March 31, 2017, filed</w:t>
            </w:r>
          </w:p>
        </w:tc>
        <w:tc>
          <w:tcPr>
            <w:tcW w:w="0" w:type="dxa"/>
            <w:vAlign w:val="bottom"/>
          </w:tcPr>
          <w:p>
            <w:pPr>
              <w:spacing w:after="0"/>
              <w:rPr>
                <w:sz w:val="1"/>
                <w:szCs w:val="1"/>
                <w:color w:val="auto"/>
              </w:rPr>
            </w:pPr>
          </w:p>
        </w:tc>
      </w:tr>
      <w:tr>
        <w:trPr>
          <w:trHeight w:val="203"/>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(13)</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with the SEC on May 1, 2017.</w:t>
            </w:r>
          </w:p>
        </w:tc>
        <w:tc>
          <w:tcPr>
            <w:tcW w:w="0" w:type="dxa"/>
            <w:vAlign w:val="bottom"/>
          </w:tcPr>
          <w:p>
            <w:pPr>
              <w:spacing w:after="0"/>
              <w:rPr>
                <w:sz w:val="1"/>
                <w:szCs w:val="1"/>
                <w:color w:val="auto"/>
              </w:rPr>
            </w:pPr>
          </w:p>
        </w:tc>
      </w:tr>
      <w:tr>
        <w:trPr>
          <w:trHeight w:val="203"/>
        </w:trPr>
        <w:tc>
          <w:tcPr>
            <w:tcW w:w="11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Quarterly Report on Form 10-Q, for the quarterly period ended June 30, 2017, filed</w:t>
            </w:r>
          </w:p>
        </w:tc>
        <w:tc>
          <w:tcPr>
            <w:tcW w:w="0" w:type="dxa"/>
            <w:vAlign w:val="bottom"/>
          </w:tcPr>
          <w:p>
            <w:pPr>
              <w:spacing w:after="0"/>
              <w:rPr>
                <w:sz w:val="1"/>
                <w:szCs w:val="1"/>
                <w:color w:val="auto"/>
              </w:rPr>
            </w:pPr>
          </w:p>
        </w:tc>
      </w:tr>
      <w:tr>
        <w:trPr>
          <w:trHeight w:val="203"/>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(14)</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with the SEC on July 31, 2017.</w:t>
            </w:r>
          </w:p>
        </w:tc>
        <w:tc>
          <w:tcPr>
            <w:tcW w:w="0" w:type="dxa"/>
            <w:vAlign w:val="bottom"/>
          </w:tcPr>
          <w:p>
            <w:pPr>
              <w:spacing w:after="0"/>
              <w:rPr>
                <w:sz w:val="1"/>
                <w:szCs w:val="1"/>
                <w:color w:val="auto"/>
              </w:rPr>
            </w:pPr>
          </w:p>
        </w:tc>
      </w:tr>
      <w:tr>
        <w:trPr>
          <w:trHeight w:val="202"/>
        </w:trPr>
        <w:tc>
          <w:tcPr>
            <w:tcW w:w="11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Current Report on Form 8-K, dated November 14, 2017.</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(15)</w:t>
            </w:r>
          </w:p>
        </w:tc>
        <w:tc>
          <w:tcPr>
            <w:tcW w:w="900" w:type="dxa"/>
            <w:vAlign w:val="bottom"/>
          </w:tcPr>
          <w:p>
            <w:pPr>
              <w:spacing w:after="0"/>
              <w:rPr>
                <w:sz w:val="17"/>
                <w:szCs w:val="17"/>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Current Report on Form 8-K, dated January 2, 2019.</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(16)</w:t>
            </w:r>
          </w:p>
        </w:tc>
        <w:tc>
          <w:tcPr>
            <w:tcW w:w="900" w:type="dxa"/>
            <w:vAlign w:val="bottom"/>
          </w:tcPr>
          <w:p>
            <w:pPr>
              <w:spacing w:after="0"/>
              <w:rPr>
                <w:sz w:val="19"/>
                <w:szCs w:val="19"/>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Incorporated by reference from exhibit filed on our Current Report on Form 8-K, dated February 12, 2018.</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None.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71" w:name="page72"/>
    <w:bookmarkEnd w:id="7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this 25</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day of February, 2019.</w:t>
      </w:r>
    </w:p>
    <w:p>
      <w:pPr>
        <w:spacing w:after="0" w:line="190"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color w:val="auto"/>
        </w:rPr>
        <w:t>HEALTHSTREAM, INC.</w:t>
      </w:r>
    </w:p>
    <w:p>
      <w:pPr>
        <w:spacing w:after="0" w:line="115"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color w:val="auto"/>
        </w:rPr>
        <w:t>By: /s/ 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7"/>
          <w:szCs w:val="17"/>
          <w:color w:val="auto"/>
        </w:rPr>
        <w:t xml:space="preserve"> A. F</w:t>
      </w:r>
      <w:r>
        <w:rPr>
          <w:rFonts w:ascii="Times New Roman" w:cs="Times New Roman" w:eastAsia="Times New Roman" w:hAnsi="Times New Roman"/>
          <w:sz w:val="13"/>
          <w:szCs w:val="13"/>
          <w:color w:val="auto"/>
        </w:rPr>
        <w:t>RIST</w:t>
      </w:r>
      <w:r>
        <w:rPr>
          <w:rFonts w:ascii="Times New Roman" w:cs="Times New Roman" w:eastAsia="Times New Roman" w:hAnsi="Times New Roman"/>
          <w:sz w:val="17"/>
          <w:szCs w:val="17"/>
          <w:color w:val="auto"/>
        </w:rPr>
        <w:t>, J</w:t>
      </w:r>
      <w:r>
        <w:rPr>
          <w:rFonts w:ascii="Times New Roman" w:cs="Times New Roman" w:eastAsia="Times New Roman" w:hAnsi="Times New Roman"/>
          <w:sz w:val="13"/>
          <w:szCs w:val="13"/>
          <w:color w:val="auto"/>
        </w:rPr>
        <w:t>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-6985</wp:posOffset>
            </wp:positionV>
            <wp:extent cx="17157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1715770" cy="8890"/>
                    </a:xfrm>
                    <a:prstGeom prst="rect">
                      <a:avLst/>
                    </a:prstGeom>
                    <a:noFill/>
                  </pic:spPr>
                </pic:pic>
              </a:graphicData>
            </a:graphic>
          </wp:anchor>
        </w:drawing>
      </w:r>
    </w:p>
    <w:p>
      <w:pPr>
        <w:spacing w:after="0" w:line="5"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color w:val="auto"/>
        </w:rPr>
        <w:t>Robert A. Frist, Jr.</w:t>
      </w:r>
    </w:p>
    <w:p>
      <w:pPr>
        <w:spacing w:after="0" w:line="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0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6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Title(s)</w:t>
            </w:r>
          </w:p>
        </w:tc>
        <w:tc>
          <w:tcPr>
            <w:tcW w:w="1820" w:type="dxa"/>
            <w:vAlign w:val="bottom"/>
          </w:tcPr>
          <w:p>
            <w:pPr>
              <w:spacing w:after="0"/>
              <w:rPr>
                <w:sz w:val="13"/>
                <w:szCs w:val="13"/>
                <w:color w:val="auto"/>
              </w:rPr>
            </w:pPr>
          </w:p>
        </w:tc>
        <w:tc>
          <w:tcPr>
            <w:tcW w:w="7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2"/>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7"/>
                <w:szCs w:val="17"/>
                <w:color w:val="auto"/>
              </w:rPr>
              <w:t xml:space="preserve"> A. F</w:t>
            </w:r>
            <w:r>
              <w:rPr>
                <w:rFonts w:ascii="Times New Roman" w:cs="Times New Roman" w:eastAsia="Times New Roman" w:hAnsi="Times New Roman"/>
                <w:sz w:val="13"/>
                <w:szCs w:val="13"/>
                <w:color w:val="auto"/>
              </w:rPr>
              <w:t>RIST</w:t>
            </w:r>
            <w:r>
              <w:rPr>
                <w:rFonts w:ascii="Times New Roman" w:cs="Times New Roman" w:eastAsia="Times New Roman" w:hAnsi="Times New Roman"/>
                <w:sz w:val="17"/>
                <w:szCs w:val="17"/>
                <w:color w:val="auto"/>
              </w:rPr>
              <w:t>, J</w:t>
            </w:r>
            <w:r>
              <w:rPr>
                <w:rFonts w:ascii="Times New Roman" w:cs="Times New Roman" w:eastAsia="Times New Roman" w:hAnsi="Times New Roman"/>
                <w:sz w:val="13"/>
                <w:szCs w:val="13"/>
                <w:color w:val="auto"/>
              </w:rPr>
              <w:t>R</w:t>
            </w:r>
            <w:r>
              <w:rPr>
                <w:rFonts w:ascii="Times New Roman" w:cs="Times New Roman" w:eastAsia="Times New Roman" w:hAnsi="Times New Roman"/>
                <w:sz w:val="17"/>
                <w:szCs w:val="17"/>
                <w:color w:val="auto"/>
              </w:rPr>
              <w:t>.</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Chief Executive Officer and</w:t>
            </w:r>
          </w:p>
        </w:tc>
        <w:tc>
          <w:tcPr>
            <w:tcW w:w="2580" w:type="dxa"/>
            <w:vAlign w:val="bottom"/>
            <w:gridSpan w:val="3"/>
          </w:tcPr>
          <w:p>
            <w:pPr>
              <w:jc w:val="center"/>
              <w:ind w:left="1235"/>
              <w:spacing w:after="0"/>
              <w:rPr>
                <w:sz w:val="20"/>
                <w:szCs w:val="20"/>
                <w:color w:val="auto"/>
              </w:rPr>
            </w:pPr>
            <w:r>
              <w:rPr>
                <w:rFonts w:ascii="Times New Roman" w:cs="Times New Roman" w:eastAsia="Times New Roman" w:hAnsi="Times New Roman"/>
                <w:sz w:val="17"/>
                <w:szCs w:val="17"/>
                <w:color w:val="auto"/>
              </w:rPr>
              <w:t>February 25, 2019</w:t>
            </w:r>
          </w:p>
        </w:tc>
      </w:tr>
      <w:tr>
        <w:trPr>
          <w:trHeight w:val="218"/>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Robert A. Frist, Jr.</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Chairman (Principal Executive Officer)</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89"/>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G</w:t>
            </w:r>
            <w:r>
              <w:rPr>
                <w:rFonts w:ascii="Times New Roman" w:cs="Times New Roman" w:eastAsia="Times New Roman" w:hAnsi="Times New Roman"/>
                <w:sz w:val="13"/>
                <w:szCs w:val="13"/>
                <w:color w:val="auto"/>
              </w:rPr>
              <w:t>ERARD</w:t>
            </w:r>
            <w:r>
              <w:rPr>
                <w:rFonts w:ascii="Times New Roman" w:cs="Times New Roman" w:eastAsia="Times New Roman" w:hAnsi="Times New Roman"/>
                <w:sz w:val="17"/>
                <w:szCs w:val="17"/>
                <w:color w:val="auto"/>
              </w:rPr>
              <w:t xml:space="preserve"> M. H</w:t>
            </w:r>
            <w:r>
              <w:rPr>
                <w:rFonts w:ascii="Times New Roman" w:cs="Times New Roman" w:eastAsia="Times New Roman" w:hAnsi="Times New Roman"/>
                <w:sz w:val="13"/>
                <w:szCs w:val="13"/>
                <w:color w:val="auto"/>
              </w:rPr>
              <w:t>AYDEN</w:t>
            </w:r>
            <w:r>
              <w:rPr>
                <w:rFonts w:ascii="Times New Roman" w:cs="Times New Roman" w:eastAsia="Times New Roman" w:hAnsi="Times New Roman"/>
                <w:sz w:val="17"/>
                <w:szCs w:val="17"/>
                <w:color w:val="auto"/>
              </w:rPr>
              <w:t>, J</w:t>
            </w:r>
            <w:r>
              <w:rPr>
                <w:rFonts w:ascii="Times New Roman" w:cs="Times New Roman" w:eastAsia="Times New Roman" w:hAnsi="Times New Roman"/>
                <w:sz w:val="13"/>
                <w:szCs w:val="13"/>
                <w:color w:val="auto"/>
              </w:rPr>
              <w:t>R</w:t>
            </w:r>
            <w:r>
              <w:rPr>
                <w:rFonts w:ascii="Times New Roman" w:cs="Times New Roman" w:eastAsia="Times New Roman" w:hAnsi="Times New Roman"/>
                <w:sz w:val="17"/>
                <w:szCs w:val="17"/>
                <w:color w:val="auto"/>
              </w:rPr>
              <w:t>.</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Chief Financial Officer and Senior Vice President</w:t>
            </w:r>
          </w:p>
        </w:tc>
        <w:tc>
          <w:tcPr>
            <w:tcW w:w="2580" w:type="dxa"/>
            <w:vAlign w:val="bottom"/>
            <w:gridSpan w:val="3"/>
          </w:tcPr>
          <w:p>
            <w:pPr>
              <w:jc w:val="center"/>
              <w:ind w:left="1235"/>
              <w:spacing w:after="0"/>
              <w:rPr>
                <w:sz w:val="20"/>
                <w:szCs w:val="20"/>
                <w:color w:val="auto"/>
              </w:rPr>
            </w:pPr>
            <w:r>
              <w:rPr>
                <w:rFonts w:ascii="Times New Roman" w:cs="Times New Roman" w:eastAsia="Times New Roman" w:hAnsi="Times New Roman"/>
                <w:sz w:val="17"/>
                <w:szCs w:val="17"/>
                <w:color w:val="auto"/>
              </w:rPr>
              <w:t>February 25, 2019</w:t>
            </w:r>
          </w:p>
        </w:tc>
      </w:tr>
      <w:tr>
        <w:trPr>
          <w:trHeight w:val="218"/>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Gerard M. Hayden, Jr.</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90"/>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T</w:t>
            </w:r>
            <w:r>
              <w:rPr>
                <w:rFonts w:ascii="Times New Roman" w:cs="Times New Roman" w:eastAsia="Times New Roman" w:hAnsi="Times New Roman"/>
                <w:sz w:val="13"/>
                <w:szCs w:val="13"/>
                <w:color w:val="auto"/>
              </w:rPr>
              <w:t>HOMPSON</w:t>
            </w:r>
            <w:r>
              <w:rPr>
                <w:rFonts w:ascii="Times New Roman" w:cs="Times New Roman" w:eastAsia="Times New Roman" w:hAnsi="Times New Roman"/>
                <w:sz w:val="17"/>
                <w:szCs w:val="17"/>
                <w:color w:val="auto"/>
              </w:rPr>
              <w:t xml:space="preserve"> D</w:t>
            </w:r>
            <w:r>
              <w:rPr>
                <w:rFonts w:ascii="Times New Roman" w:cs="Times New Roman" w:eastAsia="Times New Roman" w:hAnsi="Times New Roman"/>
                <w:sz w:val="13"/>
                <w:szCs w:val="13"/>
                <w:color w:val="auto"/>
              </w:rPr>
              <w:t>ENT</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1235"/>
              <w:spacing w:after="0"/>
              <w:rPr>
                <w:sz w:val="20"/>
                <w:szCs w:val="20"/>
                <w:color w:val="auto"/>
              </w:rPr>
            </w:pPr>
            <w:r>
              <w:rPr>
                <w:rFonts w:ascii="Times New Roman" w:cs="Times New Roman" w:eastAsia="Times New Roman" w:hAnsi="Times New Roman"/>
                <w:sz w:val="17"/>
                <w:szCs w:val="17"/>
                <w:color w:val="auto"/>
              </w:rPr>
              <w:t>February 25, 2019</w:t>
            </w:r>
          </w:p>
        </w:tc>
      </w:tr>
      <w:tr>
        <w:trPr>
          <w:trHeight w:val="217"/>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Thompson Dent</w:t>
            </w: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90"/>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F</w:t>
            </w:r>
            <w:r>
              <w:rPr>
                <w:rFonts w:ascii="Times New Roman" w:cs="Times New Roman" w:eastAsia="Times New Roman" w:hAnsi="Times New Roman"/>
                <w:sz w:val="13"/>
                <w:szCs w:val="13"/>
                <w:color w:val="auto"/>
              </w:rPr>
              <w:t>RANK</w:t>
            </w:r>
            <w:r>
              <w:rPr>
                <w:rFonts w:ascii="Times New Roman" w:cs="Times New Roman" w:eastAsia="Times New Roman" w:hAnsi="Times New Roman"/>
                <w:sz w:val="17"/>
                <w:szCs w:val="17"/>
                <w:color w:val="auto"/>
              </w:rPr>
              <w:t xml:space="preserve"> G</w:t>
            </w:r>
            <w:r>
              <w:rPr>
                <w:rFonts w:ascii="Times New Roman" w:cs="Times New Roman" w:eastAsia="Times New Roman" w:hAnsi="Times New Roman"/>
                <w:sz w:val="13"/>
                <w:szCs w:val="13"/>
                <w:color w:val="auto"/>
              </w:rPr>
              <w:t>ORDON</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1235"/>
              <w:spacing w:after="0"/>
              <w:rPr>
                <w:sz w:val="20"/>
                <w:szCs w:val="20"/>
                <w:color w:val="auto"/>
              </w:rPr>
            </w:pPr>
            <w:r>
              <w:rPr>
                <w:rFonts w:ascii="Times New Roman" w:cs="Times New Roman" w:eastAsia="Times New Roman" w:hAnsi="Times New Roman"/>
                <w:sz w:val="17"/>
                <w:szCs w:val="17"/>
                <w:color w:val="auto"/>
              </w:rPr>
              <w:t>February 25, 2019</w:t>
            </w:r>
          </w:p>
        </w:tc>
      </w:tr>
      <w:tr>
        <w:trPr>
          <w:trHeight w:val="217"/>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Frank Gordon</w:t>
            </w: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90"/>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C. M</w:t>
            </w:r>
            <w:r>
              <w:rPr>
                <w:rFonts w:ascii="Times New Roman" w:cs="Times New Roman" w:eastAsia="Times New Roman" w:hAnsi="Times New Roman"/>
                <w:sz w:val="13"/>
                <w:szCs w:val="13"/>
                <w:color w:val="auto"/>
              </w:rPr>
              <w:t>ARTIN</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ARRIS</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1235"/>
              <w:spacing w:after="0"/>
              <w:rPr>
                <w:sz w:val="20"/>
                <w:szCs w:val="20"/>
                <w:color w:val="auto"/>
              </w:rPr>
            </w:pPr>
            <w:r>
              <w:rPr>
                <w:rFonts w:ascii="Times New Roman" w:cs="Times New Roman" w:eastAsia="Times New Roman" w:hAnsi="Times New Roman"/>
                <w:sz w:val="17"/>
                <w:szCs w:val="17"/>
                <w:color w:val="auto"/>
              </w:rPr>
              <w:t>February 25, 2019</w:t>
            </w:r>
          </w:p>
        </w:tc>
      </w:tr>
      <w:tr>
        <w:trPr>
          <w:trHeight w:val="217"/>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 Martin Harris</w:t>
            </w: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90"/>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J</w:t>
            </w:r>
            <w:r>
              <w:rPr>
                <w:rFonts w:ascii="Times New Roman" w:cs="Times New Roman" w:eastAsia="Times New Roman" w:hAnsi="Times New Roman"/>
                <w:sz w:val="13"/>
                <w:szCs w:val="13"/>
                <w:color w:val="auto"/>
              </w:rPr>
              <w:t>EFFREY</w:t>
            </w:r>
            <w:r>
              <w:rPr>
                <w:rFonts w:ascii="Times New Roman" w:cs="Times New Roman" w:eastAsia="Times New Roman" w:hAnsi="Times New Roman"/>
                <w:sz w:val="17"/>
                <w:szCs w:val="17"/>
                <w:color w:val="auto"/>
              </w:rPr>
              <w:t xml:space="preserve"> L. M</w:t>
            </w:r>
            <w:r>
              <w:rPr>
                <w:rFonts w:ascii="Times New Roman" w:cs="Times New Roman" w:eastAsia="Times New Roman" w:hAnsi="Times New Roman"/>
                <w:sz w:val="13"/>
                <w:szCs w:val="13"/>
                <w:color w:val="auto"/>
              </w:rPr>
              <w:t>C</w:t>
            </w:r>
            <w:r>
              <w:rPr>
                <w:rFonts w:ascii="Times New Roman" w:cs="Times New Roman" w:eastAsia="Times New Roman" w:hAnsi="Times New Roman"/>
                <w:sz w:val="17"/>
                <w:szCs w:val="17"/>
                <w:color w:val="auto"/>
              </w:rPr>
              <w:t>L</w:t>
            </w:r>
            <w:r>
              <w:rPr>
                <w:rFonts w:ascii="Times New Roman" w:cs="Times New Roman" w:eastAsia="Times New Roman" w:hAnsi="Times New Roman"/>
                <w:sz w:val="13"/>
                <w:szCs w:val="13"/>
                <w:color w:val="auto"/>
              </w:rPr>
              <w:t>AREN</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1235"/>
              <w:spacing w:after="0"/>
              <w:rPr>
                <w:sz w:val="20"/>
                <w:szCs w:val="20"/>
                <w:color w:val="auto"/>
              </w:rPr>
            </w:pPr>
            <w:r>
              <w:rPr>
                <w:rFonts w:ascii="Times New Roman" w:cs="Times New Roman" w:eastAsia="Times New Roman" w:hAnsi="Times New Roman"/>
                <w:sz w:val="17"/>
                <w:szCs w:val="17"/>
                <w:color w:val="auto"/>
              </w:rPr>
              <w:t>February 25, 2019</w:t>
            </w:r>
          </w:p>
        </w:tc>
      </w:tr>
      <w:tr>
        <w:trPr>
          <w:trHeight w:val="217"/>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Jeffrey L. McLaren</w:t>
            </w: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90"/>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D</w:t>
            </w:r>
            <w:r>
              <w:rPr>
                <w:rFonts w:ascii="Times New Roman" w:cs="Times New Roman" w:eastAsia="Times New Roman" w:hAnsi="Times New Roman"/>
                <w:sz w:val="13"/>
                <w:szCs w:val="13"/>
                <w:color w:val="auto"/>
              </w:rPr>
              <w:t>ALE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3"/>
                <w:szCs w:val="13"/>
                <w:color w:val="auto"/>
              </w:rPr>
              <w:t>OLLEY</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1235"/>
              <w:spacing w:after="0"/>
              <w:rPr>
                <w:sz w:val="20"/>
                <w:szCs w:val="20"/>
                <w:color w:val="auto"/>
              </w:rPr>
            </w:pPr>
            <w:r>
              <w:rPr>
                <w:rFonts w:ascii="Times New Roman" w:cs="Times New Roman" w:eastAsia="Times New Roman" w:hAnsi="Times New Roman"/>
                <w:sz w:val="17"/>
                <w:szCs w:val="17"/>
                <w:color w:val="auto"/>
              </w:rPr>
              <w:t>February 25, 2019</w:t>
            </w:r>
          </w:p>
        </w:tc>
      </w:tr>
      <w:tr>
        <w:trPr>
          <w:trHeight w:val="217"/>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Dale Polley</w:t>
            </w: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90"/>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L</w:t>
            </w:r>
            <w:r>
              <w:rPr>
                <w:rFonts w:ascii="Times New Roman" w:cs="Times New Roman" w:eastAsia="Times New Roman" w:hAnsi="Times New Roman"/>
                <w:sz w:val="13"/>
                <w:szCs w:val="13"/>
                <w:color w:val="auto"/>
              </w:rPr>
              <w:t>INDA</w:t>
            </w:r>
            <w:r>
              <w:rPr>
                <w:rFonts w:ascii="Times New Roman" w:cs="Times New Roman" w:eastAsia="Times New Roman" w:hAnsi="Times New Roman"/>
                <w:sz w:val="17"/>
                <w:szCs w:val="17"/>
                <w:color w:val="auto"/>
              </w:rPr>
              <w:t xml:space="preserve"> R</w:t>
            </w:r>
            <w:r>
              <w:rPr>
                <w:rFonts w:ascii="Times New Roman" w:cs="Times New Roman" w:eastAsia="Times New Roman" w:hAnsi="Times New Roman"/>
                <w:sz w:val="13"/>
                <w:szCs w:val="13"/>
                <w:color w:val="auto"/>
              </w:rPr>
              <w:t>EBROVICK</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1235"/>
              <w:spacing w:after="0"/>
              <w:rPr>
                <w:sz w:val="20"/>
                <w:szCs w:val="20"/>
                <w:color w:val="auto"/>
              </w:rPr>
            </w:pPr>
            <w:r>
              <w:rPr>
                <w:rFonts w:ascii="Times New Roman" w:cs="Times New Roman" w:eastAsia="Times New Roman" w:hAnsi="Times New Roman"/>
                <w:sz w:val="17"/>
                <w:szCs w:val="17"/>
                <w:color w:val="auto"/>
              </w:rPr>
              <w:t>February 25, 2019</w:t>
            </w:r>
          </w:p>
        </w:tc>
      </w:tr>
      <w:tr>
        <w:trPr>
          <w:trHeight w:val="217"/>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Linda Rebrovick</w:t>
            </w: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90"/>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3"/>
                <w:szCs w:val="13"/>
                <w:color w:val="auto"/>
              </w:rPr>
              <w:t>HMERLING</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1235"/>
              <w:spacing w:after="0"/>
              <w:rPr>
                <w:sz w:val="20"/>
                <w:szCs w:val="20"/>
                <w:color w:val="auto"/>
              </w:rPr>
            </w:pPr>
            <w:r>
              <w:rPr>
                <w:rFonts w:ascii="Times New Roman" w:cs="Times New Roman" w:eastAsia="Times New Roman" w:hAnsi="Times New Roman"/>
                <w:sz w:val="17"/>
                <w:szCs w:val="17"/>
                <w:color w:val="auto"/>
              </w:rPr>
              <w:t>February 25, 2019</w:t>
            </w:r>
          </w:p>
        </w:tc>
      </w:tr>
      <w:tr>
        <w:trPr>
          <w:trHeight w:val="217"/>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Michael Shmerling</w:t>
            </w: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90"/>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W</w:t>
            </w:r>
            <w:r>
              <w:rPr>
                <w:rFonts w:ascii="Times New Roman" w:cs="Times New Roman" w:eastAsia="Times New Roman" w:hAnsi="Times New Roman"/>
                <w:sz w:val="13"/>
                <w:szCs w:val="13"/>
                <w:color w:val="auto"/>
              </w:rPr>
              <w:t>ILLIAM</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3"/>
                <w:szCs w:val="13"/>
                <w:color w:val="auto"/>
              </w:rPr>
              <w:t>TEAD</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1235"/>
              <w:spacing w:after="0"/>
              <w:rPr>
                <w:sz w:val="20"/>
                <w:szCs w:val="20"/>
                <w:color w:val="auto"/>
              </w:rPr>
            </w:pPr>
            <w:r>
              <w:rPr>
                <w:rFonts w:ascii="Times New Roman" w:cs="Times New Roman" w:eastAsia="Times New Roman" w:hAnsi="Times New Roman"/>
                <w:sz w:val="17"/>
                <w:szCs w:val="17"/>
                <w:color w:val="auto"/>
              </w:rPr>
              <w:t>February 25, 2019</w:t>
            </w:r>
          </w:p>
        </w:tc>
      </w:tr>
      <w:tr>
        <w:trPr>
          <w:trHeight w:val="217"/>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William Stead</w:t>
            </w: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90"/>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D</w:t>
            </w:r>
            <w:r>
              <w:rPr>
                <w:rFonts w:ascii="Times New Roman" w:cs="Times New Roman" w:eastAsia="Times New Roman" w:hAnsi="Times New Roman"/>
                <w:sz w:val="13"/>
                <w:szCs w:val="13"/>
                <w:color w:val="auto"/>
              </w:rPr>
              <w:t>EBORAH</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3"/>
                <w:szCs w:val="13"/>
                <w:color w:val="auto"/>
              </w:rPr>
              <w:t>AYLOR</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3"/>
                <w:szCs w:val="13"/>
                <w:color w:val="auto"/>
              </w:rPr>
              <w:t>ATE</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jc w:val="center"/>
              <w:ind w:left="1235"/>
              <w:spacing w:after="0"/>
              <w:rPr>
                <w:sz w:val="20"/>
                <w:szCs w:val="20"/>
                <w:color w:val="auto"/>
              </w:rPr>
            </w:pPr>
            <w:r>
              <w:rPr>
                <w:rFonts w:ascii="Times New Roman" w:cs="Times New Roman" w:eastAsia="Times New Roman" w:hAnsi="Times New Roman"/>
                <w:sz w:val="17"/>
                <w:szCs w:val="17"/>
                <w:color w:val="auto"/>
              </w:rPr>
              <w:t>February 25, 2019</w:t>
            </w:r>
          </w:p>
        </w:tc>
      </w:tr>
      <w:tr>
        <w:trPr>
          <w:trHeight w:val="217"/>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Deborah Taylor Tate</w:t>
            </w:r>
          </w:p>
        </w:tc>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263"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 (the Company)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Director and Executive Officer Compensation</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b w:val="1"/>
          <w:bCs w:val="1"/>
          <w:color w:val="auto"/>
        </w:rPr>
        <w:t>Director Compensation</w:t>
      </w:r>
      <w:r>
        <w:rPr>
          <w:rFonts w:ascii="Times New Roman" w:cs="Times New Roman" w:eastAsia="Times New Roman" w:hAnsi="Times New Roman"/>
          <w:sz w:val="17"/>
          <w:szCs w:val="17"/>
          <w:color w:val="auto"/>
        </w:rPr>
        <w:t>. Directors who are employees of the Company do not receive additional compensation for serving as directors of the Company. For fiscal year 2019, each director will receive an annual retainer of $5,000, except for the Audit Committee Chair and Nominating and Corporate Governance Chair, who will receive an additional annual retainer of $7,500, and the Compensation Committee Chair, who will receive an additional annual retainer of $2,000. Non-employee directors will also receive a $20,000 flat-fee, except for members of the Audit Committee who will receive $22,500, for board and committee meeting attendance and participation in lieu of per meeting fees.</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addition to the cash compensation set forth above, each non-employee director is eligible to receive a nondiscretionary annual grant of restricted share units. The restricted share units are granted annually and vest ratably over a three year period.</w:t>
      </w:r>
    </w:p>
    <w:p>
      <w:pPr>
        <w:spacing w:after="0" w:line="159" w:lineRule="exact"/>
        <w:rPr>
          <w:sz w:val="20"/>
          <w:szCs w:val="20"/>
          <w:color w:val="auto"/>
        </w:rPr>
      </w:pPr>
    </w:p>
    <w:p>
      <w:pPr>
        <w:ind w:right="20" w:firstLine="8"/>
        <w:spacing w:after="0" w:line="286" w:lineRule="auto"/>
        <w:tabs>
          <w:tab w:leader="none" w:pos="19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Executive Officer Compensation</w:t>
      </w:r>
      <w:r>
        <w:rPr>
          <w:rFonts w:ascii="Times New Roman" w:cs="Times New Roman" w:eastAsia="Times New Roman" w:hAnsi="Times New Roman"/>
          <w:sz w:val="17"/>
          <w:szCs w:val="17"/>
          <w:color w:val="auto"/>
        </w:rPr>
        <w:t>. The following table sets forth the current base salaries and fiscal 2018 performance bonuses provided to our executive officers,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individuals who the Company expects to be its Named Executive Officers for 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Executive Officer</w:t>
            </w:r>
          </w:p>
        </w:tc>
        <w:tc>
          <w:tcPr>
            <w:tcW w:w="3240" w:type="dxa"/>
            <w:vAlign w:val="bottom"/>
            <w:tcBorders>
              <w:bottom w:val="single" w:sz="8" w:color="auto"/>
            </w:tcBorders>
          </w:tcPr>
          <w:p>
            <w:pPr>
              <w:jc w:val="center"/>
              <w:ind w:left="502"/>
              <w:spacing w:after="0"/>
              <w:rPr>
                <w:sz w:val="20"/>
                <w:szCs w:val="20"/>
                <w:color w:val="auto"/>
              </w:rPr>
            </w:pPr>
            <w:r>
              <w:rPr>
                <w:rFonts w:ascii="Times New Roman" w:cs="Times New Roman" w:eastAsia="Times New Roman" w:hAnsi="Times New Roman"/>
                <w:sz w:val="17"/>
                <w:szCs w:val="17"/>
                <w:b w:val="1"/>
                <w:bCs w:val="1"/>
                <w:color w:val="auto"/>
              </w:rPr>
              <w:t>Current Base Salary</w:t>
            </w:r>
          </w:p>
        </w:tc>
        <w:tc>
          <w:tcPr>
            <w:tcW w:w="2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Fiscal 2018 Bonus Amount</w:t>
            </w:r>
          </w:p>
        </w:tc>
      </w:tr>
      <w:tr>
        <w:trPr>
          <w:trHeight w:val="175"/>
        </w:trPr>
        <w:tc>
          <w:tcPr>
            <w:tcW w:w="27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Robert A. Frist, Jr.</w:t>
            </w:r>
          </w:p>
        </w:tc>
        <w:tc>
          <w:tcPr>
            <w:tcW w:w="3240" w:type="dxa"/>
            <w:vAlign w:val="bottom"/>
          </w:tcPr>
          <w:p>
            <w:pPr>
              <w:jc w:val="center"/>
              <w:ind w:left="482"/>
              <w:spacing w:after="0" w:line="176" w:lineRule="exact"/>
              <w:rPr>
                <w:sz w:val="20"/>
                <w:szCs w:val="20"/>
                <w:color w:val="auto"/>
              </w:rPr>
            </w:pPr>
            <w:r>
              <w:rPr>
                <w:rFonts w:ascii="Times New Roman" w:cs="Times New Roman" w:eastAsia="Times New Roman" w:hAnsi="Times New Roman"/>
                <w:sz w:val="17"/>
                <w:szCs w:val="17"/>
                <w:color w:val="auto"/>
              </w:rPr>
              <w:t>$335,000</w:t>
            </w:r>
          </w:p>
        </w:tc>
        <w:tc>
          <w:tcPr>
            <w:tcW w:w="2840" w:type="dxa"/>
            <w:vAlign w:val="bottom"/>
          </w:tcPr>
          <w:p>
            <w:pPr>
              <w:jc w:val="center"/>
              <w:ind w:left="202"/>
              <w:spacing w:after="0" w:line="176" w:lineRule="exact"/>
              <w:rPr>
                <w:sz w:val="20"/>
                <w:szCs w:val="20"/>
                <w:color w:val="auto"/>
              </w:rPr>
            </w:pPr>
            <w:r>
              <w:rPr>
                <w:rFonts w:ascii="Times New Roman" w:cs="Times New Roman" w:eastAsia="Times New Roman" w:hAnsi="Times New Roman"/>
                <w:sz w:val="17"/>
                <w:szCs w:val="17"/>
                <w:color w:val="auto"/>
              </w:rPr>
              <w:t>$134,000</w:t>
            </w: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J. Edward Pearson</w:t>
            </w:r>
          </w:p>
        </w:tc>
        <w:tc>
          <w:tcPr>
            <w:tcW w:w="3240" w:type="dxa"/>
            <w:vAlign w:val="bottom"/>
          </w:tcPr>
          <w:p>
            <w:pPr>
              <w:jc w:val="center"/>
              <w:ind w:left="482"/>
              <w:spacing w:after="0"/>
              <w:rPr>
                <w:sz w:val="20"/>
                <w:szCs w:val="20"/>
                <w:color w:val="auto"/>
              </w:rPr>
            </w:pPr>
            <w:r>
              <w:rPr>
                <w:rFonts w:ascii="Times New Roman" w:cs="Times New Roman" w:eastAsia="Times New Roman" w:hAnsi="Times New Roman"/>
                <w:sz w:val="17"/>
                <w:szCs w:val="17"/>
                <w:color w:val="auto"/>
              </w:rPr>
              <w:t>$330,000</w:t>
            </w:r>
          </w:p>
        </w:tc>
        <w:tc>
          <w:tcPr>
            <w:tcW w:w="2840" w:type="dxa"/>
            <w:vAlign w:val="bottom"/>
          </w:tcPr>
          <w:p>
            <w:pPr>
              <w:jc w:val="center"/>
              <w:ind w:left="202"/>
              <w:spacing w:after="0"/>
              <w:rPr>
                <w:sz w:val="20"/>
                <w:szCs w:val="20"/>
                <w:color w:val="auto"/>
              </w:rPr>
            </w:pPr>
            <w:r>
              <w:rPr>
                <w:rFonts w:ascii="Times New Roman" w:cs="Times New Roman" w:eastAsia="Times New Roman" w:hAnsi="Times New Roman"/>
                <w:sz w:val="17"/>
                <w:szCs w:val="17"/>
                <w:color w:val="auto"/>
              </w:rPr>
              <w:t>$132,000</w:t>
            </w: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Michael Sousa</w:t>
            </w:r>
          </w:p>
        </w:tc>
        <w:tc>
          <w:tcPr>
            <w:tcW w:w="3240" w:type="dxa"/>
            <w:vAlign w:val="bottom"/>
          </w:tcPr>
          <w:p>
            <w:pPr>
              <w:jc w:val="center"/>
              <w:ind w:left="482"/>
              <w:spacing w:after="0"/>
              <w:rPr>
                <w:sz w:val="20"/>
                <w:szCs w:val="20"/>
                <w:color w:val="auto"/>
              </w:rPr>
            </w:pPr>
            <w:r>
              <w:rPr>
                <w:rFonts w:ascii="Times New Roman" w:cs="Times New Roman" w:eastAsia="Times New Roman" w:hAnsi="Times New Roman"/>
                <w:sz w:val="17"/>
                <w:szCs w:val="17"/>
                <w:color w:val="auto"/>
              </w:rPr>
              <w:t>$330,000</w:t>
            </w:r>
          </w:p>
        </w:tc>
        <w:tc>
          <w:tcPr>
            <w:tcW w:w="2840" w:type="dxa"/>
            <w:vAlign w:val="bottom"/>
          </w:tcPr>
          <w:p>
            <w:pPr>
              <w:jc w:val="center"/>
              <w:ind w:left="182"/>
              <w:spacing w:after="0"/>
              <w:rPr>
                <w:sz w:val="20"/>
                <w:szCs w:val="20"/>
                <w:color w:val="auto"/>
              </w:rPr>
            </w:pPr>
            <w:r>
              <w:rPr>
                <w:rFonts w:ascii="Times New Roman" w:cs="Times New Roman" w:eastAsia="Times New Roman" w:hAnsi="Times New Roman"/>
                <w:sz w:val="17"/>
                <w:szCs w:val="17"/>
                <w:color w:val="auto"/>
                <w:w w:val="97"/>
              </w:rPr>
              <w:t>$77,000</w:t>
            </w:r>
          </w:p>
        </w:tc>
      </w:tr>
      <w:tr>
        <w:trPr>
          <w:trHeight w:val="27"/>
        </w:trPr>
        <w:tc>
          <w:tcPr>
            <w:tcW w:w="2780" w:type="dxa"/>
            <w:vAlign w:val="bottom"/>
          </w:tcPr>
          <w:p>
            <w:pPr>
              <w:spacing w:after="0" w:line="28" w:lineRule="exact"/>
              <w:rPr>
                <w:sz w:val="20"/>
                <w:szCs w:val="20"/>
                <w:color w:val="auto"/>
              </w:rPr>
            </w:pPr>
            <w:r>
              <w:rPr>
                <w:rFonts w:ascii="Times New Roman" w:cs="Times New Roman" w:eastAsia="Times New Roman" w:hAnsi="Times New Roman"/>
                <w:sz w:val="3"/>
                <w:szCs w:val="3"/>
                <w:color w:val="auto"/>
              </w:rPr>
              <w:t>Gerard M. Hayden, Jr.</w:t>
            </w:r>
          </w:p>
        </w:tc>
        <w:tc>
          <w:tcPr>
            <w:tcW w:w="3240" w:type="dxa"/>
            <w:vAlign w:val="bottom"/>
          </w:tcPr>
          <w:p>
            <w:pPr>
              <w:jc w:val="center"/>
              <w:ind w:left="482"/>
              <w:spacing w:after="0" w:line="28" w:lineRule="exact"/>
              <w:rPr>
                <w:sz w:val="20"/>
                <w:szCs w:val="20"/>
                <w:color w:val="auto"/>
              </w:rPr>
            </w:pPr>
            <w:r>
              <w:rPr>
                <w:rFonts w:ascii="Times New Roman" w:cs="Times New Roman" w:eastAsia="Times New Roman" w:hAnsi="Times New Roman"/>
                <w:sz w:val="3"/>
                <w:szCs w:val="3"/>
                <w:color w:val="auto"/>
              </w:rPr>
              <w:t>$288,000</w:t>
            </w:r>
          </w:p>
        </w:tc>
        <w:tc>
          <w:tcPr>
            <w:tcW w:w="2840" w:type="dxa"/>
            <w:vAlign w:val="bottom"/>
          </w:tcPr>
          <w:p>
            <w:pPr>
              <w:jc w:val="center"/>
              <w:ind w:left="182"/>
              <w:spacing w:after="0" w:line="28" w:lineRule="exact"/>
              <w:rPr>
                <w:sz w:val="20"/>
                <w:szCs w:val="20"/>
                <w:color w:val="auto"/>
              </w:rPr>
            </w:pPr>
            <w:r>
              <w:rPr>
                <w:rFonts w:ascii="Times New Roman" w:cs="Times New Roman" w:eastAsia="Times New Roman" w:hAnsi="Times New Roman"/>
                <w:sz w:val="3"/>
                <w:szCs w:val="3"/>
                <w:color w:val="auto"/>
              </w:rPr>
              <w:t>$86,000</w:t>
            </w:r>
          </w:p>
        </w:tc>
      </w:tr>
      <w:tr>
        <w:trPr>
          <w:trHeight w:val="175"/>
        </w:trPr>
        <w:tc>
          <w:tcPr>
            <w:tcW w:w="2780" w:type="dxa"/>
            <w:vAlign w:val="bottom"/>
          </w:tcPr>
          <w:p>
            <w:pPr>
              <w:ind w:left="1540"/>
              <w:spacing w:after="0"/>
              <w:rPr>
                <w:sz w:val="20"/>
                <w:szCs w:val="20"/>
                <w:color w:val="auto"/>
              </w:rPr>
            </w:pPr>
            <w:r>
              <w:rPr>
                <w:rFonts w:ascii="Times New Roman" w:cs="Times New Roman" w:eastAsia="Times New Roman" w:hAnsi="Times New Roman"/>
                <w:sz w:val="15"/>
                <w:szCs w:val="15"/>
                <w:color w:val="auto"/>
              </w:rPr>
              <w:t>1</w:t>
            </w:r>
          </w:p>
        </w:tc>
        <w:tc>
          <w:tcPr>
            <w:tcW w:w="324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Jeffrey D. Cunningham</w:t>
            </w:r>
          </w:p>
        </w:tc>
        <w:tc>
          <w:tcPr>
            <w:tcW w:w="3240" w:type="dxa"/>
            <w:vAlign w:val="bottom"/>
          </w:tcPr>
          <w:p>
            <w:pPr>
              <w:jc w:val="center"/>
              <w:ind w:left="482"/>
              <w:spacing w:after="0"/>
              <w:rPr>
                <w:sz w:val="20"/>
                <w:szCs w:val="20"/>
                <w:color w:val="auto"/>
              </w:rPr>
            </w:pPr>
            <w:r>
              <w:rPr>
                <w:rFonts w:ascii="Times New Roman" w:cs="Times New Roman" w:eastAsia="Times New Roman" w:hAnsi="Times New Roman"/>
                <w:sz w:val="17"/>
                <w:szCs w:val="17"/>
                <w:color w:val="auto"/>
              </w:rPr>
              <w:t>$284,000</w:t>
            </w:r>
          </w:p>
        </w:tc>
        <w:tc>
          <w:tcPr>
            <w:tcW w:w="2840" w:type="dxa"/>
            <w:vAlign w:val="bottom"/>
          </w:tcPr>
          <w:p>
            <w:pPr>
              <w:jc w:val="center"/>
              <w:ind w:left="182"/>
              <w:spacing w:after="0"/>
              <w:rPr>
                <w:sz w:val="20"/>
                <w:szCs w:val="20"/>
                <w:color w:val="auto"/>
              </w:rPr>
            </w:pPr>
            <w:r>
              <w:rPr>
                <w:rFonts w:ascii="Times New Roman" w:cs="Times New Roman" w:eastAsia="Times New Roman" w:hAnsi="Times New Roman"/>
                <w:sz w:val="17"/>
                <w:szCs w:val="17"/>
                <w:color w:val="auto"/>
                <w:w w:val="97"/>
              </w:rPr>
              <w:t>$85,000</w:t>
            </w: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Michael M. Collier</w:t>
            </w:r>
          </w:p>
        </w:tc>
        <w:tc>
          <w:tcPr>
            <w:tcW w:w="3240" w:type="dxa"/>
            <w:vAlign w:val="bottom"/>
          </w:tcPr>
          <w:p>
            <w:pPr>
              <w:jc w:val="center"/>
              <w:ind w:left="482"/>
              <w:spacing w:after="0"/>
              <w:rPr>
                <w:sz w:val="20"/>
                <w:szCs w:val="20"/>
                <w:color w:val="auto"/>
              </w:rPr>
            </w:pPr>
            <w:r>
              <w:rPr>
                <w:rFonts w:ascii="Times New Roman" w:cs="Times New Roman" w:eastAsia="Times New Roman" w:hAnsi="Times New Roman"/>
                <w:sz w:val="17"/>
                <w:szCs w:val="17"/>
                <w:color w:val="auto"/>
              </w:rPr>
              <w:t>$265,000</w:t>
            </w:r>
          </w:p>
        </w:tc>
        <w:tc>
          <w:tcPr>
            <w:tcW w:w="2840" w:type="dxa"/>
            <w:vAlign w:val="bottom"/>
          </w:tcPr>
          <w:p>
            <w:pPr>
              <w:jc w:val="center"/>
              <w:ind w:left="182"/>
              <w:spacing w:after="0"/>
              <w:rPr>
                <w:sz w:val="20"/>
                <w:szCs w:val="20"/>
                <w:color w:val="auto"/>
              </w:rPr>
            </w:pPr>
            <w:r>
              <w:rPr>
                <w:rFonts w:ascii="Times New Roman" w:cs="Times New Roman" w:eastAsia="Times New Roman" w:hAnsi="Times New Roman"/>
                <w:sz w:val="17"/>
                <w:szCs w:val="17"/>
                <w:color w:val="auto"/>
                <w:w w:val="97"/>
              </w:rPr>
              <w:t>$80,000</w:t>
            </w: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Trisha L. Coady</w:t>
            </w:r>
          </w:p>
        </w:tc>
        <w:tc>
          <w:tcPr>
            <w:tcW w:w="3240" w:type="dxa"/>
            <w:vAlign w:val="bottom"/>
          </w:tcPr>
          <w:p>
            <w:pPr>
              <w:jc w:val="center"/>
              <w:ind w:left="482"/>
              <w:spacing w:after="0"/>
              <w:rPr>
                <w:sz w:val="20"/>
                <w:szCs w:val="20"/>
                <w:color w:val="auto"/>
              </w:rPr>
            </w:pPr>
            <w:r>
              <w:rPr>
                <w:rFonts w:ascii="Times New Roman" w:cs="Times New Roman" w:eastAsia="Times New Roman" w:hAnsi="Times New Roman"/>
                <w:sz w:val="17"/>
                <w:szCs w:val="17"/>
                <w:color w:val="auto"/>
              </w:rPr>
              <w:t>$250,000</w:t>
            </w:r>
          </w:p>
        </w:tc>
        <w:tc>
          <w:tcPr>
            <w:tcW w:w="2840" w:type="dxa"/>
            <w:vAlign w:val="bottom"/>
          </w:tcPr>
          <w:p>
            <w:pPr>
              <w:jc w:val="center"/>
              <w:ind w:left="182"/>
              <w:spacing w:after="0"/>
              <w:rPr>
                <w:sz w:val="20"/>
                <w:szCs w:val="20"/>
                <w:color w:val="auto"/>
              </w:rPr>
            </w:pPr>
            <w:r>
              <w:rPr>
                <w:rFonts w:ascii="Times New Roman" w:cs="Times New Roman" w:eastAsia="Times New Roman" w:hAnsi="Times New Roman"/>
                <w:sz w:val="17"/>
                <w:szCs w:val="17"/>
                <w:color w:val="auto"/>
                <w:w w:val="97"/>
              </w:rPr>
              <w:t>$40,000</w:t>
            </w:r>
          </w:p>
        </w:tc>
      </w:tr>
      <w:tr>
        <w:trPr>
          <w:trHeight w:val="222"/>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 Scott McQuigg</w:t>
            </w:r>
          </w:p>
        </w:tc>
        <w:tc>
          <w:tcPr>
            <w:tcW w:w="3240" w:type="dxa"/>
            <w:vAlign w:val="bottom"/>
          </w:tcPr>
          <w:p>
            <w:pPr>
              <w:jc w:val="center"/>
              <w:ind w:left="482"/>
              <w:spacing w:after="0"/>
              <w:rPr>
                <w:sz w:val="20"/>
                <w:szCs w:val="20"/>
                <w:color w:val="auto"/>
              </w:rPr>
            </w:pPr>
            <w:r>
              <w:rPr>
                <w:rFonts w:ascii="Times New Roman" w:cs="Times New Roman" w:eastAsia="Times New Roman" w:hAnsi="Times New Roman"/>
                <w:sz w:val="17"/>
                <w:szCs w:val="17"/>
                <w:color w:val="auto"/>
              </w:rPr>
              <w:t>$250,000</w:t>
            </w:r>
          </w:p>
        </w:tc>
        <w:tc>
          <w:tcPr>
            <w:tcW w:w="2840" w:type="dxa"/>
            <w:vAlign w:val="bottom"/>
          </w:tcPr>
          <w:p>
            <w:pPr>
              <w:jc w:val="center"/>
              <w:ind w:left="182"/>
              <w:spacing w:after="0"/>
              <w:rPr>
                <w:sz w:val="20"/>
                <w:szCs w:val="20"/>
                <w:color w:val="auto"/>
              </w:rPr>
            </w:pPr>
            <w:r>
              <w:rPr>
                <w:rFonts w:ascii="Times New Roman" w:cs="Times New Roman" w:eastAsia="Times New Roman" w:hAnsi="Times New Roman"/>
                <w:sz w:val="17"/>
                <w:szCs w:val="17"/>
                <w:color w:val="auto"/>
                <w:w w:val="97"/>
              </w:rPr>
              <w:t>$ -</w:t>
            </w:r>
          </w:p>
        </w:tc>
      </w:tr>
    </w:tbl>
    <w:p>
      <w:pPr>
        <w:spacing w:after="0" w:line="19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Base salary adjustments for 2019, bonus targets for 2019 cash bonuses, and 2019 equity grants for executive officers have not yet been determined by the Compensation Committee.</w:t>
      </w:r>
    </w:p>
    <w:p>
      <w:pPr>
        <w:spacing w:after="0" w:line="159" w:lineRule="exact"/>
        <w:rPr>
          <w:sz w:val="20"/>
          <w:szCs w:val="20"/>
          <w:color w:val="auto"/>
        </w:rPr>
      </w:pPr>
    </w:p>
    <w:p>
      <w:pPr>
        <w:ind w:firstLine="8"/>
        <w:spacing w:after="0" w:line="286" w:lineRule="auto"/>
        <w:tabs>
          <w:tab w:leader="none" w:pos="31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Additional Information</w:t>
      </w:r>
      <w:r>
        <w:rPr>
          <w:rFonts w:ascii="Times New Roman" w:cs="Times New Roman" w:eastAsia="Times New Roman" w:hAnsi="Times New Roman"/>
          <w:sz w:val="17"/>
          <w:szCs w:val="17"/>
          <w:color w:val="auto"/>
        </w:rPr>
        <w:t>. The foregoing information is summary in nature. Additional information regarding Director and Named Executive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will be contained in the Company’s 2019 Proxy Statement.</w:t>
      </w:r>
    </w:p>
    <w:p>
      <w:pPr>
        <w:spacing w:after="0" w:line="348" w:lineRule="exact"/>
        <w:rPr>
          <w:sz w:val="20"/>
          <w:szCs w:val="20"/>
          <w:color w:val="auto"/>
        </w:rPr>
      </w:pPr>
    </w:p>
    <w:p>
      <w:pPr>
        <w:ind w:left="140" w:right="20" w:hanging="134"/>
        <w:spacing w:after="0" w:line="281" w:lineRule="auto"/>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As previously disclosed on the Current Report on Form 8-K filed by us on October 22, 2018, Mr. Hayden intends to resign as an officer of the Company following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the filing of our 2018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14490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7"/>
          <w:szCs w:val="17"/>
          <w:color w:val="auto"/>
        </w:rPr>
        <w:t>EXHIBIT 10.18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2018 Executive and Corporate Management Cash Incentive Bonus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7" w:lineRule="exact"/>
        <w:rPr>
          <w:sz w:val="20"/>
          <w:szCs w:val="20"/>
          <w:color w:val="auto"/>
        </w:rPr>
      </w:pPr>
    </w:p>
    <w:p>
      <w:pPr>
        <w:jc w:val="both"/>
        <w:ind w:firstLine="877"/>
        <w:spacing w:after="0" w:line="254" w:lineRule="auto"/>
        <w:rPr>
          <w:sz w:val="20"/>
          <w:szCs w:val="20"/>
          <w:color w:val="auto"/>
        </w:rPr>
      </w:pPr>
      <w:r>
        <w:rPr>
          <w:rFonts w:ascii="Times New Roman" w:cs="Times New Roman" w:eastAsia="Times New Roman" w:hAnsi="Times New Roman"/>
          <w:sz w:val="17"/>
          <w:szCs w:val="17"/>
          <w:color w:val="auto"/>
        </w:rPr>
        <w:t>Pursuant to the HealthStream, Inc. 2016 Omnibus Incentive Plan, the Compensation Committee (the “Committee”) of the Board of Directors of HealthStream, Inc. (the “Company”) hereby establishes this 2018 Executive and Corporate Management Cash Incentive Bonus Plan (the “Plan”). The Plan is the cash-based, short-term incentive portion of HealthStream's incentive compensation structure for certain executive officers, as well as the vice presidents, associate vice presidents, and directors who are assigned to a corporate function, as opposed to a business unit specific function (such individuals referred to collectively as “Management”). The purpose of the Plan is to specify appropriate opportunities to earn a cash bonus with respect to the Company’s 2018 fiscal year in order to reward Management for the Company’s financial performance during fiscal year 2018 and to further align their interests with those of the shareholders of the Company.</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23" w:lineRule="exact"/>
        <w:rPr>
          <w:sz w:val="20"/>
          <w:szCs w:val="20"/>
          <w:color w:val="auto"/>
        </w:rPr>
      </w:pPr>
    </w:p>
    <w:p>
      <w:pPr>
        <w:ind w:left="1300" w:hanging="428"/>
        <w:spacing w:after="0"/>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Actual Operating Income before bonuses </w:t>
      </w:r>
      <w:r>
        <w:rPr>
          <w:rFonts w:ascii="Times New Roman" w:cs="Times New Roman" w:eastAsia="Times New Roman" w:hAnsi="Times New Roman"/>
          <w:sz w:val="17"/>
          <w:szCs w:val="17"/>
          <w:color w:val="auto"/>
        </w:rPr>
        <w:t>– The Company’s Operating Income achieved in fiscal 2018, excluding bonuses.</w:t>
      </w:r>
    </w:p>
    <w:p>
      <w:pPr>
        <w:spacing w:after="0" w:line="223" w:lineRule="exact"/>
        <w:rPr>
          <w:rFonts w:ascii="Times New Roman" w:cs="Times New Roman" w:eastAsia="Times New Roman" w:hAnsi="Times New Roman"/>
          <w:sz w:val="17"/>
          <w:szCs w:val="17"/>
          <w:color w:val="auto"/>
        </w:rPr>
      </w:pPr>
    </w:p>
    <w:p>
      <w:pPr>
        <w:ind w:left="1300" w:hanging="428"/>
        <w:spacing w:after="0"/>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Annual Bonus </w:t>
      </w:r>
      <w:r>
        <w:rPr>
          <w:rFonts w:ascii="Times New Roman" w:cs="Times New Roman" w:eastAsia="Times New Roman" w:hAnsi="Times New Roman"/>
          <w:sz w:val="17"/>
          <w:szCs w:val="17"/>
          <w:color w:val="auto"/>
        </w:rPr>
        <w:t>– The annual bonus paid to Management after the Committee determines the applicable financial measure has been achieved.</w:t>
      </w:r>
    </w:p>
    <w:p>
      <w:pPr>
        <w:spacing w:after="0" w:line="223" w:lineRule="exact"/>
        <w:rPr>
          <w:rFonts w:ascii="Times New Roman" w:cs="Times New Roman" w:eastAsia="Times New Roman" w:hAnsi="Times New Roman"/>
          <w:sz w:val="17"/>
          <w:szCs w:val="17"/>
          <w:color w:val="auto"/>
        </w:rPr>
      </w:pPr>
    </w:p>
    <w:p>
      <w:pPr>
        <w:ind w:left="1300" w:hanging="428"/>
        <w:spacing w:after="0"/>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Incremental Operating Income </w:t>
      </w:r>
      <w:r>
        <w:rPr>
          <w:rFonts w:ascii="Times New Roman" w:cs="Times New Roman" w:eastAsia="Times New Roman" w:hAnsi="Times New Roman"/>
          <w:sz w:val="17"/>
          <w:szCs w:val="17"/>
          <w:color w:val="auto"/>
        </w:rPr>
        <w:t>- Actual Operating Income before bonuses less Target Operating Income.</w:t>
      </w:r>
    </w:p>
    <w:p>
      <w:pPr>
        <w:spacing w:after="0" w:line="223" w:lineRule="exact"/>
        <w:rPr>
          <w:rFonts w:ascii="Times New Roman" w:cs="Times New Roman" w:eastAsia="Times New Roman" w:hAnsi="Times New Roman"/>
          <w:sz w:val="17"/>
          <w:szCs w:val="17"/>
          <w:color w:val="auto"/>
        </w:rPr>
      </w:pPr>
    </w:p>
    <w:p>
      <w:pPr>
        <w:jc w:val="both"/>
        <w:ind w:left="1300" w:hanging="428"/>
        <w:spacing w:after="0" w:line="258"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 The Company’s operating income for the 2018 fiscal year calculated in accordance with generally accepted accounting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principles under ASC 606 and consistent with the Company’s past practice and presented in the Company’s audited financial statements, provided the following expenses are excluded from the calculation of Operating Income: acquisition and divestiture expenses for transactions within the calendar year and operating income (loss) from acquisitions and divestitures consummated during the calendar year (the “Excluded Expenses”). The Committee has the negative discretion to include the Excluded Expenses in the calculation of Operating Income.</w:t>
      </w:r>
    </w:p>
    <w:p>
      <w:pPr>
        <w:spacing w:after="0" w:line="178" w:lineRule="exact"/>
        <w:rPr>
          <w:rFonts w:ascii="Times New Roman" w:cs="Times New Roman" w:eastAsia="Times New Roman" w:hAnsi="Times New Roman"/>
          <w:sz w:val="17"/>
          <w:szCs w:val="17"/>
          <w:color w:val="auto"/>
        </w:rPr>
      </w:pPr>
    </w:p>
    <w:p>
      <w:pPr>
        <w:ind w:left="1300" w:hanging="428"/>
        <w:spacing w:after="0" w:line="286"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Target Operating Income </w:t>
      </w:r>
      <w:r>
        <w:rPr>
          <w:rFonts w:ascii="Times New Roman" w:cs="Times New Roman" w:eastAsia="Times New Roman" w:hAnsi="Times New Roman"/>
          <w:sz w:val="17"/>
          <w:szCs w:val="17"/>
          <w:color w:val="auto"/>
        </w:rPr>
        <w:t>– Operating Income for the 2018 fiscal year in an amount established by the Committee by resolution within the first 90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days of the Company’s 2018 fiscal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2018 Financial Measure and Plan Principles:</w:t>
      </w:r>
    </w:p>
    <w:p>
      <w:pPr>
        <w:spacing w:after="0" w:line="223"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financial measure for 2018 is Operating Income </w:t>
      </w:r>
      <w:r>
        <w:rPr>
          <w:rFonts w:ascii="Times New Roman" w:cs="Times New Roman" w:eastAsia="Times New Roman" w:hAnsi="Times New Roman"/>
          <w:sz w:val="17"/>
          <w:szCs w:val="17"/>
          <w:color w:val="auto"/>
        </w:rPr>
        <w:t>- Operating Income will be the financial measure for 2018.</w:t>
      </w:r>
    </w:p>
    <w:p>
      <w:pPr>
        <w:spacing w:after="0" w:line="223" w:lineRule="exact"/>
        <w:rPr>
          <w:rFonts w:ascii="Times New Roman" w:cs="Times New Roman" w:eastAsia="Times New Roman" w:hAnsi="Times New Roman"/>
          <w:sz w:val="17"/>
          <w:szCs w:val="17"/>
          <w:color w:val="auto"/>
        </w:rPr>
      </w:pPr>
    </w:p>
    <w:p>
      <w:pPr>
        <w:ind w:left="880" w:right="20" w:hanging="440"/>
        <w:spacing w:after="0" w:line="286" w:lineRule="auto"/>
        <w:tabs>
          <w:tab w:leader="none" w:pos="8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Annual Bonus is funded by Incremental Operating Income </w:t>
      </w:r>
      <w:r>
        <w:rPr>
          <w:rFonts w:ascii="Times New Roman" w:cs="Times New Roman" w:eastAsia="Times New Roman" w:hAnsi="Times New Roman"/>
          <w:sz w:val="17"/>
          <w:szCs w:val="17"/>
          <w:color w:val="auto"/>
        </w:rPr>
        <w:t>- The Annual Bonus will be earned from the amount of Incremental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Eligibility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groups are eligible for participation in the Plan:</w:t>
      </w:r>
    </w:p>
    <w:p>
      <w:pPr>
        <w:spacing w:after="0" w:line="219" w:lineRule="exact"/>
        <w:rPr>
          <w:sz w:val="20"/>
          <w:szCs w:val="20"/>
          <w:color w:val="auto"/>
        </w:rPr>
      </w:pPr>
    </w:p>
    <w:p>
      <w:pPr>
        <w:jc w:val="both"/>
        <w:ind w:left="1740" w:hanging="868"/>
        <w:spacing w:after="0" w:line="261" w:lineRule="auto"/>
        <w:tabs>
          <w:tab w:leader="none" w:pos="17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Executive Team </w:t>
      </w:r>
      <w:r>
        <w:rPr>
          <w:rFonts w:ascii="Times New Roman" w:cs="Times New Roman" w:eastAsia="Times New Roman" w:hAnsi="Times New Roman"/>
          <w:sz w:val="17"/>
          <w:szCs w:val="17"/>
          <w:color w:val="auto"/>
        </w:rPr>
        <w:t>– The maximum Annual Bonus that Executive Team members, other than the Chief Executive Officer of HealthStream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President &amp; Chief Operating Officer of HealthStream, shall be eligible to receive under the Plan shall be an amount equal to 30% of such member’s base salary; provided the CEO and the President &amp; COO shall be eligible to receive an amount equal to 40% of their base salary. Unless otherwise excluded below, the Executive Team eligible for participation includes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4" w:name="page75"/>
    <w:bookmarkEnd w:id="74"/>
    <w:p>
      <w:pPr>
        <w:ind w:left="1740"/>
        <w:spacing w:after="0"/>
        <w:rPr>
          <w:sz w:val="20"/>
          <w:szCs w:val="20"/>
          <w:color w:val="auto"/>
        </w:rPr>
      </w:pPr>
      <w:r>
        <w:rPr>
          <w:rFonts w:ascii="Times New Roman" w:cs="Times New Roman" w:eastAsia="Times New Roman" w:hAnsi="Times New Roman"/>
          <w:sz w:val="17"/>
          <w:szCs w:val="17"/>
          <w:color w:val="auto"/>
        </w:rPr>
        <w:t>Chief Executive Officer, President &amp; Chief Operating Officer, and Senior Vice Presidents of the Company.</w:t>
      </w:r>
    </w:p>
    <w:p>
      <w:pPr>
        <w:spacing w:after="0" w:line="219" w:lineRule="exact"/>
        <w:rPr>
          <w:sz w:val="20"/>
          <w:szCs w:val="20"/>
          <w:color w:val="auto"/>
        </w:rPr>
      </w:pPr>
    </w:p>
    <w:p>
      <w:pPr>
        <w:jc w:val="both"/>
        <w:ind w:left="1740" w:hanging="868"/>
        <w:spacing w:after="0" w:line="267" w:lineRule="auto"/>
        <w:tabs>
          <w:tab w:leader="none" w:pos="17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Leadership Team (Vice Presidents and Associate Vice Presidents) </w:t>
      </w:r>
      <w:r>
        <w:rPr>
          <w:rFonts w:ascii="Times New Roman" w:cs="Times New Roman" w:eastAsia="Times New Roman" w:hAnsi="Times New Roman"/>
          <w:sz w:val="17"/>
          <w:szCs w:val="17"/>
          <w:color w:val="auto"/>
        </w:rPr>
        <w:t>– The maximum Annual Bonus that Vice Presidents and Associate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Vice Presidents of the Business Unit shall be eligible to receive under the Plan shall be an amount equal to 16% of such Vice President or Associate Vice President’s base salary.</w:t>
      </w:r>
    </w:p>
    <w:p>
      <w:pPr>
        <w:spacing w:after="0" w:line="171" w:lineRule="exact"/>
        <w:rPr>
          <w:rFonts w:ascii="Times New Roman" w:cs="Times New Roman" w:eastAsia="Times New Roman" w:hAnsi="Times New Roman"/>
          <w:sz w:val="17"/>
          <w:szCs w:val="17"/>
          <w:color w:val="auto"/>
        </w:rPr>
      </w:pPr>
    </w:p>
    <w:p>
      <w:pPr>
        <w:jc w:val="both"/>
        <w:ind w:left="1740" w:hanging="868"/>
        <w:spacing w:after="0" w:line="267" w:lineRule="auto"/>
        <w:tabs>
          <w:tab w:leader="none" w:pos="17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Directors </w:t>
      </w:r>
      <w:r>
        <w:rPr>
          <w:rFonts w:ascii="Times New Roman" w:cs="Times New Roman" w:eastAsia="Times New Roman" w:hAnsi="Times New Roman"/>
          <w:sz w:val="17"/>
          <w:szCs w:val="17"/>
          <w:color w:val="auto"/>
        </w:rPr>
        <w:t>- The maximum Annual Bonus that Directors of the Business Unit shall be eligible to receive under the Plan shall be an amount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equal to 4% of such Director’s base salary. For purposes of clarity, Directors do not include members of the Board of Directors, but are management-level employees of the Company.</w:t>
      </w:r>
    </w:p>
    <w:p>
      <w:pPr>
        <w:spacing w:after="0" w:line="171" w:lineRule="exact"/>
        <w:rPr>
          <w:rFonts w:ascii="Times New Roman" w:cs="Times New Roman" w:eastAsia="Times New Roman" w:hAnsi="Times New Roman"/>
          <w:sz w:val="17"/>
          <w:szCs w:val="17"/>
          <w:color w:val="auto"/>
        </w:rPr>
      </w:pPr>
    </w:p>
    <w:p>
      <w:pPr>
        <w:jc w:val="both"/>
        <w:ind w:left="1740" w:hanging="868"/>
        <w:spacing w:after="0" w:line="261" w:lineRule="auto"/>
        <w:tabs>
          <w:tab w:leader="none" w:pos="17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Employment Requirements </w:t>
      </w:r>
      <w:r>
        <w:rPr>
          <w:rFonts w:ascii="Times New Roman" w:cs="Times New Roman" w:eastAsia="Times New Roman" w:hAnsi="Times New Roman"/>
          <w:sz w:val="17"/>
          <w:szCs w:val="17"/>
          <w:color w:val="auto"/>
        </w:rPr>
        <w:t>– Participants in the Plan who were employed with the Company through December 31, 2018 shall be eligible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receive bonus payments, if any, under the Plan regardless of whether such employees are employed on the date such payments are actually made. Notwithstanding the foregoing, in the case of death or disability, the participant’s pro rata share from January 1, 2018 through the date of participant’s death or disability shall be awarded.</w:t>
      </w:r>
    </w:p>
    <w:p>
      <w:pPr>
        <w:spacing w:after="0" w:line="176" w:lineRule="exact"/>
        <w:rPr>
          <w:rFonts w:ascii="Times New Roman" w:cs="Times New Roman" w:eastAsia="Times New Roman" w:hAnsi="Times New Roman"/>
          <w:sz w:val="17"/>
          <w:szCs w:val="17"/>
          <w:color w:val="auto"/>
        </w:rPr>
      </w:pPr>
    </w:p>
    <w:p>
      <w:pPr>
        <w:jc w:val="both"/>
        <w:ind w:left="1740" w:hanging="868"/>
        <w:spacing w:after="0" w:line="261" w:lineRule="auto"/>
        <w:tabs>
          <w:tab w:leader="none" w:pos="17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Exclusions </w:t>
      </w:r>
      <w:r>
        <w:rPr>
          <w:rFonts w:ascii="Times New Roman" w:cs="Times New Roman" w:eastAsia="Times New Roman" w:hAnsi="Times New Roman"/>
          <w:sz w:val="17"/>
          <w:szCs w:val="17"/>
          <w:color w:val="auto"/>
        </w:rPr>
        <w:t>- Members of the Executive Team with a commission based incentive compensation plan shall not be eligible to participate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Additionally, members of the Executive Team who are eligible to participate in any one of the following shall not be eligible to participate in the Plan: (i) the 2018 Workforce Development Cash Bonus Incentive Plan, (ii) the 2018 Echo, Inc. Cash Bonus Incentive Plan, or (iii) 2018 PX Cash Bonus Incentive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Payout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Payouts under the Plan shall be determined as follows:</w:t>
      </w:r>
    </w:p>
    <w:p>
      <w:pPr>
        <w:spacing w:after="0" w:line="223" w:lineRule="exact"/>
        <w:rPr>
          <w:sz w:val="20"/>
          <w:szCs w:val="20"/>
          <w:color w:val="auto"/>
        </w:rPr>
      </w:pPr>
    </w:p>
    <w:p>
      <w:pPr>
        <w:jc w:val="both"/>
        <w:ind w:left="880" w:hanging="440"/>
        <w:spacing w:after="0" w:line="259" w:lineRule="auto"/>
        <w:tabs>
          <w:tab w:leader="none" w:pos="8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Incremental Operating Income will be determined by subtracting the Target Operating Income from Actual Operating Income before bonuses. The Incremental Operating Income will then be multiplied by 30% of base salary for each member of the Executive Team other than the Chief Executive Officer and the President &amp; COO, 40% of base salary for the CEO and the President &amp; COO, 16% of base salary for each member of the Leadership Team, and 4% of base salary for each Director.</w:t>
      </w:r>
    </w:p>
    <w:p>
      <w:pPr>
        <w:spacing w:after="0" w:line="182" w:lineRule="exact"/>
        <w:rPr>
          <w:rFonts w:ascii="Times New Roman" w:cs="Times New Roman" w:eastAsia="Times New Roman" w:hAnsi="Times New Roman"/>
          <w:sz w:val="17"/>
          <w:szCs w:val="17"/>
          <w:color w:val="auto"/>
        </w:rPr>
      </w:pPr>
    </w:p>
    <w:p>
      <w:pPr>
        <w:ind w:left="880" w:hanging="440"/>
        <w:spacing w:after="0" w:line="281" w:lineRule="auto"/>
        <w:tabs>
          <w:tab w:leader="none" w:pos="8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Annual Bonus payouts made to the Executive Team, Leadership Team, or Directors pursuant to the Plan shall be payable at such time as bonuses are paid generally to executive officers of the Company.</w:t>
      </w:r>
    </w:p>
    <w:p>
      <w:pPr>
        <w:sectPr>
          <w:pgSz w:w="11900" w:h="16838" w:orient="portrait"/>
          <w:cols w:equalWidth="0" w:num="1">
            <w:col w:w="11420"/>
          </w:cols>
          <w:pgMar w:left="240" w:top="577"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7"/>
          <w:szCs w:val="17"/>
          <w:color w:val="auto"/>
        </w:rPr>
        <w:t>EXHIBIT 10.19</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2018 Provider Solutions Cash Incentive Bonus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Business Segment Management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7" w:lineRule="exact"/>
        <w:rPr>
          <w:sz w:val="20"/>
          <w:szCs w:val="20"/>
          <w:color w:val="auto"/>
        </w:rPr>
      </w:pPr>
    </w:p>
    <w:p>
      <w:pPr>
        <w:jc w:val="both"/>
        <w:ind w:firstLine="877"/>
        <w:spacing w:after="0" w:line="254" w:lineRule="auto"/>
        <w:rPr>
          <w:sz w:val="20"/>
          <w:szCs w:val="20"/>
          <w:color w:val="auto"/>
        </w:rPr>
      </w:pPr>
      <w:r>
        <w:rPr>
          <w:rFonts w:ascii="Times New Roman" w:cs="Times New Roman" w:eastAsia="Times New Roman" w:hAnsi="Times New Roman"/>
          <w:sz w:val="17"/>
          <w:szCs w:val="17"/>
          <w:color w:val="auto"/>
        </w:rPr>
        <w:t>Pursuant to the HealthStream, Inc. 2016 Omnibus Incentive Plan, the Compensation Committee (the “Committee”) of the Board of Directors of HealthStream, Inc. (the “Company”) hereby establishes this 2018 Provider Solutions Cash Incentive Bonus Plan for the Company-Level Leadership Team and Directors (the “Plan”). The Plan is a cash-based, short-term incentive portion of the Company’s Provider Solutions segment (the “Business Unit”) incentive compensation structure for Company-level Vice Presidents, Associate Vice Presidents, and Directors who are assigned to the Business Unit (“Management”) of the Business Unit. The purpose of the Plan is to specify appropriate opportunities to earn a cash bonus with respect to the (i) Business Unit’s 2018 fiscal year performance and/or (ii) the Company’s overall 2018 fiscal year performance, each in order to reward Management for the Business Unit’s and/or the Company’s financial performance during fiscal year 2018 and to further align his interest with those of the shareholders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23" w:lineRule="exact"/>
        <w:rPr>
          <w:sz w:val="20"/>
          <w:szCs w:val="20"/>
          <w:color w:val="auto"/>
        </w:rPr>
      </w:pPr>
    </w:p>
    <w:p>
      <w:pPr>
        <w:ind w:left="1300" w:hanging="428"/>
        <w:spacing w:after="0" w:line="286" w:lineRule="auto"/>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Provider Solutions Actual Operating Income before bonuses </w:t>
      </w:r>
      <w:r>
        <w:rPr>
          <w:rFonts w:ascii="Times New Roman" w:cs="Times New Roman" w:eastAsia="Times New Roman" w:hAnsi="Times New Roman"/>
          <w:sz w:val="17"/>
          <w:szCs w:val="17"/>
          <w:color w:val="auto"/>
        </w:rPr>
        <w:t>– The Business Unit’s Operating Income achieved in fiscal 2018, excluding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bonuses.</w:t>
      </w:r>
    </w:p>
    <w:p>
      <w:pPr>
        <w:spacing w:after="0" w:line="155" w:lineRule="exact"/>
        <w:rPr>
          <w:rFonts w:ascii="Times New Roman" w:cs="Times New Roman" w:eastAsia="Times New Roman" w:hAnsi="Times New Roman"/>
          <w:sz w:val="17"/>
          <w:szCs w:val="17"/>
          <w:color w:val="auto"/>
        </w:rPr>
      </w:pPr>
    </w:p>
    <w:p>
      <w:pPr>
        <w:ind w:left="1300" w:hanging="428"/>
        <w:spacing w:after="0"/>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Enterprise Actual Operating Income before bonuses </w:t>
      </w:r>
      <w:r>
        <w:rPr>
          <w:rFonts w:ascii="Times New Roman" w:cs="Times New Roman" w:eastAsia="Times New Roman" w:hAnsi="Times New Roman"/>
          <w:sz w:val="17"/>
          <w:szCs w:val="17"/>
          <w:color w:val="auto"/>
        </w:rPr>
        <w:t>– The Company’s Operating Income achieved in fiscal 2018, excluding bonuses.</w:t>
      </w:r>
    </w:p>
    <w:p>
      <w:pPr>
        <w:spacing w:after="0" w:line="223" w:lineRule="exact"/>
        <w:rPr>
          <w:rFonts w:ascii="Times New Roman" w:cs="Times New Roman" w:eastAsia="Times New Roman" w:hAnsi="Times New Roman"/>
          <w:sz w:val="17"/>
          <w:szCs w:val="17"/>
          <w:color w:val="auto"/>
        </w:rPr>
      </w:pPr>
    </w:p>
    <w:p>
      <w:pPr>
        <w:ind w:left="1300" w:hanging="428"/>
        <w:spacing w:after="0"/>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Annual Bonus </w:t>
      </w:r>
      <w:r>
        <w:rPr>
          <w:rFonts w:ascii="Times New Roman" w:cs="Times New Roman" w:eastAsia="Times New Roman" w:hAnsi="Times New Roman"/>
          <w:sz w:val="17"/>
          <w:szCs w:val="17"/>
          <w:color w:val="auto"/>
        </w:rPr>
        <w:t>– The annual bonus paid to Management after the Committee determines the applicable financial measure has been achieved.</w:t>
      </w:r>
    </w:p>
    <w:p>
      <w:pPr>
        <w:spacing w:after="0" w:line="223" w:lineRule="exact"/>
        <w:rPr>
          <w:rFonts w:ascii="Times New Roman" w:cs="Times New Roman" w:eastAsia="Times New Roman" w:hAnsi="Times New Roman"/>
          <w:sz w:val="17"/>
          <w:szCs w:val="17"/>
          <w:color w:val="auto"/>
        </w:rPr>
      </w:pPr>
    </w:p>
    <w:p>
      <w:pPr>
        <w:ind w:left="1300" w:right="20" w:hanging="428"/>
        <w:spacing w:after="0" w:line="286" w:lineRule="auto"/>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Provider Solutions Incremental Operating Income </w:t>
      </w:r>
      <w:r>
        <w:rPr>
          <w:rFonts w:ascii="Times New Roman" w:cs="Times New Roman" w:eastAsia="Times New Roman" w:hAnsi="Times New Roman"/>
          <w:sz w:val="17"/>
          <w:szCs w:val="17"/>
          <w:color w:val="auto"/>
        </w:rPr>
        <w:t>– Provider Solutions Actual Operating Income before bonuses less Provider Solutions Target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Income.</w:t>
      </w:r>
    </w:p>
    <w:p>
      <w:pPr>
        <w:spacing w:after="0" w:line="155" w:lineRule="exact"/>
        <w:rPr>
          <w:rFonts w:ascii="Times New Roman" w:cs="Times New Roman" w:eastAsia="Times New Roman" w:hAnsi="Times New Roman"/>
          <w:sz w:val="17"/>
          <w:szCs w:val="17"/>
          <w:color w:val="auto"/>
        </w:rPr>
      </w:pPr>
    </w:p>
    <w:p>
      <w:pPr>
        <w:ind w:left="1300" w:hanging="428"/>
        <w:spacing w:after="0"/>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Enterprise Incremental Operating Income </w:t>
      </w:r>
      <w:r>
        <w:rPr>
          <w:rFonts w:ascii="Times New Roman" w:cs="Times New Roman" w:eastAsia="Times New Roman" w:hAnsi="Times New Roman"/>
          <w:sz w:val="17"/>
          <w:szCs w:val="17"/>
          <w:color w:val="auto"/>
        </w:rPr>
        <w:t>– Enterprise Actual Operating Income before bonuses less Enterprise Target Operating Income.</w:t>
      </w:r>
    </w:p>
    <w:p>
      <w:pPr>
        <w:spacing w:after="0" w:line="223" w:lineRule="exact"/>
        <w:rPr>
          <w:rFonts w:ascii="Times New Roman" w:cs="Times New Roman" w:eastAsia="Times New Roman" w:hAnsi="Times New Roman"/>
          <w:sz w:val="17"/>
          <w:szCs w:val="17"/>
          <w:color w:val="auto"/>
        </w:rPr>
      </w:pPr>
    </w:p>
    <w:p>
      <w:pPr>
        <w:jc w:val="both"/>
        <w:ind w:left="1300" w:hanging="428"/>
        <w:spacing w:after="0" w:line="256" w:lineRule="auto"/>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Provider Solutions Operating Income </w:t>
      </w:r>
      <w:r>
        <w:rPr>
          <w:rFonts w:ascii="Times New Roman" w:cs="Times New Roman" w:eastAsia="Times New Roman" w:hAnsi="Times New Roman"/>
          <w:sz w:val="17"/>
          <w:szCs w:val="17"/>
          <w:color w:val="auto"/>
        </w:rPr>
        <w:t>– The Business Unit’s Operating Income for the 2018 fiscal year calculated in accordance with generally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accepted accounting principles under ASC 606 and consistent with the Company’s past practice and presented in the Company’s audited financial statements, provided the following expenses are excluded from the calculation of Provider Solutions Operating Income: for acquisitions and divestitures within or directly impacting the Business Unit, acquisition and divestiture expenses for transactions within the calendar year and operating income (loss) from acquisitions and divestitures consummated during the calendar year (the “Excluded Expenses”). The Committee has the negative discretion to include the Excluded Expenses in the calculation of Provider Solutions Operating Income.</w:t>
      </w:r>
    </w:p>
    <w:p>
      <w:pPr>
        <w:spacing w:after="0" w:line="180" w:lineRule="exact"/>
        <w:rPr>
          <w:rFonts w:ascii="Times New Roman" w:cs="Times New Roman" w:eastAsia="Times New Roman" w:hAnsi="Times New Roman"/>
          <w:sz w:val="17"/>
          <w:szCs w:val="17"/>
          <w:color w:val="auto"/>
        </w:rPr>
      </w:pPr>
    </w:p>
    <w:p>
      <w:pPr>
        <w:jc w:val="both"/>
        <w:ind w:left="1300" w:hanging="428"/>
        <w:spacing w:after="0" w:line="256" w:lineRule="auto"/>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Enterprise Operating Income </w:t>
      </w:r>
      <w:r>
        <w:rPr>
          <w:rFonts w:ascii="Times New Roman" w:cs="Times New Roman" w:eastAsia="Times New Roman" w:hAnsi="Times New Roman"/>
          <w:sz w:val="17"/>
          <w:szCs w:val="17"/>
          <w:color w:val="auto"/>
        </w:rPr>
        <w:t>- The Company’s Operating Income for the 2018 fiscal year calculated in accordance with generally accepted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accounting principles under ASC 606 and consistent with the Company’s past practice and presented in the Company’s audited financial statements, provided the following expenses are excluded from the calculation of Operating Income: acquisition and divestiture expenses for transactions within the calendar year and operating income (loss) from acquisitions and divestitures consummated during the calendar year (the “Excluded Expenses”). The Committee has the negative discretion to include the Excluded Expenses in the calculation of Enterprise Operating Income.</w:t>
      </w:r>
    </w:p>
    <w:p>
      <w:pPr>
        <w:spacing w:after="0" w:line="388" w:lineRule="exact"/>
        <w:rPr>
          <w:rFonts w:ascii="Times New Roman" w:cs="Times New Roman" w:eastAsia="Times New Roman" w:hAnsi="Times New Roman"/>
          <w:sz w:val="17"/>
          <w:szCs w:val="17"/>
          <w:color w:val="auto"/>
        </w:rPr>
      </w:pPr>
    </w:p>
    <w:p>
      <w:pPr>
        <w:ind w:left="1300" w:hanging="428"/>
        <w:spacing w:after="0" w:line="286" w:lineRule="auto"/>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Provider Solutions Target Operating Income </w:t>
      </w:r>
      <w:r>
        <w:rPr>
          <w:rFonts w:ascii="Times New Roman" w:cs="Times New Roman" w:eastAsia="Times New Roman" w:hAnsi="Times New Roman"/>
          <w:sz w:val="17"/>
          <w:szCs w:val="17"/>
          <w:color w:val="auto"/>
        </w:rPr>
        <w:t>– Provider Solutions Operating Income for the 2018 fiscal year in an amount established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by resolution within the first 90 days of the Company’s 2018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6" w:name="page77"/>
    <w:bookmarkEnd w:id="76"/>
    <w:p>
      <w:pPr>
        <w:ind w:left="1300" w:hanging="428"/>
        <w:spacing w:after="0" w:line="286" w:lineRule="auto"/>
        <w:tabs>
          <w:tab w:leader="none" w:pos="1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Enterprise Target Operating Income </w:t>
      </w:r>
      <w:r>
        <w:rPr>
          <w:rFonts w:ascii="Times New Roman" w:cs="Times New Roman" w:eastAsia="Times New Roman" w:hAnsi="Times New Roman"/>
          <w:sz w:val="17"/>
          <w:szCs w:val="17"/>
          <w:color w:val="auto"/>
        </w:rPr>
        <w:t>– Enterprise Operating Income for the 2018 fiscal year in an amount established by the Committee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resolution within the first 90 days of the Company’s 2018 fiscal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2018 Financial Measure and Plan Principles:</w:t>
      </w:r>
    </w:p>
    <w:p>
      <w:pPr>
        <w:spacing w:after="0" w:line="223" w:lineRule="exact"/>
        <w:rPr>
          <w:sz w:val="20"/>
          <w:szCs w:val="20"/>
          <w:color w:val="auto"/>
        </w:rPr>
      </w:pPr>
    </w:p>
    <w:p>
      <w:pPr>
        <w:ind w:left="880" w:hanging="440"/>
        <w:spacing w:after="0" w:line="286" w:lineRule="auto"/>
        <w:tabs>
          <w:tab w:leader="none" w:pos="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financial measures for 2018 are Provider Solutions and/or Enterprise Operating Income </w:t>
      </w:r>
      <w:r>
        <w:rPr>
          <w:rFonts w:ascii="Times New Roman" w:cs="Times New Roman" w:eastAsia="Times New Roman" w:hAnsi="Times New Roman"/>
          <w:sz w:val="17"/>
          <w:szCs w:val="17"/>
          <w:color w:val="auto"/>
        </w:rPr>
        <w:t>– Provider Solutions and/or Enterprise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will be the financial measure for 2018.</w:t>
      </w:r>
    </w:p>
    <w:p>
      <w:pPr>
        <w:spacing w:after="0" w:line="155" w:lineRule="exact"/>
        <w:rPr>
          <w:rFonts w:ascii="Times New Roman" w:cs="Times New Roman" w:eastAsia="Times New Roman" w:hAnsi="Times New Roman"/>
          <w:sz w:val="17"/>
          <w:szCs w:val="17"/>
          <w:color w:val="auto"/>
        </w:rPr>
      </w:pPr>
    </w:p>
    <w:p>
      <w:pPr>
        <w:ind w:left="880" w:right="20" w:hanging="440"/>
        <w:spacing w:after="0" w:line="286" w:lineRule="auto"/>
        <w:tabs>
          <w:tab w:leader="none" w:pos="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Annual Bonus is funded by Provider Solutions and/or Enterprise Incremental Operating Income </w:t>
      </w:r>
      <w:r>
        <w:rPr>
          <w:rFonts w:ascii="Times New Roman" w:cs="Times New Roman" w:eastAsia="Times New Roman" w:hAnsi="Times New Roman"/>
          <w:sz w:val="17"/>
          <w:szCs w:val="17"/>
          <w:color w:val="auto"/>
        </w:rPr>
        <w:t>– The Annual Bonus will be earned from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 of Provider Solutions and/or Enterprise Incremental Operating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Eligibility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Two groups are eligible for participation in the Plan:</w:t>
      </w:r>
    </w:p>
    <w:p>
      <w:pPr>
        <w:spacing w:after="0" w:line="219" w:lineRule="exact"/>
        <w:rPr>
          <w:sz w:val="20"/>
          <w:szCs w:val="20"/>
          <w:color w:val="auto"/>
        </w:rPr>
      </w:pPr>
    </w:p>
    <w:p>
      <w:pPr>
        <w:jc w:val="both"/>
        <w:ind w:left="1300" w:hanging="428"/>
        <w:spacing w:after="0" w:line="256" w:lineRule="auto"/>
        <w:tabs>
          <w:tab w:leader="none" w:pos="1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Leadership Team (Vice Presidents and Associate Vice Presidents) </w:t>
      </w:r>
      <w:r>
        <w:rPr>
          <w:rFonts w:ascii="Times New Roman" w:cs="Times New Roman" w:eastAsia="Times New Roman" w:hAnsi="Times New Roman"/>
          <w:sz w:val="17"/>
          <w:szCs w:val="17"/>
          <w:color w:val="auto"/>
        </w:rPr>
        <w:t>– The maximum Annual Bonus that Company-Level Vice Presidents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Associate Vice Presidents assigned to the Business Unit shall be eligible to receive under the Plan shall be an amount equal to 16% of such Vice President or Associate Vice President’s base salary, with that 16% being comprised as follows: 12.8% from Provider Solutions Incremental Operating Income and 3.2% from Enterprise Incremental Income. Therefore, 80% of each Vice President and Associate Vice President’s Annual Bonus is based on achieving and exceeding Provider Solutions Target Operating Income and the other 20% is based on achieving and exceeding Enterprise Target Operating Income.</w:t>
      </w:r>
    </w:p>
    <w:p>
      <w:pPr>
        <w:spacing w:after="0" w:line="180" w:lineRule="exact"/>
        <w:rPr>
          <w:rFonts w:ascii="Times New Roman" w:cs="Times New Roman" w:eastAsia="Times New Roman" w:hAnsi="Times New Roman"/>
          <w:sz w:val="17"/>
          <w:szCs w:val="17"/>
          <w:color w:val="auto"/>
        </w:rPr>
      </w:pPr>
    </w:p>
    <w:p>
      <w:pPr>
        <w:jc w:val="both"/>
        <w:ind w:left="1300" w:hanging="428"/>
        <w:spacing w:after="0" w:line="258" w:lineRule="auto"/>
        <w:tabs>
          <w:tab w:leader="none" w:pos="1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Directors </w:t>
      </w:r>
      <w:r>
        <w:rPr>
          <w:rFonts w:ascii="Times New Roman" w:cs="Times New Roman" w:eastAsia="Times New Roman" w:hAnsi="Times New Roman"/>
          <w:sz w:val="17"/>
          <w:szCs w:val="17"/>
          <w:color w:val="auto"/>
        </w:rPr>
        <w:t>- The maximum Annual Bonus that Company-Level Directors of the Business Unit shall be eligible to receive under the Plan shall be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 equal to 4% of such Director’s base salary, with that 4% being comprised as follows: 3.2% from WFD Incremental Operating Income and 0.8% from Enterprise Incremental Income. Therefore, 80% of each Director’s Annual Bonus is based on achieving and exceeding WFD Target Operating Income and the other 20% is based on achieving and exceeding Enterprise Target Operating Income. For purposes of clarity, Directors do not include members of the Board of Directors, but are management-level employees of the Company.</w:t>
      </w:r>
    </w:p>
    <w:p>
      <w:pPr>
        <w:spacing w:after="0" w:line="178" w:lineRule="exact"/>
        <w:rPr>
          <w:rFonts w:ascii="Times New Roman" w:cs="Times New Roman" w:eastAsia="Times New Roman" w:hAnsi="Times New Roman"/>
          <w:sz w:val="17"/>
          <w:szCs w:val="17"/>
          <w:color w:val="auto"/>
        </w:rPr>
      </w:pPr>
    </w:p>
    <w:p>
      <w:pPr>
        <w:jc w:val="both"/>
        <w:ind w:left="1300" w:hanging="428"/>
        <w:spacing w:after="0" w:line="261" w:lineRule="auto"/>
        <w:tabs>
          <w:tab w:leader="none" w:pos="1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Employment Requirements </w:t>
      </w:r>
      <w:r>
        <w:rPr>
          <w:rFonts w:ascii="Times New Roman" w:cs="Times New Roman" w:eastAsia="Times New Roman" w:hAnsi="Times New Roman"/>
          <w:sz w:val="17"/>
          <w:szCs w:val="17"/>
          <w:color w:val="auto"/>
        </w:rPr>
        <w:t>– Participants in the Plan who were employed with the Company through December 31, 2018 shall be eligible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 bonus payments, if any, under the Plan regardless of whether such employees are employed on the date such payments are actually made. Notwithstanding the foregoing, in the case of death or disability, the participant’s pro rata share from January 1, 2018 through the date of participant’s death or disability shall be awarded.</w:t>
      </w:r>
    </w:p>
    <w:p>
      <w:pPr>
        <w:spacing w:after="0" w:line="176" w:lineRule="exact"/>
        <w:rPr>
          <w:rFonts w:ascii="Times New Roman" w:cs="Times New Roman" w:eastAsia="Times New Roman" w:hAnsi="Times New Roman"/>
          <w:sz w:val="17"/>
          <w:szCs w:val="17"/>
          <w:color w:val="auto"/>
        </w:rPr>
      </w:pPr>
    </w:p>
    <w:p>
      <w:pPr>
        <w:jc w:val="both"/>
        <w:ind w:left="1300" w:hanging="428"/>
        <w:spacing w:after="0" w:line="267" w:lineRule="auto"/>
        <w:tabs>
          <w:tab w:leader="none" w:pos="1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Exclusions </w:t>
      </w:r>
      <w:r>
        <w:rPr>
          <w:rFonts w:ascii="Times New Roman" w:cs="Times New Roman" w:eastAsia="Times New Roman" w:hAnsi="Times New Roman"/>
          <w:sz w:val="17"/>
          <w:szCs w:val="17"/>
          <w:color w:val="auto"/>
        </w:rPr>
        <w:t>– Management with a commission based incentive compensation plan shall not be eligible to participate in the Plan. Additionally,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Management who are eligible to participate in any one of the following shall not be eligible to participate: (i) the 2018 Executive &amp; Corporate Management Cash Bonus Incentive Plan, or (ii) the 2018 Workforce Development Cash Bonus Incentive.</w:t>
      </w:r>
    </w:p>
    <w:p>
      <w:pPr>
        <w:spacing w:after="0" w:line="171" w:lineRule="exact"/>
        <w:rPr>
          <w:rFonts w:ascii="Times New Roman" w:cs="Times New Roman" w:eastAsia="Times New Roman" w:hAnsi="Times New Roman"/>
          <w:sz w:val="17"/>
          <w:szCs w:val="17"/>
          <w:color w:val="auto"/>
        </w:rPr>
      </w:pPr>
    </w:p>
    <w:p>
      <w:pPr>
        <w:jc w:val="both"/>
        <w:ind w:left="1300" w:hanging="428"/>
        <w:spacing w:after="0" w:line="254" w:lineRule="auto"/>
        <w:tabs>
          <w:tab w:leader="none" w:pos="1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Company-level Vice Presidents, Associate Vice Presidents, and Directors. </w:t>
      </w:r>
      <w:r>
        <w:rPr>
          <w:rFonts w:ascii="Times New Roman" w:cs="Times New Roman" w:eastAsia="Times New Roman" w:hAnsi="Times New Roman"/>
          <w:sz w:val="17"/>
          <w:szCs w:val="17"/>
          <w:color w:val="auto"/>
        </w:rPr>
        <w:t>Management includes all individuals who are considered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Company-level (i.e., HealthStream enterprise-wide) Vice Presidents, Associate Vice Presidents, or Directors, as opposed to just vice presidents, associate vice presidents, and directors at the Business Unit-level. Given that the Business Unit is comprised of several companies from different acquisitions, the working job titles of Management may differ from the Company’s standard hierarchy and have not been fully standardized. Therefore, an individual who is considered a Director at the Company-level may have a different working job title at the Business Unit level. A list of Company-level Vice Presidents, Associate Vice Presidents, and Directors, along with their working job title at the Business Unit level is attached hereto as Exhibit A. This list is current as of March 15, 2018 and may be updated from time to time to reflect changes in employment (i.e., promotions, resignations,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color w:val="auto"/>
        </w:rPr>
        <w:t>Payout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Payouts under the Plan shall be determined as follows:</w:t>
      </w:r>
    </w:p>
    <w:p>
      <w:pPr>
        <w:spacing w:after="0" w:line="223" w:lineRule="exact"/>
        <w:rPr>
          <w:sz w:val="20"/>
          <w:szCs w:val="20"/>
          <w:color w:val="auto"/>
        </w:rPr>
      </w:pPr>
    </w:p>
    <w:p>
      <w:pPr>
        <w:jc w:val="both"/>
        <w:ind w:left="880" w:hanging="440"/>
        <w:spacing w:after="0" w:line="265" w:lineRule="auto"/>
        <w:tabs>
          <w:tab w:leader="none" w:pos="8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Provider Solutions Incremental Operating Income will be determined by subtracting the Provider Solutions Target Operating Income from Actual Operating Income before bonuses. The Provider Solutions Incremental Operating Income will then be multiplied by 12.8% for each Company-level Vice President and Associate Vice President and 3.2% for each Company-level Director.</w:t>
      </w:r>
    </w:p>
    <w:p>
      <w:pPr>
        <w:spacing w:after="0" w:line="176" w:lineRule="exact"/>
        <w:rPr>
          <w:rFonts w:ascii="Times New Roman" w:cs="Times New Roman" w:eastAsia="Times New Roman" w:hAnsi="Times New Roman"/>
          <w:sz w:val="17"/>
          <w:szCs w:val="17"/>
          <w:color w:val="auto"/>
        </w:rPr>
      </w:pPr>
    </w:p>
    <w:p>
      <w:pPr>
        <w:jc w:val="both"/>
        <w:ind w:left="880" w:right="20" w:hanging="440"/>
        <w:spacing w:after="0" w:line="265" w:lineRule="auto"/>
        <w:tabs>
          <w:tab w:leader="none" w:pos="8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Incremental Operating Income will be determined by subtracting the Enterprise Target Operating Income from Enterprise Actual Operating Income before bonuses. The Enterprise Incremental Operating Income will then be multiplied by 3.2% for each Company-Level Vice President and Associate Vice President and 0.8% for each Company-level Director.</w:t>
      </w:r>
    </w:p>
    <w:p>
      <w:pPr>
        <w:spacing w:after="0" w:line="176" w:lineRule="exact"/>
        <w:rPr>
          <w:rFonts w:ascii="Times New Roman" w:cs="Times New Roman" w:eastAsia="Times New Roman" w:hAnsi="Times New Roman"/>
          <w:sz w:val="17"/>
          <w:szCs w:val="17"/>
          <w:color w:val="auto"/>
        </w:rPr>
      </w:pPr>
    </w:p>
    <w:p>
      <w:pPr>
        <w:ind w:left="880" w:hanging="440"/>
        <w:spacing w:after="0" w:line="281" w:lineRule="auto"/>
        <w:tabs>
          <w:tab w:leader="none" w:pos="8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Annual Bonus made to Management pursuant to the Plan shall be payable at such time as bonuses are paid generally to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6"/>
        </w:trPr>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4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Exhibit A</w:t>
            </w:r>
          </w:p>
        </w:tc>
      </w:tr>
      <w:tr>
        <w:trPr>
          <w:trHeight w:val="381"/>
        </w:trPr>
        <w:tc>
          <w:tcPr>
            <w:tcW w:w="1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4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Management entitled to participate in the Plan</w:t>
            </w:r>
          </w:p>
        </w:tc>
      </w:tr>
      <w:tr>
        <w:trPr>
          <w:trHeight w:val="226"/>
        </w:trPr>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4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(current as of March 15, 2018)</w:t>
            </w:r>
          </w:p>
        </w:tc>
      </w:tr>
      <w:tr>
        <w:trPr>
          <w:trHeight w:val="367"/>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9"/>
              </w:rPr>
              <w:t>Company-Level Vice Presidents:</w:t>
            </w:r>
          </w:p>
        </w:tc>
        <w:tc>
          <w:tcPr>
            <w:tcW w:w="72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24"/>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Paul Holbel, CTO</w:t>
            </w:r>
          </w:p>
        </w:tc>
        <w:tc>
          <w:tcPr>
            <w:tcW w:w="5340" w:type="dxa"/>
            <w:vAlign w:val="bottom"/>
          </w:tcPr>
          <w:p>
            <w:pPr>
              <w:spacing w:after="0"/>
              <w:rPr>
                <w:sz w:val="24"/>
                <w:szCs w:val="24"/>
                <w:color w:val="auto"/>
              </w:rPr>
            </w:pPr>
          </w:p>
        </w:tc>
      </w:tr>
      <w:tr>
        <w:trPr>
          <w:trHeight w:val="367"/>
        </w:trPr>
        <w:tc>
          <w:tcPr>
            <w:tcW w:w="3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w w:val="99"/>
              </w:rPr>
              <w:t>Company-Level Associate Vice Presidents:</w:t>
            </w:r>
          </w:p>
        </w:tc>
        <w:tc>
          <w:tcPr>
            <w:tcW w:w="5340" w:type="dxa"/>
            <w:vAlign w:val="bottom"/>
          </w:tcPr>
          <w:p>
            <w:pPr>
              <w:spacing w:after="0"/>
              <w:rPr>
                <w:sz w:val="24"/>
                <w:szCs w:val="24"/>
                <w:color w:val="auto"/>
              </w:rPr>
            </w:pPr>
          </w:p>
        </w:tc>
      </w:tr>
      <w:tr>
        <w:trPr>
          <w:trHeight w:val="404"/>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Roger Platt, Verity VP</w:t>
            </w:r>
          </w:p>
        </w:tc>
        <w:tc>
          <w:tcPr>
            <w:tcW w:w="5340" w:type="dxa"/>
            <w:vAlign w:val="bottom"/>
          </w:tcPr>
          <w:p>
            <w:pPr>
              <w:spacing w:after="0"/>
              <w:rPr>
                <w:sz w:val="24"/>
                <w:szCs w:val="24"/>
                <w:color w:val="auto"/>
              </w:rPr>
            </w:pPr>
          </w:p>
        </w:tc>
      </w:tr>
      <w:tr>
        <w:trPr>
          <w:trHeight w:val="222"/>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Vicki Searcy, Verity VP</w:t>
            </w:r>
          </w:p>
        </w:tc>
        <w:tc>
          <w:tcPr>
            <w:tcW w:w="5340" w:type="dxa"/>
            <w:vAlign w:val="bottom"/>
          </w:tcPr>
          <w:p>
            <w:pPr>
              <w:spacing w:after="0"/>
              <w:rPr>
                <w:sz w:val="19"/>
                <w:szCs w:val="19"/>
                <w:color w:val="auto"/>
              </w:rPr>
            </w:pPr>
          </w:p>
        </w:tc>
      </w:tr>
      <w:tr>
        <w:trPr>
          <w:trHeight w:val="367"/>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Company-Level Directors:</w:t>
            </w:r>
          </w:p>
        </w:tc>
        <w:tc>
          <w:tcPr>
            <w:tcW w:w="1160" w:type="dxa"/>
            <w:vAlign w:val="bottom"/>
            <w:gridSpan w:val="2"/>
          </w:tcPr>
          <w:p>
            <w:pPr>
              <w:spacing w:after="0"/>
              <w:rPr>
                <w:sz w:val="24"/>
                <w:szCs w:val="24"/>
                <w:color w:val="auto"/>
              </w:rPr>
            </w:pPr>
          </w:p>
        </w:tc>
        <w:tc>
          <w:tcPr>
            <w:tcW w:w="5340" w:type="dxa"/>
            <w:vAlign w:val="bottom"/>
          </w:tcPr>
          <w:p>
            <w:pPr>
              <w:spacing w:after="0"/>
              <w:rPr>
                <w:sz w:val="24"/>
                <w:szCs w:val="24"/>
                <w:color w:val="auto"/>
              </w:rPr>
            </w:pPr>
          </w:p>
        </w:tc>
      </w:tr>
      <w:tr>
        <w:trPr>
          <w:trHeight w:val="478"/>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Bruce Durbin</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Sr. Director, Quality &amp; Cloud Services</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Jennifer Grijalva</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Director, Implementations &amp; Upgrades</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Lisa Rothmuller</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Sr. Director, Client Consulting</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Mark Westbrook</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Sr. Director, Client Success</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Purti Barve</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Sr. Development Team Lead</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Manshi Nawab</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Data Analyst Lead</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Brandi Zevenbrgern</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Sr. Product Manager</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Suzy Deller</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AVP, Verity Customer Experience</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Mark Karger</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Sr. Director, Verity PMO</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Sean Harvey</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Sr. Manager, Data Services</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Joe Deluca</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Director, Verity Customer Support</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Erik Vedvik</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Sr. Director, Data Services</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Steve Larsen</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Sr. Director, Customer Support</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Terry Griffith</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w w:val="97"/>
              </w:rPr>
              <w:t>AVP, Verity Training &amp; Learning Solutions</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Bill Locke</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VP, Software Development</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David Van Linge</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AVP, Software Development</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Sarah Moraes</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Sr. Director, Verity Marketing</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Scott Zoldan</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VP, Software Development</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Andrew Huber</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Sr. Director, Professional Services</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Ryan, Clay</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Division Controller</w:t>
            </w:r>
          </w:p>
        </w:tc>
      </w:tr>
      <w:tr>
        <w:trPr>
          <w:trHeight w:val="257"/>
        </w:trPr>
        <w:tc>
          <w:tcPr>
            <w:tcW w:w="3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Nordstrom, Tawnya</w:t>
            </w:r>
          </w:p>
        </w:tc>
        <w:tc>
          <w:tcPr>
            <w:tcW w:w="53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Director of Human Resources</w:t>
            </w:r>
          </w:p>
        </w:tc>
      </w:tr>
    </w:tbl>
    <w:p>
      <w:pPr>
        <w:sectPr>
          <w:pgSz w:w="11900" w:h="16838" w:orient="portrait"/>
          <w:cols w:equalWidth="0" w:num="1">
            <w:col w:w="10219"/>
          </w:cols>
          <w:pgMar w:left="240" w:top="357" w:right="1440"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620" w:type="dxa"/>
            <w:vAlign w:val="bottom"/>
          </w:tcPr>
          <w:p>
            <w:pPr>
              <w:spacing w:after="0"/>
              <w:rPr>
                <w:sz w:val="19"/>
                <w:szCs w:val="19"/>
                <w:color w:val="auto"/>
              </w:rPr>
            </w:pPr>
          </w:p>
        </w:tc>
        <w:tc>
          <w:tcPr>
            <w:tcW w:w="5980" w:type="dxa"/>
            <w:vAlign w:val="bottom"/>
            <w:gridSpan w:val="2"/>
          </w:tcPr>
          <w:p>
            <w:pPr>
              <w:ind w:left="2380"/>
              <w:spacing w:after="0"/>
              <w:rPr>
                <w:sz w:val="20"/>
                <w:szCs w:val="20"/>
                <w:color w:val="auto"/>
              </w:rPr>
            </w:pPr>
            <w:r>
              <w:rPr>
                <w:rFonts w:ascii="Times New Roman" w:cs="Times New Roman" w:eastAsia="Times New Roman" w:hAnsi="Times New Roman"/>
                <w:sz w:val="17"/>
                <w:szCs w:val="17"/>
                <w:b w:val="1"/>
                <w:bCs w:val="1"/>
                <w:color w:val="auto"/>
              </w:rPr>
              <w:t>SUBSIDIARIES OF HEALTHSTREAM, INC.</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6"/>
        </w:trPr>
        <w:tc>
          <w:tcPr>
            <w:tcW w:w="1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140" w:type="dxa"/>
            <w:vAlign w:val="bottom"/>
            <w:gridSpan w:val="3"/>
          </w:tcPr>
          <w:p>
            <w:pPr>
              <w:jc w:val="center"/>
              <w:ind w:left="75"/>
              <w:spacing w:after="0"/>
              <w:rPr>
                <w:sz w:val="20"/>
                <w:szCs w:val="20"/>
                <w:color w:val="auto"/>
              </w:rPr>
            </w:pPr>
            <w:r>
              <w:rPr>
                <w:rFonts w:ascii="Times New Roman" w:cs="Times New Roman" w:eastAsia="Times New Roman" w:hAnsi="Times New Roman"/>
                <w:sz w:val="17"/>
                <w:szCs w:val="17"/>
                <w:color w:val="auto"/>
              </w:rPr>
              <w:t>State or Other Jurisdiction of</w:t>
            </w:r>
          </w:p>
        </w:tc>
      </w:tr>
      <w:tr>
        <w:trPr>
          <w:trHeight w:val="203"/>
        </w:trPr>
        <w:tc>
          <w:tcPr>
            <w:tcW w:w="16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40" w:type="dxa"/>
            <w:vAlign w:val="bottom"/>
            <w:gridSpan w:val="3"/>
          </w:tcPr>
          <w:p>
            <w:pPr>
              <w:jc w:val="center"/>
              <w:ind w:left="95"/>
              <w:spacing w:after="0"/>
              <w:rPr>
                <w:sz w:val="20"/>
                <w:szCs w:val="20"/>
                <w:color w:val="auto"/>
              </w:rPr>
            </w:pPr>
            <w:r>
              <w:rPr>
                <w:rFonts w:ascii="Times New Roman" w:cs="Times New Roman" w:eastAsia="Times New Roman" w:hAnsi="Times New Roman"/>
                <w:sz w:val="17"/>
                <w:szCs w:val="17"/>
                <w:color w:val="auto"/>
              </w:rPr>
              <w:t>Incorporation or</w:t>
            </w:r>
          </w:p>
        </w:tc>
      </w:tr>
      <w:tr>
        <w:trPr>
          <w:trHeight w:val="184"/>
        </w:trPr>
        <w:tc>
          <w:tcPr>
            <w:tcW w:w="7600" w:type="dxa"/>
            <w:vAlign w:val="bottom"/>
            <w:gridSpan w:val="3"/>
          </w:tcPr>
          <w:p>
            <w:pPr>
              <w:ind w:left="1620"/>
              <w:spacing w:after="0" w:line="184" w:lineRule="exact"/>
              <w:rPr>
                <w:sz w:val="20"/>
                <w:szCs w:val="20"/>
                <w:color w:val="auto"/>
              </w:rPr>
            </w:pPr>
            <w:r>
              <w:rPr>
                <w:rFonts w:ascii="Times New Roman" w:cs="Times New Roman" w:eastAsia="Times New Roman" w:hAnsi="Times New Roman"/>
                <w:sz w:val="17"/>
                <w:szCs w:val="17"/>
                <w:color w:val="auto"/>
              </w:rPr>
              <w:t>Names Under Which We Do Business</w:t>
            </w:r>
          </w:p>
        </w:tc>
        <w:tc>
          <w:tcPr>
            <w:tcW w:w="2140" w:type="dxa"/>
            <w:vAlign w:val="bottom"/>
            <w:gridSpan w:val="3"/>
          </w:tcPr>
          <w:p>
            <w:pPr>
              <w:jc w:val="center"/>
              <w:ind w:left="75"/>
              <w:spacing w:after="0" w:line="184" w:lineRule="exact"/>
              <w:rPr>
                <w:sz w:val="20"/>
                <w:szCs w:val="20"/>
                <w:color w:val="auto"/>
              </w:rPr>
            </w:pPr>
            <w:r>
              <w:rPr>
                <w:rFonts w:ascii="Times New Roman" w:cs="Times New Roman" w:eastAsia="Times New Roman" w:hAnsi="Times New Roman"/>
                <w:sz w:val="17"/>
                <w:szCs w:val="17"/>
                <w:color w:val="auto"/>
              </w:rPr>
              <w:t>Organization</w:t>
            </w:r>
          </w:p>
        </w:tc>
      </w:tr>
      <w:tr>
        <w:trPr>
          <w:trHeight w:val="437"/>
        </w:trPr>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Decision Critical, Inc.</w:t>
            </w:r>
          </w:p>
        </w:tc>
        <w:tc>
          <w:tcPr>
            <w:tcW w:w="260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Texas</w:t>
            </w:r>
          </w:p>
        </w:tc>
        <w:tc>
          <w:tcPr>
            <w:tcW w:w="540" w:type="dxa"/>
            <w:vAlign w:val="bottom"/>
          </w:tcPr>
          <w:p>
            <w:pPr>
              <w:spacing w:after="0"/>
              <w:rPr>
                <w:sz w:val="24"/>
                <w:szCs w:val="24"/>
                <w:color w:val="auto"/>
              </w:rPr>
            </w:pPr>
          </w:p>
        </w:tc>
      </w:tr>
      <w:tr>
        <w:trPr>
          <w:trHeight w:val="311"/>
        </w:trPr>
        <w:tc>
          <w:tcPr>
            <w:tcW w:w="7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Verity, Inc., a HealthStream Company (f/k/a Echo, Inc.)</w:t>
            </w:r>
          </w:p>
        </w:tc>
        <w:tc>
          <w:tcPr>
            <w:tcW w:w="70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311"/>
        </w:trPr>
        <w:tc>
          <w:tcPr>
            <w:tcW w:w="7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Morrisey Associates, Inc.</w:t>
            </w:r>
          </w:p>
        </w:tc>
        <w:tc>
          <w:tcPr>
            <w:tcW w:w="700" w:type="dxa"/>
            <w:vAlign w:val="bottom"/>
          </w:tcPr>
          <w:p>
            <w:pPr>
              <w:spacing w:after="0"/>
              <w:rPr>
                <w:sz w:val="24"/>
                <w:szCs w:val="24"/>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9"/>
              </w:rPr>
              <w:t>Illinois</w:t>
            </w:r>
          </w:p>
        </w:tc>
      </w:tr>
      <w:tr>
        <w:trPr>
          <w:trHeight w:val="311"/>
        </w:trPr>
        <w:tc>
          <w:tcPr>
            <w:tcW w:w="7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Performance Management Services, Inc.</w:t>
            </w:r>
          </w:p>
        </w:tc>
        <w:tc>
          <w:tcPr>
            <w:tcW w:w="70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rPr>
              <w:t>California</w:t>
            </w:r>
          </w:p>
        </w:tc>
      </w:tr>
      <w:tr>
        <w:trPr>
          <w:trHeight w:val="311"/>
        </w:trPr>
        <w:tc>
          <w:tcPr>
            <w:tcW w:w="7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Nursing Registry Consultants Corporation</w:t>
            </w:r>
          </w:p>
        </w:tc>
        <w:tc>
          <w:tcPr>
            <w:tcW w:w="70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rPr>
              <w:t>Delaware</w:t>
            </w:r>
          </w:p>
        </w:tc>
      </w:tr>
      <w:tr>
        <w:trPr>
          <w:trHeight w:val="311"/>
        </w:trPr>
        <w:tc>
          <w:tcPr>
            <w:tcW w:w="7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Health Care Compliance Strategies, Inc.</w:t>
            </w:r>
          </w:p>
        </w:tc>
        <w:tc>
          <w:tcPr>
            <w:tcW w:w="70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w w:val="98"/>
              </w:rPr>
              <w:t>New York</w:t>
            </w:r>
          </w:p>
        </w:tc>
      </w:tr>
      <w:tr>
        <w:trPr>
          <w:trHeight w:val="311"/>
        </w:trPr>
        <w:tc>
          <w:tcPr>
            <w:tcW w:w="7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HealthStream Acquisition I, Inc.</w:t>
            </w:r>
          </w:p>
        </w:tc>
        <w:tc>
          <w:tcPr>
            <w:tcW w:w="70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311"/>
        </w:trPr>
        <w:tc>
          <w:tcPr>
            <w:tcW w:w="7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HealthStream Acquisition II, Inc.</w:t>
            </w:r>
          </w:p>
        </w:tc>
        <w:tc>
          <w:tcPr>
            <w:tcW w:w="70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311"/>
        </w:trPr>
        <w:tc>
          <w:tcPr>
            <w:tcW w:w="7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Providigm, LLC</w:t>
            </w:r>
          </w:p>
        </w:tc>
        <w:tc>
          <w:tcPr>
            <w:tcW w:w="700" w:type="dxa"/>
            <w:vAlign w:val="bottom"/>
          </w:tcPr>
          <w:p>
            <w:pPr>
              <w:spacing w:after="0"/>
              <w:rPr>
                <w:sz w:val="24"/>
                <w:szCs w:val="24"/>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rPr>
              <w:t>Colorado</w:t>
            </w:r>
          </w:p>
        </w:tc>
      </w:tr>
    </w:tbl>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129" w:lineRule="exact"/>
        <w:rPr>
          <w:sz w:val="20"/>
          <w:szCs w:val="20"/>
          <w:color w:val="auto"/>
        </w:rPr>
      </w:pPr>
    </w:p>
    <w:p>
      <w:pPr>
        <w:ind w:left="880" w:hanging="440"/>
        <w:spacing w:after="0"/>
        <w:tabs>
          <w:tab w:leader="none" w:pos="8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333-211725) pertaining to the 2016 Omnibus Incentive Plan of HealthStream, Inc.,</w:t>
      </w:r>
    </w:p>
    <w:p>
      <w:pPr>
        <w:spacing w:after="0" w:line="47"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333-167241) pertaining to the 2010 Stock Incentive Plan of HealthStream, Inc.,</w:t>
      </w:r>
    </w:p>
    <w:p>
      <w:pPr>
        <w:spacing w:after="0" w:line="47" w:lineRule="exact"/>
        <w:rPr>
          <w:rFonts w:ascii="Times New Roman" w:cs="Times New Roman" w:eastAsia="Times New Roman" w:hAnsi="Times New Roman"/>
          <w:sz w:val="17"/>
          <w:szCs w:val="17"/>
          <w:color w:val="auto"/>
        </w:rPr>
      </w:pPr>
    </w:p>
    <w:p>
      <w:pPr>
        <w:ind w:left="880" w:hanging="440"/>
        <w:spacing w:after="0" w:line="259" w:lineRule="auto"/>
        <w:tabs>
          <w:tab w:leader="none" w:pos="8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333-37440) pertaining to the 1994 Employee Stock Option Plan, 2000 Stock Incentive Plan and Employee Stock Purchase Plan of HealthStream, Inc., and</w:t>
      </w:r>
    </w:p>
    <w:p>
      <w:pPr>
        <w:spacing w:after="0" w:line="1" w:lineRule="exact"/>
        <w:rPr>
          <w:rFonts w:ascii="Times New Roman" w:cs="Times New Roman" w:eastAsia="Times New Roman" w:hAnsi="Times New Roman"/>
          <w:sz w:val="17"/>
          <w:szCs w:val="17"/>
          <w:color w:val="auto"/>
        </w:rPr>
      </w:pPr>
    </w:p>
    <w:p>
      <w:pPr>
        <w:ind w:left="880" w:hanging="440"/>
        <w:spacing w:after="0" w:line="259" w:lineRule="auto"/>
        <w:tabs>
          <w:tab w:leader="none" w:pos="8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S-3 No. 333-206897) of HealthStream, Inc., as amended by that Post-Effective Amendment No. 1 to Registration Statement (Form POS AM No. 333-206897);</w:t>
      </w:r>
    </w:p>
    <w:p>
      <w:pPr>
        <w:spacing w:after="0" w:line="18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of our reports dated February 25, 2019, with respect to the consolidated financial statements of HealthStream, Inc. and the effectiveness of internal control over financial reporting of HealthStream, Inc., included in this Annual Report (Form 10-K) of HealthStream, Inc. for the year ended December 31, 2018.</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Nashville, Tennessee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2019</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2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7"/>
          <w:szCs w:val="17"/>
          <w:color w:val="auto"/>
        </w:rPr>
        <w:t>Robert A. Frist, Jr., certify that:</w:t>
      </w:r>
    </w:p>
    <w:p>
      <w:pPr>
        <w:spacing w:after="0" w:line="223" w:lineRule="exact"/>
        <w:rPr>
          <w:sz w:val="20"/>
          <w:szCs w:val="20"/>
          <w:color w:val="auto"/>
        </w:rPr>
      </w:pPr>
    </w:p>
    <w:p>
      <w:pPr>
        <w:ind w:left="440" w:hanging="432"/>
        <w:spacing w:after="0"/>
        <w:tabs>
          <w:tab w:leader="none" w:pos="4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HealthStream, Inc.;</w:t>
      </w:r>
    </w:p>
    <w:p>
      <w:pPr>
        <w:spacing w:after="0" w:line="223" w:lineRule="exact"/>
        <w:rPr>
          <w:rFonts w:ascii="Times New Roman" w:cs="Times New Roman" w:eastAsia="Times New Roman" w:hAnsi="Times New Roman"/>
          <w:sz w:val="17"/>
          <w:szCs w:val="17"/>
          <w:color w:val="auto"/>
        </w:rPr>
      </w:pPr>
    </w:p>
    <w:p>
      <w:pPr>
        <w:ind w:left="440" w:hanging="432"/>
        <w:spacing w:after="0" w:line="281" w:lineRule="auto"/>
        <w:tabs>
          <w:tab w:leader="none" w:pos="4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440" w:right="20" w:hanging="432"/>
        <w:spacing w:after="0" w:line="281" w:lineRule="auto"/>
        <w:tabs>
          <w:tab w:leader="none" w:pos="4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jc w:val="both"/>
        <w:ind w:left="440" w:hanging="432"/>
        <w:spacing w:after="0" w:line="265" w:lineRule="auto"/>
        <w:tabs>
          <w:tab w:leader="none" w:pos="4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7"/>
          <w:szCs w:val="17"/>
          <w:color w:val="auto"/>
        </w:rPr>
      </w:pPr>
    </w:p>
    <w:p>
      <w:pPr>
        <w:jc w:val="both"/>
        <w:ind w:left="860" w:hanging="10"/>
        <w:spacing w:after="0" w:line="265" w:lineRule="auto"/>
        <w:tabs>
          <w:tab w:leader="none" w:pos="104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7"/>
          <w:szCs w:val="17"/>
          <w:color w:val="auto"/>
        </w:rPr>
      </w:pPr>
    </w:p>
    <w:p>
      <w:pPr>
        <w:jc w:val="both"/>
        <w:ind w:left="860" w:hanging="10"/>
        <w:spacing w:after="0" w:line="265" w:lineRule="auto"/>
        <w:tabs>
          <w:tab w:leader="none" w:pos="1046"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7"/>
          <w:szCs w:val="17"/>
          <w:color w:val="auto"/>
        </w:rPr>
      </w:pPr>
    </w:p>
    <w:p>
      <w:pPr>
        <w:ind w:left="860" w:hanging="10"/>
        <w:spacing w:after="0" w:line="281" w:lineRule="auto"/>
        <w:tabs>
          <w:tab w:leader="none" w:pos="1038"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jc w:val="both"/>
        <w:ind w:left="860" w:hanging="10"/>
        <w:spacing w:after="0" w:line="265" w:lineRule="auto"/>
        <w:tabs>
          <w:tab w:leader="none" w:pos="105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7"/>
          <w:szCs w:val="17"/>
          <w:color w:val="auto"/>
        </w:rPr>
      </w:pPr>
    </w:p>
    <w:p>
      <w:pPr>
        <w:ind w:left="440" w:hanging="432"/>
        <w:spacing w:after="0" w:line="281" w:lineRule="auto"/>
        <w:tabs>
          <w:tab w:leader="none" w:pos="4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860" w:hanging="10"/>
        <w:spacing w:after="0" w:line="281" w:lineRule="auto"/>
        <w:tabs>
          <w:tab w:leader="none" w:pos="1043"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860" w:hanging="10"/>
        <w:spacing w:after="0" w:line="281" w:lineRule="auto"/>
        <w:tabs>
          <w:tab w:leader="none" w:pos="105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 February 25, 2019</w:t>
            </w:r>
          </w:p>
        </w:tc>
        <w:tc>
          <w:tcPr>
            <w:tcW w:w="4200" w:type="dxa"/>
            <w:vAlign w:val="bottom"/>
            <w:gridSpan w:val="2"/>
          </w:tcPr>
          <w:p>
            <w:pPr>
              <w:ind w:left="2180"/>
              <w:spacing w:after="0"/>
              <w:rPr>
                <w:sz w:val="20"/>
                <w:szCs w:val="20"/>
                <w:color w:val="auto"/>
              </w:rPr>
            </w:pPr>
            <w:r>
              <w:rPr>
                <w:rFonts w:ascii="Times New Roman" w:cs="Times New Roman" w:eastAsia="Times New Roman" w:hAnsi="Times New Roman"/>
                <w:sz w:val="17"/>
                <w:szCs w:val="17"/>
                <w:color w:val="auto"/>
              </w:rPr>
              <w:t>/s/ 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7"/>
                <w:szCs w:val="17"/>
                <w:color w:val="auto"/>
              </w:rPr>
              <w:t xml:space="preserve"> A. F</w:t>
            </w:r>
            <w:r>
              <w:rPr>
                <w:rFonts w:ascii="Times New Roman" w:cs="Times New Roman" w:eastAsia="Times New Roman" w:hAnsi="Times New Roman"/>
                <w:sz w:val="13"/>
                <w:szCs w:val="13"/>
                <w:color w:val="auto"/>
              </w:rPr>
              <w:t>RIST</w:t>
            </w:r>
            <w:r>
              <w:rPr>
                <w:rFonts w:ascii="Times New Roman" w:cs="Times New Roman" w:eastAsia="Times New Roman" w:hAnsi="Times New Roman"/>
                <w:sz w:val="17"/>
                <w:szCs w:val="17"/>
                <w:color w:val="auto"/>
              </w:rPr>
              <w:t>, J</w:t>
            </w:r>
            <w:r>
              <w:rPr>
                <w:rFonts w:ascii="Times New Roman" w:cs="Times New Roman" w:eastAsia="Times New Roman" w:hAnsi="Times New Roman"/>
                <w:sz w:val="13"/>
                <w:szCs w:val="13"/>
                <w:color w:val="auto"/>
              </w:rPr>
              <w:t>R</w:t>
            </w:r>
            <w:r>
              <w:rPr>
                <w:rFonts w:ascii="Times New Roman" w:cs="Times New Roman" w:eastAsia="Times New Roman" w:hAnsi="Times New Roman"/>
                <w:sz w:val="17"/>
                <w:szCs w:val="17"/>
                <w:color w:val="auto"/>
              </w:rPr>
              <w:t>.</w:t>
            </w:r>
          </w:p>
        </w:tc>
      </w:tr>
      <w:tr>
        <w:trPr>
          <w:trHeight w:val="20"/>
        </w:trPr>
        <w:tc>
          <w:tcPr>
            <w:tcW w:w="3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201"/>
        </w:trPr>
        <w:tc>
          <w:tcPr>
            <w:tcW w:w="3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200" w:type="dxa"/>
            <w:vAlign w:val="bottom"/>
            <w:gridSpan w:val="2"/>
          </w:tcPr>
          <w:p>
            <w:pPr>
              <w:ind w:left="2180"/>
              <w:spacing w:after="0"/>
              <w:rPr>
                <w:sz w:val="20"/>
                <w:szCs w:val="20"/>
                <w:color w:val="auto"/>
              </w:rPr>
            </w:pPr>
            <w:r>
              <w:rPr>
                <w:rFonts w:ascii="Times New Roman" w:cs="Times New Roman" w:eastAsia="Times New Roman" w:hAnsi="Times New Roman"/>
                <w:sz w:val="17"/>
                <w:szCs w:val="17"/>
                <w:color w:val="auto"/>
              </w:rPr>
              <w:t>Robert A. Frist, Jr.</w:t>
            </w:r>
          </w:p>
        </w:tc>
      </w:tr>
      <w:tr>
        <w:trPr>
          <w:trHeight w:val="222"/>
        </w:trPr>
        <w:tc>
          <w:tcPr>
            <w:tcW w:w="3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200" w:type="dxa"/>
            <w:vAlign w:val="bottom"/>
            <w:gridSpan w:val="2"/>
          </w:tcPr>
          <w:p>
            <w:pPr>
              <w:ind w:left="218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420"/>
          </w:cols>
          <w:pgMar w:left="240" w:top="118"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2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7"/>
          <w:szCs w:val="17"/>
          <w:color w:val="auto"/>
        </w:rPr>
        <w:t>Gerard M. Hayden, Jr., certify that:</w:t>
      </w:r>
    </w:p>
    <w:p>
      <w:pPr>
        <w:spacing w:after="0" w:line="223"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HealthStream, Inc.;</w:t>
      </w:r>
    </w:p>
    <w:p>
      <w:pPr>
        <w:spacing w:after="0" w:line="223" w:lineRule="exact"/>
        <w:rPr>
          <w:rFonts w:ascii="Times New Roman" w:cs="Times New Roman" w:eastAsia="Times New Roman" w:hAnsi="Times New Roman"/>
          <w:sz w:val="17"/>
          <w:szCs w:val="17"/>
          <w:color w:val="auto"/>
        </w:rPr>
      </w:pPr>
    </w:p>
    <w:p>
      <w:pPr>
        <w:ind w:left="440" w:hanging="432"/>
        <w:spacing w:after="0" w:line="281" w:lineRule="auto"/>
        <w:tabs>
          <w:tab w:leader="none" w:pos="4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440" w:right="20" w:hanging="432"/>
        <w:spacing w:after="0" w:line="281" w:lineRule="auto"/>
        <w:tabs>
          <w:tab w:leader="none" w:pos="4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jc w:val="both"/>
        <w:ind w:left="440" w:hanging="432"/>
        <w:spacing w:after="0" w:line="265" w:lineRule="auto"/>
        <w:tabs>
          <w:tab w:leader="none" w:pos="4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7"/>
          <w:szCs w:val="17"/>
          <w:color w:val="auto"/>
        </w:rPr>
      </w:pPr>
    </w:p>
    <w:p>
      <w:pPr>
        <w:jc w:val="both"/>
        <w:ind w:left="860" w:hanging="10"/>
        <w:spacing w:after="0" w:line="265" w:lineRule="auto"/>
        <w:tabs>
          <w:tab w:leader="none" w:pos="104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7"/>
          <w:szCs w:val="17"/>
          <w:color w:val="auto"/>
        </w:rPr>
      </w:pPr>
    </w:p>
    <w:p>
      <w:pPr>
        <w:jc w:val="both"/>
        <w:ind w:left="860" w:hanging="10"/>
        <w:spacing w:after="0" w:line="265" w:lineRule="auto"/>
        <w:tabs>
          <w:tab w:leader="none" w:pos="1046"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7"/>
          <w:szCs w:val="17"/>
          <w:color w:val="auto"/>
        </w:rPr>
      </w:pPr>
    </w:p>
    <w:p>
      <w:pPr>
        <w:ind w:left="860" w:hanging="10"/>
        <w:spacing w:after="0" w:line="281" w:lineRule="auto"/>
        <w:tabs>
          <w:tab w:leader="none" w:pos="103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jc w:val="both"/>
        <w:ind w:left="860" w:hanging="10"/>
        <w:spacing w:after="0" w:line="265" w:lineRule="auto"/>
        <w:tabs>
          <w:tab w:leader="none" w:pos="1057"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7"/>
          <w:szCs w:val="17"/>
          <w:color w:val="auto"/>
        </w:rPr>
      </w:pPr>
    </w:p>
    <w:p>
      <w:pPr>
        <w:ind w:left="440" w:hanging="432"/>
        <w:spacing w:after="0" w:line="281" w:lineRule="auto"/>
        <w:tabs>
          <w:tab w:leader="none" w:pos="4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860" w:hanging="10"/>
        <w:spacing w:after="0" w:line="281" w:lineRule="auto"/>
        <w:tabs>
          <w:tab w:leader="none" w:pos="1043"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860" w:hanging="10"/>
        <w:spacing w:after="0" w:line="281" w:lineRule="auto"/>
        <w:tabs>
          <w:tab w:leader="none" w:pos="1054"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 February 25, 2019</w:t>
            </w:r>
          </w:p>
        </w:tc>
        <w:tc>
          <w:tcPr>
            <w:tcW w:w="4560" w:type="dxa"/>
            <w:vAlign w:val="bottom"/>
            <w:gridSpan w:val="2"/>
          </w:tcPr>
          <w:p>
            <w:pPr>
              <w:ind w:left="2200"/>
              <w:spacing w:after="0"/>
              <w:rPr>
                <w:sz w:val="20"/>
                <w:szCs w:val="20"/>
                <w:color w:val="auto"/>
              </w:rPr>
            </w:pPr>
            <w:r>
              <w:rPr>
                <w:rFonts w:ascii="Times New Roman" w:cs="Times New Roman" w:eastAsia="Times New Roman" w:hAnsi="Times New Roman"/>
                <w:sz w:val="17"/>
                <w:szCs w:val="17"/>
                <w:color w:val="auto"/>
              </w:rPr>
              <w:t>/s/ G</w:t>
            </w:r>
            <w:r>
              <w:rPr>
                <w:rFonts w:ascii="Times New Roman" w:cs="Times New Roman" w:eastAsia="Times New Roman" w:hAnsi="Times New Roman"/>
                <w:sz w:val="13"/>
                <w:szCs w:val="13"/>
                <w:color w:val="auto"/>
              </w:rPr>
              <w:t>ERARD</w:t>
            </w:r>
            <w:r>
              <w:rPr>
                <w:rFonts w:ascii="Times New Roman" w:cs="Times New Roman" w:eastAsia="Times New Roman" w:hAnsi="Times New Roman"/>
                <w:sz w:val="17"/>
                <w:szCs w:val="17"/>
                <w:color w:val="auto"/>
              </w:rPr>
              <w:t xml:space="preserve"> M. H</w:t>
            </w:r>
            <w:r>
              <w:rPr>
                <w:rFonts w:ascii="Times New Roman" w:cs="Times New Roman" w:eastAsia="Times New Roman" w:hAnsi="Times New Roman"/>
                <w:sz w:val="13"/>
                <w:szCs w:val="13"/>
                <w:color w:val="auto"/>
              </w:rPr>
              <w:t>AYDEN</w:t>
            </w:r>
            <w:r>
              <w:rPr>
                <w:rFonts w:ascii="Times New Roman" w:cs="Times New Roman" w:eastAsia="Times New Roman" w:hAnsi="Times New Roman"/>
                <w:sz w:val="17"/>
                <w:szCs w:val="17"/>
                <w:color w:val="auto"/>
              </w:rPr>
              <w:t>, J</w:t>
            </w:r>
            <w:r>
              <w:rPr>
                <w:rFonts w:ascii="Times New Roman" w:cs="Times New Roman" w:eastAsia="Times New Roman" w:hAnsi="Times New Roman"/>
                <w:sz w:val="13"/>
                <w:szCs w:val="13"/>
                <w:color w:val="auto"/>
              </w:rPr>
              <w:t>R</w:t>
            </w:r>
            <w:r>
              <w:rPr>
                <w:rFonts w:ascii="Times New Roman" w:cs="Times New Roman" w:eastAsia="Times New Roman" w:hAnsi="Times New Roman"/>
                <w:sz w:val="17"/>
                <w:szCs w:val="17"/>
                <w:color w:val="auto"/>
              </w:rPr>
              <w:t>.</w:t>
            </w:r>
          </w:p>
        </w:tc>
      </w:tr>
      <w:tr>
        <w:trPr>
          <w:trHeight w:val="20"/>
        </w:trPr>
        <w:tc>
          <w:tcPr>
            <w:tcW w:w="3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201"/>
        </w:trPr>
        <w:tc>
          <w:tcPr>
            <w:tcW w:w="3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560" w:type="dxa"/>
            <w:vAlign w:val="bottom"/>
            <w:gridSpan w:val="2"/>
          </w:tcPr>
          <w:p>
            <w:pPr>
              <w:ind w:left="2200"/>
              <w:spacing w:after="0"/>
              <w:rPr>
                <w:sz w:val="20"/>
                <w:szCs w:val="20"/>
                <w:color w:val="auto"/>
              </w:rPr>
            </w:pPr>
            <w:r>
              <w:rPr>
                <w:rFonts w:ascii="Times New Roman" w:cs="Times New Roman" w:eastAsia="Times New Roman" w:hAnsi="Times New Roman"/>
                <w:sz w:val="17"/>
                <w:szCs w:val="17"/>
                <w:color w:val="auto"/>
              </w:rPr>
              <w:t>Gerard M. Hayden, Jr.</w:t>
            </w:r>
          </w:p>
        </w:tc>
      </w:tr>
      <w:tr>
        <w:trPr>
          <w:trHeight w:val="222"/>
        </w:trPr>
        <w:tc>
          <w:tcPr>
            <w:tcW w:w="3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560" w:type="dxa"/>
            <w:vAlign w:val="bottom"/>
            <w:gridSpan w:val="2"/>
          </w:tcPr>
          <w:p>
            <w:pPr>
              <w:ind w:left="220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420"/>
          </w:cols>
          <w:pgMar w:left="240" w:top="118"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Annual Report of HealthStream, Inc. (the “Company”) on Form 10-K for the year ending December 31, 2018, as filed with the Securities and Exchange Commission on the date hereof (the “Report”), Robert A. Frist, Jr., Chief Executive Officer of the Company certifies, pursuant to 18 U.S.C. §1350, as adopted pursuant to §906 of the Sarbanes-Oxley Act of 2002, that:</w:t>
      </w:r>
    </w:p>
    <w:p>
      <w:pPr>
        <w:spacing w:after="0" w:line="176" w:lineRule="exact"/>
        <w:rPr>
          <w:sz w:val="20"/>
          <w:szCs w:val="20"/>
          <w:color w:val="auto"/>
        </w:rPr>
      </w:pPr>
    </w:p>
    <w:p>
      <w:pPr>
        <w:ind w:left="1040" w:hanging="438"/>
        <w:spacing w:after="0"/>
        <w:tabs>
          <w:tab w:leader="none" w:pos="10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63" w:lineRule="exact"/>
        <w:rPr>
          <w:rFonts w:ascii="Times New Roman" w:cs="Times New Roman" w:eastAsia="Times New Roman" w:hAnsi="Times New Roman"/>
          <w:sz w:val="17"/>
          <w:szCs w:val="17"/>
          <w:color w:val="auto"/>
        </w:rPr>
      </w:pPr>
    </w:p>
    <w:p>
      <w:pPr>
        <w:ind w:left="1040" w:hanging="438"/>
        <w:spacing w:after="0"/>
        <w:tabs>
          <w:tab w:leader="none" w:pos="10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7"/>
          <w:szCs w:val="17"/>
          <w:color w:val="auto"/>
        </w:rPr>
        <w:t xml:space="preserve"> A. F</w:t>
      </w:r>
      <w:r>
        <w:rPr>
          <w:rFonts w:ascii="Times New Roman" w:cs="Times New Roman" w:eastAsia="Times New Roman" w:hAnsi="Times New Roman"/>
          <w:sz w:val="13"/>
          <w:szCs w:val="13"/>
          <w:color w:val="auto"/>
        </w:rPr>
        <w:t>RIST</w:t>
      </w:r>
      <w:r>
        <w:rPr>
          <w:rFonts w:ascii="Times New Roman" w:cs="Times New Roman" w:eastAsia="Times New Roman" w:hAnsi="Times New Roman"/>
          <w:sz w:val="17"/>
          <w:szCs w:val="17"/>
          <w:color w:val="auto"/>
        </w:rPr>
        <w:t>, J</w:t>
      </w:r>
      <w:r>
        <w:rPr>
          <w:rFonts w:ascii="Times New Roman" w:cs="Times New Roman" w:eastAsia="Times New Roman" w:hAnsi="Times New Roman"/>
          <w:sz w:val="13"/>
          <w:szCs w:val="13"/>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62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Robert A. Frist, Jr.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2019</w:t>
      </w:r>
    </w:p>
    <w:p>
      <w:pPr>
        <w:sectPr>
          <w:pgSz w:w="11900" w:h="16838" w:orient="portrait"/>
          <w:cols w:equalWidth="0" w:num="1">
            <w:col w:w="11420"/>
          </w:cols>
          <w:pgMar w:left="240" w:top="118"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Annual Report of HealthStream, Inc. (the “Company”) on Form 10-K for the year ending December 31, 2018, as filed with the Securities and Exchange Commission on the date hereof (the “Report”), Gerard M. Hayden, Jr., Chief Financial Officer of the Company certifies, pursuant to 18 U.S.C. § 1350, as adopted pursuant to §906 of the Sarbanes-Oxley Act of 2002, that:</w:t>
      </w:r>
    </w:p>
    <w:p>
      <w:pPr>
        <w:spacing w:after="0" w:line="176" w:lineRule="exact"/>
        <w:rPr>
          <w:sz w:val="20"/>
          <w:szCs w:val="20"/>
          <w:color w:val="auto"/>
        </w:rPr>
      </w:pPr>
    </w:p>
    <w:p>
      <w:pPr>
        <w:ind w:left="1040" w:hanging="438"/>
        <w:spacing w:after="0"/>
        <w:tabs>
          <w:tab w:leader="none" w:pos="10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63" w:lineRule="exact"/>
        <w:rPr>
          <w:rFonts w:ascii="Times New Roman" w:cs="Times New Roman" w:eastAsia="Times New Roman" w:hAnsi="Times New Roman"/>
          <w:sz w:val="17"/>
          <w:szCs w:val="17"/>
          <w:color w:val="auto"/>
        </w:rPr>
      </w:pPr>
    </w:p>
    <w:p>
      <w:pPr>
        <w:ind w:left="1040" w:hanging="438"/>
        <w:spacing w:after="0"/>
        <w:tabs>
          <w:tab w:leader="none" w:pos="10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w:t>
      </w:r>
      <w:r>
        <w:rPr>
          <w:rFonts w:ascii="Times New Roman" w:cs="Times New Roman" w:eastAsia="Times New Roman" w:hAnsi="Times New Roman"/>
          <w:sz w:val="13"/>
          <w:szCs w:val="13"/>
          <w:color w:val="auto"/>
        </w:rPr>
        <w:t>ERARD</w:t>
      </w:r>
      <w:r>
        <w:rPr>
          <w:rFonts w:ascii="Times New Roman" w:cs="Times New Roman" w:eastAsia="Times New Roman" w:hAnsi="Times New Roman"/>
          <w:sz w:val="17"/>
          <w:szCs w:val="17"/>
          <w:color w:val="auto"/>
        </w:rPr>
        <w:t xml:space="preserve"> M. H</w:t>
      </w:r>
      <w:r>
        <w:rPr>
          <w:rFonts w:ascii="Times New Roman" w:cs="Times New Roman" w:eastAsia="Times New Roman" w:hAnsi="Times New Roman"/>
          <w:sz w:val="13"/>
          <w:szCs w:val="13"/>
          <w:color w:val="auto"/>
        </w:rPr>
        <w:t>AYDEN</w:t>
      </w:r>
      <w:r>
        <w:rPr>
          <w:rFonts w:ascii="Times New Roman" w:cs="Times New Roman" w:eastAsia="Times New Roman" w:hAnsi="Times New Roman"/>
          <w:sz w:val="17"/>
          <w:szCs w:val="17"/>
          <w:color w:val="auto"/>
        </w:rPr>
        <w:t>, J</w:t>
      </w:r>
      <w:r>
        <w:rPr>
          <w:rFonts w:ascii="Times New Roman" w:cs="Times New Roman" w:eastAsia="Times New Roman" w:hAnsi="Times New Roman"/>
          <w:sz w:val="13"/>
          <w:szCs w:val="13"/>
          <w:color w:val="auto"/>
        </w:rPr>
        <w:t>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6617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166179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Gerard M. Hayden, Jr.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2019</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lowerRoman"/>
      <w:start w:val="2"/>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upperLetter"/>
      <w:start w:val="35"/>
    </w:lvl>
  </w:abstractNum>
  <w:abstractNum w:abstractNumId="16">
    <w:nsid w:val="8EDBDAB"/>
    <w:multiLevelType w:val="hybridMultilevel"/>
    <w:lvl w:ilvl="0">
      <w:lvlJc w:val="left"/>
      <w:lvlText w:val="%1."/>
      <w:numFmt w:val="upperLetter"/>
      <w:start w:val="6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14"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93" Type="http://schemas.openxmlformats.org/officeDocument/2006/relationships/hyperlink" Target="http://www.sec.gov/Archives/edgar/data/1095565/000119312515048084/d873769dex21.htm" TargetMode="External"/><Relationship Id="rId94" Type="http://schemas.openxmlformats.org/officeDocument/2006/relationships/hyperlink" Target="http://www.sec.gov/Archives/edgar/data/1095565/000119312516675268/d224442dex21.htm" TargetMode="External"/><Relationship Id="rId95" Type="http://schemas.openxmlformats.org/officeDocument/2006/relationships/hyperlink" Target="http://www.sec.gov/Archives/edgar/data/1095565/000119312518040420/d539001dex21.htm" TargetMode="External"/><Relationship Id="rId96" Type="http://schemas.openxmlformats.org/officeDocument/2006/relationships/hyperlink" Target="http://www.sec.gov/Archives/edgar/data/1095565/000095014499011846/0000950144-99-011846.txt" TargetMode="External"/><Relationship Id="rId97" Type="http://schemas.openxmlformats.org/officeDocument/2006/relationships/hyperlink" Target="http://www.sec.gov/Archives/edgar/data/1095565/000119312515351970/d98731d8k.htm" TargetMode="External"/><Relationship Id="rId98" Type="http://schemas.openxmlformats.org/officeDocument/2006/relationships/hyperlink" Target="http://www.sec.gov/Archives/edgar/data/1095565/000095012310040277/g23091def14a.htm" TargetMode="External"/><Relationship Id="rId99" Type="http://schemas.openxmlformats.org/officeDocument/2006/relationships/hyperlink" Target="http://www.sec.gov/Archives/edgar/data/1095565/000095014405007684/g96421exv10w1.txt" TargetMode="External"/><Relationship Id="rId100" Type="http://schemas.openxmlformats.org/officeDocument/2006/relationships/hyperlink" Target="http://www.sec.gov/Archives/edgar/data/1095565/000095012310054853/g23651exv10w2.htm" TargetMode="External"/><Relationship Id="rId101" Type="http://schemas.openxmlformats.org/officeDocument/2006/relationships/hyperlink" Target="http://www.sec.gov/Archives/edgar/data/1095565/000095012310054853/g23651exv10w3.htm" TargetMode="External"/><Relationship Id="rId102" Type="http://schemas.openxmlformats.org/officeDocument/2006/relationships/hyperlink" Target="http://www.sec.gov/Archives/edgar/data/1095565/000095012310054853/g23651exv10w4.htm" TargetMode="External"/><Relationship Id="rId103" Type="http://schemas.openxmlformats.org/officeDocument/2006/relationships/hyperlink" Target="http://www.sec.gov/Archives/edgar/data/1095565/000119312512196241/d338502dex1014.htm" TargetMode="External"/><Relationship Id="rId104" Type="http://schemas.openxmlformats.org/officeDocument/2006/relationships/hyperlink" Target="http://www.sec.gov/Archives/edgar/data/1095565/000119312512196241/d338502dex1015.htm" TargetMode="External"/><Relationship Id="rId105" Type="http://schemas.openxmlformats.org/officeDocument/2006/relationships/hyperlink" Target="http://www.sec.gov/Archives/edgar/data/1095565/000119312514425153/d827074dex101.htm" TargetMode="External"/><Relationship Id="rId106" Type="http://schemas.openxmlformats.org/officeDocument/2006/relationships/hyperlink" Target="http://www.sec.gov/Archives/edgar/data/1095565/000119312515360248/d81538dex101.htm" TargetMode="External"/><Relationship Id="rId107" Type="http://schemas.openxmlformats.org/officeDocument/2006/relationships/hyperlink" Target="http://www.sec.gov/Archives/edgar/data/1095565/000119312516608509/d201384dex101.htm" TargetMode="External"/><Relationship Id="rId108" Type="http://schemas.openxmlformats.org/officeDocument/2006/relationships/hyperlink" Target="http://www.sec.gov/Archives/edgar/data/1095565/000119312517151764/d371755dex101.htm" TargetMode="External"/><Relationship Id="rId109" Type="http://schemas.openxmlformats.org/officeDocument/2006/relationships/hyperlink" Target="http://www.sec.gov/Archives/edgar/data/1095565/000119312517151764/d371755dex102.htm" TargetMode="External"/><Relationship Id="rId110" Type="http://schemas.openxmlformats.org/officeDocument/2006/relationships/hyperlink" Target="http://www.sec.gov/Archives/edgar/data/1095565/000119312517242423/d408430dex101.htm" TargetMode="External"/><Relationship Id="rId111" Type="http://schemas.openxmlformats.org/officeDocument/2006/relationships/hyperlink" Target="http://www.sec.gov/Archives/edgar/data/1095565/000129993317001158/exhibit1.htm" TargetMode="External"/><Relationship Id="rId112" Type="http://schemas.openxmlformats.org/officeDocument/2006/relationships/hyperlink" Target="http://www.sec.gov/Archives/edgar/data/1095565/000156459019000062/hstm-ex101_7.htm" TargetMode="External"/><Relationship Id="rId113" Type="http://schemas.openxmlformats.org/officeDocument/2006/relationships/hyperlink" Target="http://www.sec.gov/Archives/edgar/data/1095565/000119312518164769/d569040dex101.htm" TargetMode="External"/><Relationship Id="rId115" Type="http://schemas.openxmlformats.org/officeDocument/2006/relationships/hyperlink" Target="http://www.sec.gov/Archives/edgar/data/1095565/000119312518164769/d56904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2019-12-28T15:59:52Z</dcterms:created>
  <dcterms:modified xsi:type="dcterms:W3CDTF">2019-12-28T15:59:52Z</dcterms:modified>
</cp:coreProperties>
</file>