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hstm20250930_10q.htm"/>
      <w:bookmarkStart w:id="1" w:name="kshstm20250930_10q"/>
      <w:bookmarkEnd w:id="0"/>
      <w:bookmarkEnd w:id="1"/>
      <w:r>
        <w:rPr/>
        <w:t xml:space="preserve">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One)</w:t>
      </w:r>
    </w:p>
    <w:tbl>
      <w:tblPr>
        <w:tblW w:w="7645" w:type="dxa"/>
        <w:jc w:val="left"/>
        <w:tblInd w:w="0" w:type="dxa"/>
        <w:tblLayout w:type="fixed"/>
        <w:tblCellMar>
          <w:top w:w="0" w:type="dxa"/>
          <w:left w:w="0" w:type="dxa"/>
          <w:bottom w:w="0" w:type="dxa"/>
          <w:right w:w="0" w:type="dxa"/>
        </w:tblCellMar>
      </w:tblPr>
      <w:tblGrid>
        <w:gridCol w:w="230"/>
        <w:gridCol w:w="741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quarterly period ended </w:t>
      </w:r>
      <w:r>
        <w:rPr>
          <w:rFonts w:ascii="Times New Roman" w:hAnsi="Times New Roman"/>
          <w:caps w:val="false"/>
          <w:smallCaps w:val="false"/>
          <w:sz w:val="20"/>
        </w:rPr>
        <w:t>September 30, 2025</w:t>
      </w:r>
    </w:p>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230"/>
        <w:gridCol w:w="74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No.: 000-27701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3275"/>
        <w:gridCol w:w="1550"/>
      </w:tblGrid>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Tennessee</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62-1443555</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r>
        <w:trPr/>
        <w:tc>
          <w:tcPr>
            <w:tcW w:w="32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500 11th Avenue North, Suite 850,</w:t>
            </w:r>
          </w:p>
        </w:tc>
        <w:tc>
          <w:tcPr>
            <w:tcW w:w="155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Nashville</w:t>
            </w:r>
            <w:r>
              <w:rPr>
                <w:rFonts w:ascii="Times New Roman" w:hAnsi="Times New Roman"/>
                <w:b/>
                <w:caps w:val="false"/>
                <w:smallCaps w:val="false"/>
                <w:sz w:val="20"/>
              </w:rPr>
              <w:t>,</w:t>
            </w:r>
            <w:r>
              <w:rPr>
                <w:rFonts w:ascii="Times New Roman" w:hAnsi="Times New Roman"/>
                <w:b/>
                <w:caps w:val="false"/>
                <w:smallCaps w:val="false"/>
                <w:sz w:val="20"/>
                <w:u w:val="single"/>
              </w:rPr>
              <w:t xml:space="preserve"> Tennessee</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37203</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(615) 301-3100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040" w:type="dxa"/>
        <w:jc w:val="left"/>
        <w:tblInd w:w="0" w:type="dxa"/>
        <w:tblLayout w:type="fixed"/>
        <w:tblCellMar>
          <w:top w:w="0" w:type="dxa"/>
          <w:left w:w="0" w:type="dxa"/>
          <w:bottom w:w="28" w:type="dxa"/>
          <w:right w:w="0" w:type="dxa"/>
        </w:tblCellMar>
      </w:tblPr>
      <w:tblGrid>
        <w:gridCol w:w="2735"/>
        <w:gridCol w:w="1610"/>
        <w:gridCol w:w="3695"/>
      </w:tblGrid>
      <w:tr>
        <w:trPr/>
        <w:tc>
          <w:tcPr>
            <w:tcW w:w="27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Symbol(s)</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7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HSTM</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2225"/>
        <w:gridCol w:w="230"/>
        <w:gridCol w:w="60"/>
        <w:gridCol w:w="60"/>
        <w:gridCol w:w="2225"/>
        <w:gridCol w:w="230"/>
      </w:tblGrid>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283"/>
              <w:jc w:val="left"/>
              <w:rPr/>
            </w:pPr>
            <w:r>
              <w:rPr/>
              <w:t>☒</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November 3, 2025, there were 29,668,137 shares of the registrant’s common stock outstanding.</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2" w:name="toc"/>
      <w:bookmarkEnd w:id="2"/>
      <w:r>
        <w:rPr>
          <w:rFonts w:ascii="Times New Roman" w:hAnsi="Times New Roman"/>
          <w:b/>
          <w:caps w:val="false"/>
          <w:smallCaps w:val="false"/>
          <w:sz w:val="20"/>
        </w:rPr>
        <w:t>Index to Form 10</w:t>
      </w:r>
      <w:r>
        <w:rPr>
          <w:rFonts w:ascii="Times New Roman" w:hAnsi="Times New Roman"/>
          <w:caps w:val="false"/>
          <w:smallCaps w:val="false"/>
          <w:sz w:val="20"/>
        </w:rPr>
        <w:noBreakHyphen/>
      </w:r>
      <w:r>
        <w:rPr>
          <w:rFonts w:ascii="Times New Roman" w:hAnsi="Times New Roman"/>
          <w:b/>
          <w:caps w:val="false"/>
          <w:smallCaps w:val="false"/>
          <w:sz w:val="20"/>
        </w:rPr>
        <w:t>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30" w:type="dxa"/>
          <w:left w:w="30" w:type="dxa"/>
          <w:bottom w:w="30" w:type="dxa"/>
          <w:right w:w="30" w:type="dxa"/>
        </w:tblCellMar>
      </w:tblPr>
      <w:tblGrid>
        <w:gridCol w:w="689"/>
        <w:gridCol w:w="8730"/>
        <w:gridCol w:w="786"/>
      </w:tblGrid>
      <w:tr>
        <w:trPr/>
        <w:tc>
          <w:tcPr>
            <w:tcW w:w="689" w:type="dxa"/>
            <w:tcBorders/>
            <w:vAlign w:val="center"/>
          </w:tcPr>
          <w:p>
            <w:pPr>
              <w:pStyle w:val="TableContents"/>
              <w:bidi w:val="0"/>
              <w:spacing w:before="0" w:after="283"/>
              <w:jc w:val="left"/>
              <w:rPr/>
            </w:pPr>
            <w:r>
              <w:rPr/>
              <w:t> </w:t>
            </w:r>
          </w:p>
        </w:tc>
        <w:tc>
          <w:tcPr>
            <w:tcW w:w="8730" w:type="dxa"/>
            <w:tcBorders/>
            <w:vAlign w:val="center"/>
          </w:tcPr>
          <w:p>
            <w:pPr>
              <w:pStyle w:val="TableContents"/>
              <w:bidi w:val="0"/>
              <w:spacing w:before="0" w:after="283"/>
              <w:jc w:val="left"/>
              <w:rPr/>
            </w:pPr>
            <w:r>
              <w:rPr/>
              <w:t> </w:t>
            </w:r>
          </w:p>
        </w:tc>
        <w:tc>
          <w:tcPr>
            <w:tcW w:w="786"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r>
      <w:tr>
        <w:trPr/>
        <w:tc>
          <w:tcPr>
            <w:tcW w:w="68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Part I.</w:t>
            </w:r>
          </w:p>
        </w:tc>
        <w:tc>
          <w:tcPr>
            <w:tcW w:w="8730" w:type="dxa"/>
            <w:tcBorders/>
            <w:vAlign w:val="center"/>
          </w:tcPr>
          <w:p>
            <w:pPr>
              <w:pStyle w:val="TableContents"/>
              <w:bidi w:val="0"/>
              <w:spacing w:before="0" w:after="0"/>
              <w:ind w:left="0" w:right="0" w:hanging="0"/>
              <w:jc w:val="both"/>
              <w:rPr/>
            </w:pPr>
            <w:hyperlink w:anchor="parti">
              <w:r>
                <w:rPr>
                  <w:rStyle w:val="InternetLink"/>
                  <w:rFonts w:ascii="Times New Roman;Times;serif" w:hAnsi="Times New Roman;Times;serif"/>
                  <w:caps w:val="false"/>
                  <w:smallCaps w:val="false"/>
                  <w:sz w:val="20"/>
                  <w:u w:val="single"/>
                </w:rPr>
                <w:t>Financial Information</w:t>
              </w:r>
            </w:hyperlink>
          </w:p>
        </w:tc>
        <w:tc>
          <w:tcPr>
            <w:tcW w:w="786" w:type="dxa"/>
            <w:tcBorders/>
            <w:vAlign w:val="center"/>
          </w:tcPr>
          <w:p>
            <w:pPr>
              <w:pStyle w:val="TableContents"/>
              <w:bidi w:val="0"/>
              <w:spacing w:before="0" w:after="0"/>
              <w:ind w:left="0" w:right="0" w:hanging="0"/>
              <w:jc w:val="right"/>
              <w:rPr/>
            </w:pPr>
            <w:hyperlink w:anchor="parti">
              <w:r>
                <w:rPr>
                  <w:rStyle w:val="InternetLink"/>
                  <w:rFonts w:ascii="Times New Roman;Times;serif" w:hAnsi="Times New Roman;Times;serif"/>
                  <w:caps w:val="false"/>
                  <w:smallCaps w:val="false"/>
                  <w:sz w:val="20"/>
                </w:rPr>
                <w:t>1</w:t>
              </w:r>
            </w:hyperlink>
          </w:p>
        </w:tc>
      </w:tr>
      <w:tr>
        <w:trPr/>
        <w:tc>
          <w:tcPr>
            <w:tcW w:w="68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8730" w:type="dxa"/>
            <w:tcBorders/>
            <w:vAlign w:val="center"/>
          </w:tcPr>
          <w:p>
            <w:pPr>
              <w:pStyle w:val="TableContents"/>
              <w:bidi w:val="0"/>
              <w:spacing w:before="0" w:after="0"/>
              <w:ind w:left="0" w:right="0" w:hanging="0"/>
              <w:jc w:val="both"/>
              <w:rPr/>
            </w:pPr>
            <w:hyperlink w:anchor="parti">
              <w:r>
                <w:rPr>
                  <w:rStyle w:val="InternetLink"/>
                  <w:rFonts w:ascii="Times New Roman;Times;serif" w:hAnsi="Times New Roman;Times;serif"/>
                  <w:caps w:val="false"/>
                  <w:smallCaps w:val="false"/>
                  <w:sz w:val="20"/>
                  <w:u w:val="single"/>
                </w:rPr>
                <w:t>Financial Statements</w:t>
              </w:r>
            </w:hyperlink>
          </w:p>
        </w:tc>
        <w:tc>
          <w:tcPr>
            <w:tcW w:w="786" w:type="dxa"/>
            <w:tcBorders/>
            <w:vAlign w:val="center"/>
          </w:tcPr>
          <w:p>
            <w:pPr>
              <w:pStyle w:val="TableContents"/>
              <w:bidi w:val="0"/>
              <w:spacing w:before="0" w:after="0"/>
              <w:ind w:left="0" w:right="0" w:hanging="0"/>
              <w:jc w:val="right"/>
              <w:rPr/>
            </w:pPr>
            <w:hyperlink w:anchor="parti">
              <w:r>
                <w:rPr>
                  <w:rStyle w:val="InternetLink"/>
                  <w:rFonts w:ascii="Times New Roman;Times;serif" w:hAnsi="Times New Roman;Times;serif"/>
                  <w:caps w:val="false"/>
                  <w:smallCaps w:val="false"/>
                  <w:sz w:val="20"/>
                </w:rPr>
                <w:t>1</w:t>
              </w:r>
            </w:hyperlink>
          </w:p>
        </w:tc>
      </w:tr>
      <w:tr>
        <w:trPr/>
        <w:tc>
          <w:tcPr>
            <w:tcW w:w="689" w:type="dxa"/>
            <w:tcBorders/>
            <w:vAlign w:val="center"/>
          </w:tcPr>
          <w:p>
            <w:pPr>
              <w:pStyle w:val="TableContents"/>
              <w:bidi w:val="0"/>
              <w:spacing w:before="0" w:after="283"/>
              <w:jc w:val="left"/>
              <w:rPr/>
            </w:pPr>
            <w:r>
              <w:rPr/>
              <w:t> </w:t>
            </w:r>
          </w:p>
        </w:tc>
        <w:tc>
          <w:tcPr>
            <w:tcW w:w="8730" w:type="dxa"/>
            <w:tcBorders/>
            <w:vAlign w:val="center"/>
          </w:tcPr>
          <w:p>
            <w:pPr>
              <w:pStyle w:val="TableContents"/>
              <w:bidi w:val="0"/>
              <w:spacing w:before="0" w:after="0"/>
              <w:ind w:left="0" w:right="0" w:hanging="0"/>
              <w:jc w:val="both"/>
              <w:rPr/>
            </w:pPr>
            <w:hyperlink w:anchor="parti">
              <w:r>
                <w:rPr>
                  <w:rStyle w:val="InternetLink"/>
                  <w:rFonts w:ascii="Times New Roman;Times;serif" w:hAnsi="Times New Roman;Times;serif"/>
                  <w:caps w:val="false"/>
                  <w:smallCaps w:val="false"/>
                  <w:sz w:val="20"/>
                  <w:u w:val="single"/>
                </w:rPr>
                <w:t xml:space="preserve">Condensed Consolidated Balance Sheets (Unaudited) </w:t>
              </w:r>
            </w:hyperlink>
            <w:hyperlink w:anchor="parti">
              <w:r>
                <w:rPr>
                  <w:rStyle w:val="InternetLink"/>
                  <w:rFonts w:ascii="Times New Roman;Times;serif" w:hAnsi="Times New Roman;Times;serif"/>
                  <w:caps w:val="false"/>
                  <w:smallCaps w:val="false"/>
                  <w:sz w:val="20"/>
                </w:rPr>
                <w:t>–</w:t>
              </w:r>
            </w:hyperlink>
            <w:hyperlink w:anchor="parti">
              <w:r>
                <w:rPr>
                  <w:rStyle w:val="InternetLink"/>
                  <w:rFonts w:ascii="Times New Roman;Times;serif" w:hAnsi="Times New Roman;Times;serif"/>
                  <w:caps w:val="false"/>
                  <w:smallCaps w:val="false"/>
                  <w:sz w:val="20"/>
                  <w:u w:val="single"/>
                </w:rPr>
                <w:t> September 30, 2025 and December 31, 2024</w:t>
              </w:r>
            </w:hyperlink>
          </w:p>
        </w:tc>
        <w:tc>
          <w:tcPr>
            <w:tcW w:w="786" w:type="dxa"/>
            <w:tcBorders/>
            <w:vAlign w:val="center"/>
          </w:tcPr>
          <w:p>
            <w:pPr>
              <w:pStyle w:val="TableContents"/>
              <w:bidi w:val="0"/>
              <w:spacing w:before="0" w:after="0"/>
              <w:ind w:left="0" w:right="0" w:hanging="0"/>
              <w:jc w:val="right"/>
              <w:rPr/>
            </w:pPr>
            <w:hyperlink w:anchor="parti">
              <w:r>
                <w:rPr>
                  <w:rStyle w:val="InternetLink"/>
                  <w:rFonts w:ascii="Times New Roman;Times;serif" w:hAnsi="Times New Roman;Times;serif"/>
                  <w:caps w:val="false"/>
                  <w:smallCaps w:val="false"/>
                  <w:sz w:val="20"/>
                </w:rPr>
                <w:t>1</w:t>
              </w:r>
            </w:hyperlink>
          </w:p>
        </w:tc>
      </w:tr>
      <w:tr>
        <w:trPr/>
        <w:tc>
          <w:tcPr>
            <w:tcW w:w="689" w:type="dxa"/>
            <w:tcBorders/>
            <w:vAlign w:val="center"/>
          </w:tcPr>
          <w:p>
            <w:pPr>
              <w:pStyle w:val="TableContents"/>
              <w:bidi w:val="0"/>
              <w:spacing w:before="0" w:after="283"/>
              <w:jc w:val="left"/>
              <w:rPr/>
            </w:pPr>
            <w:r>
              <w:rPr/>
              <w:t> </w:t>
            </w:r>
          </w:p>
        </w:tc>
        <w:tc>
          <w:tcPr>
            <w:tcW w:w="8730" w:type="dxa"/>
            <w:tcBorders/>
            <w:vAlign w:val="center"/>
          </w:tcPr>
          <w:p>
            <w:pPr>
              <w:pStyle w:val="TableContents"/>
              <w:bidi w:val="0"/>
              <w:spacing w:before="0" w:after="0"/>
              <w:ind w:left="0" w:right="0" w:hanging="0"/>
              <w:jc w:val="both"/>
              <w:rPr/>
            </w:pPr>
            <w:hyperlink w:anchor="income">
              <w:r>
                <w:rPr>
                  <w:rStyle w:val="InternetLink"/>
                  <w:rFonts w:ascii="Times New Roman;Times;serif" w:hAnsi="Times New Roman;Times;serif"/>
                  <w:caps w:val="false"/>
                  <w:smallCaps w:val="false"/>
                  <w:sz w:val="20"/>
                  <w:u w:val="single"/>
                </w:rPr>
                <w:t xml:space="preserve">Condensed Consolidated Statements of Income (Unaudited) </w:t>
              </w:r>
            </w:hyperlink>
            <w:hyperlink w:anchor="income">
              <w:r>
                <w:rPr>
                  <w:rStyle w:val="InternetLink"/>
                  <w:rFonts w:ascii="Times New Roman;Times;serif" w:hAnsi="Times New Roman;Times;serif"/>
                  <w:caps w:val="false"/>
                  <w:smallCaps w:val="false"/>
                  <w:sz w:val="20"/>
                </w:rPr>
                <w:t>–</w:t>
              </w:r>
            </w:hyperlink>
            <w:hyperlink w:anchor="income">
              <w:r>
                <w:rPr>
                  <w:rStyle w:val="InternetLink"/>
                  <w:rFonts w:ascii="Times New Roman;Times;serif" w:hAnsi="Times New Roman;Times;serif"/>
                  <w:caps w:val="false"/>
                  <w:smallCaps w:val="false"/>
                  <w:sz w:val="20"/>
                  <w:u w:val="single"/>
                </w:rPr>
                <w:t> Three and Nine Months ended September 30, 2025 and 2024</w:t>
              </w:r>
            </w:hyperlink>
          </w:p>
        </w:tc>
        <w:tc>
          <w:tcPr>
            <w:tcW w:w="786" w:type="dxa"/>
            <w:tcBorders/>
            <w:vAlign w:val="center"/>
          </w:tcPr>
          <w:p>
            <w:pPr>
              <w:pStyle w:val="TableContents"/>
              <w:bidi w:val="0"/>
              <w:spacing w:before="0" w:after="0"/>
              <w:ind w:left="0" w:right="0" w:hanging="0"/>
              <w:jc w:val="right"/>
              <w:rPr/>
            </w:pPr>
            <w:hyperlink w:anchor="income">
              <w:r>
                <w:rPr>
                  <w:rStyle w:val="InternetLink"/>
                  <w:rFonts w:ascii="Times New Roman;Times;serif" w:hAnsi="Times New Roman;Times;serif"/>
                  <w:caps w:val="false"/>
                  <w:smallCaps w:val="false"/>
                  <w:sz w:val="20"/>
                </w:rPr>
                <w:t>2</w:t>
              </w:r>
            </w:hyperlink>
          </w:p>
        </w:tc>
      </w:tr>
      <w:tr>
        <w:trPr/>
        <w:tc>
          <w:tcPr>
            <w:tcW w:w="689" w:type="dxa"/>
            <w:tcBorders/>
            <w:vAlign w:val="center"/>
          </w:tcPr>
          <w:p>
            <w:pPr>
              <w:pStyle w:val="TableContents"/>
              <w:bidi w:val="0"/>
              <w:spacing w:before="0" w:after="283"/>
              <w:jc w:val="left"/>
              <w:rPr/>
            </w:pPr>
            <w:r>
              <w:rPr/>
              <w:t> </w:t>
            </w:r>
          </w:p>
        </w:tc>
        <w:tc>
          <w:tcPr>
            <w:tcW w:w="8730" w:type="dxa"/>
            <w:tcBorders/>
            <w:vAlign w:val="center"/>
          </w:tcPr>
          <w:p>
            <w:pPr>
              <w:pStyle w:val="TableContents"/>
              <w:bidi w:val="0"/>
              <w:spacing w:before="0" w:after="0"/>
              <w:ind w:left="0" w:right="0" w:hanging="0"/>
              <w:jc w:val="both"/>
              <w:rPr/>
            </w:pPr>
            <w:hyperlink w:anchor="compinc">
              <w:r>
                <w:rPr>
                  <w:rStyle w:val="InternetLink"/>
                  <w:rFonts w:ascii="Times New Roman;Times;serif" w:hAnsi="Times New Roman;Times;serif"/>
                  <w:caps w:val="false"/>
                  <w:smallCaps w:val="false"/>
                  <w:sz w:val="20"/>
                  <w:u w:val="single"/>
                </w:rPr>
                <w:t xml:space="preserve">Condensed Consolidated Statements of Comprehensive Income (Unaudited) </w:t>
              </w:r>
            </w:hyperlink>
            <w:hyperlink w:anchor="compinc">
              <w:r>
                <w:rPr>
                  <w:rStyle w:val="InternetLink"/>
                  <w:rFonts w:ascii="Times New Roman;Times;serif" w:hAnsi="Times New Roman;Times;serif"/>
                  <w:caps w:val="false"/>
                  <w:smallCaps w:val="false"/>
                  <w:sz w:val="20"/>
                </w:rPr>
                <w:t>–</w:t>
              </w:r>
            </w:hyperlink>
            <w:hyperlink w:anchor="compinc">
              <w:r>
                <w:rPr>
                  <w:rStyle w:val="InternetLink"/>
                  <w:rFonts w:ascii="Times New Roman;Times;serif" w:hAnsi="Times New Roman;Times;serif"/>
                  <w:caps w:val="false"/>
                  <w:smallCaps w:val="false"/>
                  <w:sz w:val="20"/>
                  <w:u w:val="single"/>
                </w:rPr>
                <w:t> Three and Nine Months ended September 30, 2025 and 2024</w:t>
              </w:r>
            </w:hyperlink>
          </w:p>
        </w:tc>
        <w:tc>
          <w:tcPr>
            <w:tcW w:w="786" w:type="dxa"/>
            <w:tcBorders/>
            <w:vAlign w:val="center"/>
          </w:tcPr>
          <w:p>
            <w:pPr>
              <w:pStyle w:val="TableContents"/>
              <w:bidi w:val="0"/>
              <w:spacing w:before="0" w:after="0"/>
              <w:ind w:left="0" w:right="0" w:hanging="0"/>
              <w:jc w:val="right"/>
              <w:rPr/>
            </w:pPr>
            <w:hyperlink w:anchor="compinc">
              <w:r>
                <w:rPr>
                  <w:rStyle w:val="InternetLink"/>
                  <w:rFonts w:ascii="Times New Roman;Times;serif" w:hAnsi="Times New Roman;Times;serif"/>
                  <w:caps w:val="false"/>
                  <w:smallCaps w:val="false"/>
                  <w:sz w:val="20"/>
                </w:rPr>
                <w:t>3</w:t>
              </w:r>
            </w:hyperlink>
          </w:p>
        </w:tc>
      </w:tr>
      <w:tr>
        <w:trPr/>
        <w:tc>
          <w:tcPr>
            <w:tcW w:w="689" w:type="dxa"/>
            <w:tcBorders/>
            <w:vAlign w:val="center"/>
          </w:tcPr>
          <w:p>
            <w:pPr>
              <w:pStyle w:val="TableContents"/>
              <w:bidi w:val="0"/>
              <w:spacing w:before="0" w:after="283"/>
              <w:jc w:val="left"/>
              <w:rPr/>
            </w:pPr>
            <w:r>
              <w:rPr/>
              <w:t> </w:t>
            </w:r>
          </w:p>
        </w:tc>
        <w:tc>
          <w:tcPr>
            <w:tcW w:w="8730" w:type="dxa"/>
            <w:tcBorders/>
            <w:vAlign w:val="center"/>
          </w:tcPr>
          <w:p>
            <w:pPr>
              <w:pStyle w:val="TableContents"/>
              <w:bidi w:val="0"/>
              <w:spacing w:before="0" w:after="0"/>
              <w:ind w:left="0" w:right="0" w:hanging="0"/>
              <w:jc w:val="both"/>
              <w:rPr/>
            </w:pPr>
            <w:hyperlink w:anchor="she">
              <w:r>
                <w:rPr>
                  <w:rStyle w:val="InternetLink"/>
                  <w:rFonts w:ascii="Times New Roman;Times;serif" w:hAnsi="Times New Roman;Times;serif"/>
                  <w:caps w:val="false"/>
                  <w:smallCaps w:val="false"/>
                  <w:sz w:val="20"/>
                  <w:u w:val="single"/>
                </w:rPr>
                <w:t xml:space="preserve">Condensed Consolidated Statement of Shareholders' Equity (Unaudited) </w:t>
              </w:r>
            </w:hyperlink>
            <w:hyperlink w:anchor="she">
              <w:r>
                <w:rPr>
                  <w:rStyle w:val="InternetLink"/>
                  <w:rFonts w:ascii="Times New Roman;Times;serif" w:hAnsi="Times New Roman;Times;serif"/>
                  <w:caps w:val="false"/>
                  <w:smallCaps w:val="false"/>
                  <w:sz w:val="20"/>
                </w:rPr>
                <w:t>–</w:t>
              </w:r>
            </w:hyperlink>
            <w:hyperlink w:anchor="she">
              <w:r>
                <w:rPr>
                  <w:rStyle w:val="InternetLink"/>
                  <w:rFonts w:ascii="Times New Roman;Times;serif" w:hAnsi="Times New Roman;Times;serif"/>
                  <w:caps w:val="false"/>
                  <w:smallCaps w:val="false"/>
                  <w:sz w:val="20"/>
                  <w:u w:val="single"/>
                </w:rPr>
                <w:t> Three and Nine Months ended September 30, 2025 and 2024</w:t>
              </w:r>
            </w:hyperlink>
          </w:p>
        </w:tc>
        <w:tc>
          <w:tcPr>
            <w:tcW w:w="786" w:type="dxa"/>
            <w:tcBorders/>
            <w:vAlign w:val="center"/>
          </w:tcPr>
          <w:p>
            <w:pPr>
              <w:pStyle w:val="TableContents"/>
              <w:bidi w:val="0"/>
              <w:spacing w:before="0" w:after="0"/>
              <w:ind w:left="0" w:right="0" w:hanging="0"/>
              <w:jc w:val="right"/>
              <w:rPr/>
            </w:pPr>
            <w:hyperlink w:anchor="she">
              <w:r>
                <w:rPr>
                  <w:rStyle w:val="InternetLink"/>
                  <w:rFonts w:ascii="Times New Roman;Times;serif" w:hAnsi="Times New Roman;Times;serif"/>
                  <w:caps w:val="false"/>
                  <w:smallCaps w:val="false"/>
                  <w:sz w:val="20"/>
                </w:rPr>
                <w:t>4</w:t>
              </w:r>
            </w:hyperlink>
          </w:p>
        </w:tc>
      </w:tr>
      <w:tr>
        <w:trPr/>
        <w:tc>
          <w:tcPr>
            <w:tcW w:w="689" w:type="dxa"/>
            <w:tcBorders/>
            <w:vAlign w:val="center"/>
          </w:tcPr>
          <w:p>
            <w:pPr>
              <w:pStyle w:val="TableContents"/>
              <w:bidi w:val="0"/>
              <w:spacing w:before="0" w:after="283"/>
              <w:jc w:val="left"/>
              <w:rPr/>
            </w:pPr>
            <w:r>
              <w:rPr/>
              <w:t> </w:t>
            </w:r>
          </w:p>
        </w:tc>
        <w:tc>
          <w:tcPr>
            <w:tcW w:w="8730" w:type="dxa"/>
            <w:tcBorders/>
            <w:vAlign w:val="center"/>
          </w:tcPr>
          <w:p>
            <w:pPr>
              <w:pStyle w:val="TableContents"/>
              <w:bidi w:val="0"/>
              <w:spacing w:before="0" w:after="0"/>
              <w:ind w:left="0" w:right="0" w:hanging="0"/>
              <w:jc w:val="both"/>
              <w:rPr/>
            </w:pPr>
            <w:hyperlink w:anchor="cfs">
              <w:r>
                <w:rPr>
                  <w:rStyle w:val="InternetLink"/>
                  <w:rFonts w:ascii="Times New Roman;Times;serif" w:hAnsi="Times New Roman;Times;serif"/>
                  <w:caps w:val="false"/>
                  <w:smallCaps w:val="false"/>
                  <w:sz w:val="20"/>
                  <w:u w:val="single"/>
                </w:rPr>
                <w:t xml:space="preserve">Condensed Consolidated Statements of Cash Flows (Unaudited) </w:t>
              </w:r>
            </w:hyperlink>
            <w:hyperlink w:anchor="cfs">
              <w:r>
                <w:rPr>
                  <w:rStyle w:val="InternetLink"/>
                  <w:rFonts w:ascii="Times New Roman;Times;serif" w:hAnsi="Times New Roman;Times;serif"/>
                  <w:caps w:val="false"/>
                  <w:smallCaps w:val="false"/>
                  <w:sz w:val="20"/>
                </w:rPr>
                <w:t>–</w:t>
              </w:r>
            </w:hyperlink>
            <w:hyperlink w:anchor="cfs">
              <w:r>
                <w:rPr>
                  <w:rStyle w:val="InternetLink"/>
                  <w:rFonts w:ascii="Times New Roman;Times;serif" w:hAnsi="Times New Roman;Times;serif"/>
                  <w:caps w:val="false"/>
                  <w:smallCaps w:val="false"/>
                  <w:sz w:val="20"/>
                  <w:u w:val="single"/>
                </w:rPr>
                <w:t> Nine Months ended September 30, 2025 and 2024</w:t>
              </w:r>
            </w:hyperlink>
          </w:p>
        </w:tc>
        <w:tc>
          <w:tcPr>
            <w:tcW w:w="786" w:type="dxa"/>
            <w:tcBorders/>
            <w:vAlign w:val="center"/>
          </w:tcPr>
          <w:p>
            <w:pPr>
              <w:pStyle w:val="TableContents"/>
              <w:bidi w:val="0"/>
              <w:spacing w:before="0" w:after="0"/>
              <w:ind w:left="0" w:right="0" w:hanging="0"/>
              <w:jc w:val="right"/>
              <w:rPr/>
            </w:pPr>
            <w:hyperlink w:anchor="cfs">
              <w:r>
                <w:rPr>
                  <w:rStyle w:val="InternetLink"/>
                  <w:rFonts w:ascii="Times New Roman;Times;serif" w:hAnsi="Times New Roman;Times;serif"/>
                  <w:caps w:val="false"/>
                  <w:smallCaps w:val="false"/>
                  <w:sz w:val="20"/>
                </w:rPr>
                <w:t>5</w:t>
              </w:r>
            </w:hyperlink>
          </w:p>
        </w:tc>
      </w:tr>
      <w:tr>
        <w:trPr/>
        <w:tc>
          <w:tcPr>
            <w:tcW w:w="689" w:type="dxa"/>
            <w:tcBorders/>
            <w:vAlign w:val="center"/>
          </w:tcPr>
          <w:p>
            <w:pPr>
              <w:pStyle w:val="TableContents"/>
              <w:bidi w:val="0"/>
              <w:spacing w:before="0" w:after="283"/>
              <w:jc w:val="left"/>
              <w:rPr/>
            </w:pPr>
            <w:r>
              <w:rPr/>
              <w:t> </w:t>
            </w:r>
          </w:p>
        </w:tc>
        <w:tc>
          <w:tcPr>
            <w:tcW w:w="8730" w:type="dxa"/>
            <w:tcBorders/>
            <w:vAlign w:val="center"/>
          </w:tcPr>
          <w:p>
            <w:pPr>
              <w:pStyle w:val="TableContents"/>
              <w:bidi w:val="0"/>
              <w:spacing w:before="0" w:after="0"/>
              <w:ind w:left="0" w:right="0" w:hanging="0"/>
              <w:jc w:val="both"/>
              <w:rPr/>
            </w:pPr>
            <w:hyperlink w:anchor="notes">
              <w:r>
                <w:rPr>
                  <w:rStyle w:val="InternetLink"/>
                  <w:rFonts w:ascii="Times New Roman;Times;serif" w:hAnsi="Times New Roman;Times;serif"/>
                  <w:caps w:val="false"/>
                  <w:smallCaps w:val="false"/>
                  <w:sz w:val="20"/>
                  <w:u w:val="single"/>
                </w:rPr>
                <w:t>Notes to Condensed Consolidated Financial Statements (Unaudited)</w:t>
              </w:r>
            </w:hyperlink>
          </w:p>
        </w:tc>
        <w:tc>
          <w:tcPr>
            <w:tcW w:w="786" w:type="dxa"/>
            <w:tcBorders/>
            <w:vAlign w:val="center"/>
          </w:tcPr>
          <w:p>
            <w:pPr>
              <w:pStyle w:val="TableContents"/>
              <w:bidi w:val="0"/>
              <w:spacing w:before="0" w:after="0"/>
              <w:ind w:left="0" w:right="0" w:hanging="0"/>
              <w:jc w:val="right"/>
              <w:rPr/>
            </w:pPr>
            <w:hyperlink w:anchor="notes">
              <w:r>
                <w:rPr>
                  <w:rStyle w:val="InternetLink"/>
                  <w:rFonts w:ascii="Times New Roman;Times;serif" w:hAnsi="Times New Roman;Times;serif"/>
                  <w:caps w:val="false"/>
                  <w:smallCaps w:val="false"/>
                  <w:sz w:val="20"/>
                </w:rPr>
                <w:t>6</w:t>
              </w:r>
            </w:hyperlink>
          </w:p>
        </w:tc>
      </w:tr>
      <w:tr>
        <w:trPr/>
        <w:tc>
          <w:tcPr>
            <w:tcW w:w="68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8730" w:type="dxa"/>
            <w:tcBorders/>
            <w:vAlign w:val="center"/>
          </w:tcPr>
          <w:p>
            <w:pPr>
              <w:pStyle w:val="TableContents"/>
              <w:bidi w:val="0"/>
              <w:spacing w:before="0" w:after="0"/>
              <w:ind w:left="0" w:right="0" w:hanging="0"/>
              <w:jc w:val="both"/>
              <w:rPr/>
            </w:pPr>
            <w:hyperlink w:anchor="mda">
              <w:r>
                <w:rPr>
                  <w:rStyle w:val="InternetLink"/>
                  <w:rFonts w:ascii="Times New Roman;Times;serif" w:hAnsi="Times New Roman;Times;serif"/>
                  <w:caps w:val="false"/>
                  <w:smallCaps w:val="false"/>
                  <w:sz w:val="20"/>
                  <w:u w:val="single"/>
                </w:rPr>
                <w:t>Management's Discussion and Analysis of Financial Condition and Results of Operations</w:t>
              </w:r>
            </w:hyperlink>
          </w:p>
        </w:tc>
        <w:tc>
          <w:tcPr>
            <w:tcW w:w="786" w:type="dxa"/>
            <w:tcBorders/>
            <w:vAlign w:val="center"/>
          </w:tcPr>
          <w:p>
            <w:pPr>
              <w:pStyle w:val="TableContents"/>
              <w:bidi w:val="0"/>
              <w:spacing w:before="0" w:after="0"/>
              <w:ind w:left="0" w:right="0" w:hanging="0"/>
              <w:jc w:val="right"/>
              <w:rPr/>
            </w:pPr>
            <w:hyperlink w:anchor="mda">
              <w:r>
                <w:rPr>
                  <w:rStyle w:val="InternetLink"/>
                  <w:rFonts w:ascii="Times New Roman;Times;serif" w:hAnsi="Times New Roman;Times;serif"/>
                  <w:caps w:val="false"/>
                  <w:smallCaps w:val="false"/>
                  <w:sz w:val="20"/>
                </w:rPr>
                <w:t>12</w:t>
              </w:r>
            </w:hyperlink>
          </w:p>
        </w:tc>
      </w:tr>
      <w:tr>
        <w:trPr/>
        <w:tc>
          <w:tcPr>
            <w:tcW w:w="68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8730" w:type="dxa"/>
            <w:tcBorders/>
            <w:vAlign w:val="center"/>
          </w:tcPr>
          <w:p>
            <w:pPr>
              <w:pStyle w:val="TableContents"/>
              <w:bidi w:val="0"/>
              <w:spacing w:before="0" w:after="0"/>
              <w:ind w:left="0" w:right="0" w:hanging="0"/>
              <w:jc w:val="both"/>
              <w:rPr/>
            </w:pPr>
            <w:hyperlink w:anchor="qqmdr">
              <w:r>
                <w:rPr>
                  <w:rStyle w:val="InternetLink"/>
                  <w:rFonts w:ascii="Times New Roman;Times;serif" w:hAnsi="Times New Roman;Times;serif"/>
                  <w:caps w:val="false"/>
                  <w:smallCaps w:val="false"/>
                  <w:sz w:val="20"/>
                  <w:u w:val="single"/>
                </w:rPr>
                <w:t>Quantitative and Qualitative Disclosures about Market Risk</w:t>
              </w:r>
            </w:hyperlink>
          </w:p>
        </w:tc>
        <w:tc>
          <w:tcPr>
            <w:tcW w:w="786" w:type="dxa"/>
            <w:tcBorders/>
            <w:vAlign w:val="center"/>
          </w:tcPr>
          <w:p>
            <w:pPr>
              <w:pStyle w:val="TableContents"/>
              <w:bidi w:val="0"/>
              <w:spacing w:before="0" w:after="0"/>
              <w:ind w:left="0" w:right="0" w:hanging="0"/>
              <w:jc w:val="right"/>
              <w:rPr/>
            </w:pPr>
            <w:hyperlink w:anchor="qqmdr">
              <w:r>
                <w:rPr>
                  <w:rStyle w:val="InternetLink"/>
                  <w:rFonts w:ascii="Times New Roman;Times;serif" w:hAnsi="Times New Roman;Times;serif"/>
                  <w:caps w:val="false"/>
                  <w:smallCaps w:val="false"/>
                  <w:sz w:val="20"/>
                </w:rPr>
                <w:t>18</w:t>
              </w:r>
            </w:hyperlink>
          </w:p>
        </w:tc>
      </w:tr>
      <w:tr>
        <w:trPr/>
        <w:tc>
          <w:tcPr>
            <w:tcW w:w="68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8730" w:type="dxa"/>
            <w:tcBorders/>
            <w:vAlign w:val="center"/>
          </w:tcPr>
          <w:p>
            <w:pPr>
              <w:pStyle w:val="TableContents"/>
              <w:bidi w:val="0"/>
              <w:spacing w:before="0" w:after="0"/>
              <w:ind w:left="0" w:right="0" w:hanging="0"/>
              <w:jc w:val="both"/>
              <w:rPr/>
            </w:pPr>
            <w:hyperlink w:anchor="cps">
              <w:r>
                <w:rPr>
                  <w:rStyle w:val="InternetLink"/>
                  <w:rFonts w:ascii="Times New Roman;Times;serif" w:hAnsi="Times New Roman;Times;serif"/>
                  <w:caps w:val="false"/>
                  <w:smallCaps w:val="false"/>
                  <w:sz w:val="20"/>
                  <w:u w:val="single"/>
                </w:rPr>
                <w:t>Controls and Procedures</w:t>
              </w:r>
            </w:hyperlink>
          </w:p>
        </w:tc>
        <w:tc>
          <w:tcPr>
            <w:tcW w:w="786" w:type="dxa"/>
            <w:tcBorders/>
            <w:vAlign w:val="center"/>
          </w:tcPr>
          <w:p>
            <w:pPr>
              <w:pStyle w:val="TableContents"/>
              <w:bidi w:val="0"/>
              <w:spacing w:before="0" w:after="0"/>
              <w:ind w:left="0" w:right="0" w:hanging="0"/>
              <w:jc w:val="right"/>
              <w:rPr/>
            </w:pPr>
            <w:hyperlink w:anchor="cps">
              <w:r>
                <w:rPr>
                  <w:rStyle w:val="InternetLink"/>
                  <w:rFonts w:ascii="Times New Roman;Times;serif" w:hAnsi="Times New Roman;Times;serif"/>
                  <w:caps w:val="false"/>
                  <w:smallCaps w:val="false"/>
                  <w:sz w:val="20"/>
                </w:rPr>
                <w:t>18</w:t>
              </w:r>
            </w:hyperlink>
          </w:p>
        </w:tc>
      </w:tr>
      <w:tr>
        <w:trPr/>
        <w:tc>
          <w:tcPr>
            <w:tcW w:w="68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Part II.</w:t>
            </w:r>
          </w:p>
        </w:tc>
        <w:tc>
          <w:tcPr>
            <w:tcW w:w="8730" w:type="dxa"/>
            <w:tcBorders/>
            <w:vAlign w:val="center"/>
          </w:tcPr>
          <w:p>
            <w:pPr>
              <w:pStyle w:val="TableContents"/>
              <w:bidi w:val="0"/>
              <w:spacing w:before="0" w:after="0"/>
              <w:ind w:left="0" w:right="0" w:hanging="0"/>
              <w:jc w:val="both"/>
              <w:rPr/>
            </w:pPr>
            <w:hyperlink w:anchor="partii">
              <w:r>
                <w:rPr>
                  <w:rStyle w:val="InternetLink"/>
                  <w:rFonts w:ascii="Times New Roman;Times;serif" w:hAnsi="Times New Roman;Times;serif"/>
                  <w:caps w:val="false"/>
                  <w:smallCaps w:val="false"/>
                  <w:sz w:val="20"/>
                  <w:u w:val="single"/>
                </w:rPr>
                <w:t>Other Information</w:t>
              </w:r>
            </w:hyperlink>
          </w:p>
        </w:tc>
        <w:tc>
          <w:tcPr>
            <w:tcW w:w="786" w:type="dxa"/>
            <w:tcBorders/>
            <w:vAlign w:val="center"/>
          </w:tcPr>
          <w:p>
            <w:pPr>
              <w:pStyle w:val="TableContents"/>
              <w:bidi w:val="0"/>
              <w:spacing w:before="0" w:after="0"/>
              <w:ind w:left="0" w:right="0" w:hanging="0"/>
              <w:jc w:val="right"/>
              <w:rPr/>
            </w:pPr>
            <w:hyperlink w:anchor="partii">
              <w:r>
                <w:rPr>
                  <w:rStyle w:val="InternetLink"/>
                  <w:rFonts w:ascii="Times New Roman;Times;serif" w:hAnsi="Times New Roman;Times;serif"/>
                  <w:caps w:val="false"/>
                  <w:smallCaps w:val="false"/>
                  <w:sz w:val="20"/>
                </w:rPr>
                <w:t>19</w:t>
              </w:r>
            </w:hyperlink>
          </w:p>
        </w:tc>
      </w:tr>
      <w:tr>
        <w:trPr/>
        <w:tc>
          <w:tcPr>
            <w:tcW w:w="6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8730" w:type="dxa"/>
            <w:tcBorders/>
            <w:vAlign w:val="center"/>
          </w:tcPr>
          <w:p>
            <w:pPr>
              <w:pStyle w:val="TableContents"/>
              <w:bidi w:val="0"/>
              <w:spacing w:before="0" w:after="283"/>
              <w:jc w:val="left"/>
              <w:rPr/>
            </w:pPr>
            <w:hyperlink w:anchor="Item_1_Legal_Proceedings">
              <w:r>
                <w:rPr>
                  <w:rStyle w:val="InternetLink"/>
                  <w:rFonts w:ascii="Times New Roman;Times;serif" w:hAnsi="Times New Roman;Times;serif"/>
                  <w:sz w:val="20"/>
                </w:rPr>
                <w:t>Legal Proceedings</w:t>
              </w:r>
            </w:hyperlink>
          </w:p>
        </w:tc>
        <w:tc>
          <w:tcPr>
            <w:tcW w:w="786" w:type="dxa"/>
            <w:tcBorders/>
            <w:vAlign w:val="center"/>
          </w:tcPr>
          <w:p>
            <w:pPr>
              <w:pStyle w:val="TableContents"/>
              <w:bidi w:val="0"/>
              <w:spacing w:before="0" w:after="283"/>
              <w:jc w:val="right"/>
              <w:rPr/>
            </w:pPr>
            <w:hyperlink w:anchor="Item_1_Legal_Proceedings">
              <w:r>
                <w:rPr>
                  <w:rStyle w:val="InternetLink"/>
                  <w:rFonts w:ascii="Times New Roman;Times;serif" w:hAnsi="Times New Roman;Times;serif"/>
                  <w:sz w:val="20"/>
                </w:rPr>
                <w:t>19</w:t>
              </w:r>
            </w:hyperlink>
          </w:p>
        </w:tc>
      </w:tr>
      <w:tr>
        <w:trPr/>
        <w:tc>
          <w:tcPr>
            <w:tcW w:w="68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1A.</w:t>
            </w:r>
          </w:p>
        </w:tc>
        <w:tc>
          <w:tcPr>
            <w:tcW w:w="8730" w:type="dxa"/>
            <w:tcBorders/>
            <w:vAlign w:val="center"/>
          </w:tcPr>
          <w:p>
            <w:pPr>
              <w:pStyle w:val="TableContents"/>
              <w:bidi w:val="0"/>
              <w:spacing w:before="0" w:after="0"/>
              <w:ind w:left="0" w:right="0" w:hanging="0"/>
              <w:jc w:val="both"/>
              <w:rPr/>
            </w:pPr>
            <w:hyperlink w:anchor="risks">
              <w:r>
                <w:rPr>
                  <w:rStyle w:val="InternetLink"/>
                  <w:rFonts w:ascii="Times New Roman;Times;serif" w:hAnsi="Times New Roman;Times;serif"/>
                  <w:caps w:val="false"/>
                  <w:smallCaps w:val="false"/>
                  <w:sz w:val="20"/>
                  <w:u w:val="single"/>
                </w:rPr>
                <w:t>Risk Factors</w:t>
              </w:r>
            </w:hyperlink>
          </w:p>
        </w:tc>
        <w:tc>
          <w:tcPr>
            <w:tcW w:w="786" w:type="dxa"/>
            <w:tcBorders/>
            <w:vAlign w:val="center"/>
          </w:tcPr>
          <w:p>
            <w:pPr>
              <w:pStyle w:val="TableContents"/>
              <w:bidi w:val="0"/>
              <w:spacing w:before="0" w:after="0"/>
              <w:ind w:left="0" w:right="0" w:hanging="0"/>
              <w:jc w:val="right"/>
              <w:rPr/>
            </w:pPr>
            <w:hyperlink w:anchor="risks">
              <w:r>
                <w:rPr>
                  <w:rStyle w:val="InternetLink"/>
                  <w:rFonts w:ascii="Times New Roman;Times;serif" w:hAnsi="Times New Roman;Times;serif"/>
                  <w:caps w:val="false"/>
                  <w:smallCaps w:val="false"/>
                  <w:sz w:val="20"/>
                </w:rPr>
                <w:t>19</w:t>
              </w:r>
            </w:hyperlink>
          </w:p>
        </w:tc>
      </w:tr>
      <w:tr>
        <w:trPr/>
        <w:tc>
          <w:tcPr>
            <w:tcW w:w="6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8730" w:type="dxa"/>
            <w:tcBorders/>
            <w:vAlign w:val="center"/>
          </w:tcPr>
          <w:p>
            <w:pPr>
              <w:pStyle w:val="TableContents"/>
              <w:bidi w:val="0"/>
              <w:spacing w:before="0" w:after="283"/>
              <w:jc w:val="left"/>
              <w:rPr/>
            </w:pPr>
            <w:hyperlink w:anchor="Item_2_Sales_of_Equity">
              <w:r>
                <w:rPr>
                  <w:rStyle w:val="InternetLink"/>
                  <w:rFonts w:ascii="Times New Roman;Times;serif" w:hAnsi="Times New Roman;Times;serif"/>
                  <w:sz w:val="20"/>
                </w:rPr>
                <w:t>Unregistered Sales of Equity Securities and Use of Proceeds</w:t>
              </w:r>
            </w:hyperlink>
          </w:p>
        </w:tc>
        <w:tc>
          <w:tcPr>
            <w:tcW w:w="786" w:type="dxa"/>
            <w:tcBorders/>
            <w:vAlign w:val="center"/>
          </w:tcPr>
          <w:p>
            <w:pPr>
              <w:pStyle w:val="TableContents"/>
              <w:bidi w:val="0"/>
              <w:spacing w:before="0" w:after="283"/>
              <w:jc w:val="right"/>
              <w:rPr/>
            </w:pPr>
            <w:hyperlink w:anchor="Item_2_Sales_of_Equity">
              <w:r>
                <w:rPr>
                  <w:rStyle w:val="InternetLink"/>
                  <w:rFonts w:ascii="Times New Roman;Times;serif" w:hAnsi="Times New Roman;Times;serif"/>
                  <w:sz w:val="20"/>
                </w:rPr>
                <w:t>20</w:t>
              </w:r>
            </w:hyperlink>
          </w:p>
        </w:tc>
      </w:tr>
      <w:tr>
        <w:trPr/>
        <w:tc>
          <w:tcPr>
            <w:tcW w:w="6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5.</w:t>
            </w:r>
          </w:p>
        </w:tc>
        <w:tc>
          <w:tcPr>
            <w:tcW w:w="8730" w:type="dxa"/>
            <w:tcBorders/>
            <w:vAlign w:val="center"/>
          </w:tcPr>
          <w:p>
            <w:pPr>
              <w:pStyle w:val="TableContents"/>
              <w:bidi w:val="0"/>
              <w:spacing w:before="0" w:after="283"/>
              <w:jc w:val="left"/>
              <w:rPr/>
            </w:pPr>
            <w:hyperlink w:anchor="Item_5_Other_Info">
              <w:r>
                <w:rPr>
                  <w:rStyle w:val="InternetLink"/>
                  <w:rFonts w:ascii="Times New Roman;Times;serif" w:hAnsi="Times New Roman;Times;serif"/>
                  <w:sz w:val="20"/>
                </w:rPr>
                <w:t>Other Information</w:t>
              </w:r>
            </w:hyperlink>
          </w:p>
        </w:tc>
        <w:tc>
          <w:tcPr>
            <w:tcW w:w="786" w:type="dxa"/>
            <w:tcBorders/>
            <w:vAlign w:val="center"/>
          </w:tcPr>
          <w:p>
            <w:pPr>
              <w:pStyle w:val="TableContents"/>
              <w:bidi w:val="0"/>
              <w:spacing w:before="0" w:after="283"/>
              <w:jc w:val="right"/>
              <w:rPr/>
            </w:pPr>
            <w:hyperlink w:anchor="Item_5_Other_Info">
              <w:r>
                <w:rPr>
                  <w:rStyle w:val="InternetLink"/>
                  <w:rFonts w:ascii="Times New Roman;Times;serif" w:hAnsi="Times New Roman;Times;serif"/>
                  <w:sz w:val="20"/>
                </w:rPr>
                <w:t>20</w:t>
              </w:r>
            </w:hyperlink>
          </w:p>
        </w:tc>
      </w:tr>
      <w:tr>
        <w:trPr/>
        <w:tc>
          <w:tcPr>
            <w:tcW w:w="68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6.</w:t>
            </w:r>
          </w:p>
        </w:tc>
        <w:tc>
          <w:tcPr>
            <w:tcW w:w="8730" w:type="dxa"/>
            <w:tcBorders/>
            <w:vAlign w:val="center"/>
          </w:tcPr>
          <w:p>
            <w:pPr>
              <w:pStyle w:val="TableContents"/>
              <w:bidi w:val="0"/>
              <w:spacing w:before="0" w:after="0"/>
              <w:ind w:left="0" w:right="0" w:hanging="0"/>
              <w:jc w:val="both"/>
              <w:rPr/>
            </w:pPr>
            <w:hyperlink w:anchor="exs">
              <w:r>
                <w:rPr>
                  <w:rStyle w:val="InternetLink"/>
                  <w:rFonts w:ascii="Times New Roman;Times;serif" w:hAnsi="Times New Roman;Times;serif"/>
                  <w:caps w:val="false"/>
                  <w:smallCaps w:val="false"/>
                  <w:sz w:val="20"/>
                  <w:u w:val="single"/>
                </w:rPr>
                <w:t>Exhibits</w:t>
              </w:r>
            </w:hyperlink>
          </w:p>
        </w:tc>
        <w:tc>
          <w:tcPr>
            <w:tcW w:w="786" w:type="dxa"/>
            <w:tcBorders/>
            <w:vAlign w:val="center"/>
          </w:tcPr>
          <w:p>
            <w:pPr>
              <w:pStyle w:val="TableContents"/>
              <w:bidi w:val="0"/>
              <w:spacing w:before="0" w:after="0"/>
              <w:ind w:left="0" w:right="0" w:hanging="0"/>
              <w:jc w:val="right"/>
              <w:rPr/>
            </w:pPr>
            <w:hyperlink w:anchor="exs">
              <w:r>
                <w:rPr>
                  <w:rStyle w:val="InternetLink"/>
                  <w:rFonts w:ascii="Times New Roman;Times;serif" w:hAnsi="Times New Roman;Times;serif"/>
                  <w:caps w:val="false"/>
                  <w:smallCaps w:val="false"/>
                  <w:sz w:val="20"/>
                </w:rPr>
                <w:t>21</w:t>
              </w:r>
            </w:hyperlink>
          </w:p>
        </w:tc>
      </w:tr>
      <w:tr>
        <w:trPr/>
        <w:tc>
          <w:tcPr>
            <w:tcW w:w="689" w:type="dxa"/>
            <w:tcBorders/>
            <w:vAlign w:val="center"/>
          </w:tcPr>
          <w:p>
            <w:pPr>
              <w:pStyle w:val="TableContents"/>
              <w:bidi w:val="0"/>
              <w:spacing w:before="0" w:after="283"/>
              <w:jc w:val="left"/>
              <w:rPr/>
            </w:pPr>
            <w:r>
              <w:rPr/>
              <w:t> </w:t>
            </w:r>
          </w:p>
        </w:tc>
        <w:tc>
          <w:tcPr>
            <w:tcW w:w="8730" w:type="dxa"/>
            <w:tcBorders/>
            <w:vAlign w:val="center"/>
          </w:tcPr>
          <w:p>
            <w:pPr>
              <w:pStyle w:val="TableContents"/>
              <w:bidi w:val="0"/>
              <w:spacing w:before="0" w:after="0"/>
              <w:ind w:left="0" w:right="0" w:hanging="0"/>
              <w:jc w:val="both"/>
              <w:rPr/>
            </w:pPr>
            <w:hyperlink w:anchor="sigs">
              <w:r>
                <w:rPr>
                  <w:rStyle w:val="InternetLink"/>
                  <w:rFonts w:ascii="Times New Roman;Times;serif" w:hAnsi="Times New Roman;Times;serif"/>
                  <w:caps w:val="false"/>
                  <w:smallCaps w:val="false"/>
                  <w:sz w:val="20"/>
                  <w:u w:val="single"/>
                </w:rPr>
                <w:t>SIGNATURE</w:t>
              </w:r>
            </w:hyperlink>
          </w:p>
        </w:tc>
        <w:tc>
          <w:tcPr>
            <w:tcW w:w="786" w:type="dxa"/>
            <w:tcBorders/>
            <w:vAlign w:val="center"/>
          </w:tcPr>
          <w:p>
            <w:pPr>
              <w:pStyle w:val="TableContents"/>
              <w:bidi w:val="0"/>
              <w:spacing w:before="0" w:after="0"/>
              <w:ind w:left="0" w:right="0" w:hanging="0"/>
              <w:jc w:val="right"/>
              <w:rPr/>
            </w:pPr>
            <w:hyperlink w:anchor="sigs">
              <w:r>
                <w:rPr>
                  <w:rStyle w:val="InternetLink"/>
                  <w:rFonts w:ascii="Times New Roman;Times;serif" w:hAnsi="Times New Roman;Times;serif"/>
                  <w:caps w:val="false"/>
                  <w:smallCaps w:val="false"/>
                  <w:sz w:val="20"/>
                </w:rPr>
                <w:t>22</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3" w:name="parti"/>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1.</w:t>
      </w:r>
      <w:r>
        <w:rPr>
          <w:rFonts w:ascii="Times New Roman" w:hAnsi="Times New Roman"/>
          <w:caps w:val="false"/>
          <w:smallCaps w:val="false"/>
          <w:sz w:val="20"/>
        </w:rPr>
        <w:t xml:space="preserve"> </w:t>
      </w:r>
      <w:r>
        <w:rPr>
          <w:rFonts w:ascii="Times New Roman" w:hAnsi="Times New Roman"/>
          <w:b/>
          <w:i/>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75"/>
        <w:gridCol w:w="60"/>
        <w:gridCol w:w="158"/>
        <w:gridCol w:w="888"/>
        <w:gridCol w:w="80"/>
        <w:gridCol w:w="60"/>
        <w:gridCol w:w="151"/>
        <w:gridCol w:w="850"/>
        <w:gridCol w:w="83"/>
      </w:tblGrid>
      <w:tr>
        <w:trPr/>
        <w:tc>
          <w:tcPr>
            <w:tcW w:w="7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3" w:type="dxa"/>
            <w:tcBorders/>
            <w:shd w:fill="FFFFFF" w:val="clear"/>
            <w:vAlign w:val="center"/>
          </w:tcPr>
          <w:p>
            <w:pPr>
              <w:pStyle w:val="TableContents"/>
              <w:bidi w:val="0"/>
              <w:spacing w:before="0" w:after="283"/>
              <w:jc w:val="left"/>
              <w:rPr/>
            </w:pPr>
            <w:r>
              <w:rPr/>
              <w:t> </w:t>
            </w:r>
          </w:p>
        </w:tc>
      </w:tr>
      <w:tr>
        <w:trPr/>
        <w:tc>
          <w:tcPr>
            <w:tcW w:w="7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3" w:type="dxa"/>
            <w:tcBorders/>
            <w:shd w:fill="FFFFFF" w:val="clear"/>
            <w:vAlign w:val="center"/>
          </w:tcPr>
          <w:p>
            <w:pPr>
              <w:pStyle w:val="TableContents"/>
              <w:bidi w:val="0"/>
              <w:spacing w:before="0" w:after="283"/>
              <w:jc w:val="left"/>
              <w:rPr/>
            </w:pPr>
            <w:r>
              <w:rPr/>
              <w:t> </w:t>
            </w:r>
          </w:p>
        </w:tc>
      </w:tr>
      <w:tr>
        <w:trPr/>
        <w:tc>
          <w:tcPr>
            <w:tcW w:w="7875"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center"/>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59,469</w:t>
            </w:r>
          </w:p>
        </w:tc>
        <w:tc>
          <w:tcPr>
            <w:tcW w:w="83" w:type="dxa"/>
            <w:tcBorders/>
            <w:shd w:fill="CCEEFF" w:val="clear"/>
            <w:vAlign w:val="center"/>
          </w:tcPr>
          <w:p>
            <w:pPr>
              <w:pStyle w:val="TableContents"/>
              <w:bidi w:val="0"/>
              <w:spacing w:before="0" w:after="283"/>
              <w:jc w:val="left"/>
              <w:rPr/>
            </w:pPr>
            <w:r>
              <w:rPr/>
              <w:t> </w:t>
            </w:r>
          </w:p>
        </w:tc>
      </w:tr>
      <w:tr>
        <w:trPr/>
        <w:tc>
          <w:tcPr>
            <w:tcW w:w="78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Marketable securities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37,748</w:t>
            </w:r>
          </w:p>
        </w:tc>
        <w:tc>
          <w:tcPr>
            <w:tcW w:w="83" w:type="dxa"/>
            <w:tcBorders/>
            <w:shd w:fill="FFFFFF" w:val="clear"/>
            <w:vAlign w:val="center"/>
          </w:tcPr>
          <w:p>
            <w:pPr>
              <w:pStyle w:val="TableContents"/>
              <w:bidi w:val="0"/>
              <w:spacing w:before="0" w:after="283"/>
              <w:jc w:val="left"/>
              <w:rPr/>
            </w:pPr>
            <w:r>
              <w:rPr/>
              <w:t> </w:t>
            </w:r>
          </w:p>
        </w:tc>
      </w:tr>
      <w:tr>
        <w:trPr/>
        <w:tc>
          <w:tcPr>
            <w:tcW w:w="787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30,189</w:t>
            </w:r>
          </w:p>
        </w:tc>
        <w:tc>
          <w:tcPr>
            <w:tcW w:w="83" w:type="dxa"/>
            <w:tcBorders/>
            <w:shd w:fill="CCEEFF" w:val="clear"/>
            <w:vAlign w:val="center"/>
          </w:tcPr>
          <w:p>
            <w:pPr>
              <w:pStyle w:val="TableContents"/>
              <w:bidi w:val="0"/>
              <w:spacing w:before="0" w:after="283"/>
              <w:jc w:val="left"/>
              <w:rPr/>
            </w:pPr>
            <w:r>
              <w:rPr/>
              <w:t> </w:t>
            </w:r>
          </w:p>
        </w:tc>
      </w:tr>
      <w:tr>
        <w:trPr/>
        <w:tc>
          <w:tcPr>
            <w:tcW w:w="787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 unbilled</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5,133</w:t>
            </w:r>
          </w:p>
        </w:tc>
        <w:tc>
          <w:tcPr>
            <w:tcW w:w="83" w:type="dxa"/>
            <w:tcBorders/>
            <w:shd w:fill="FFFFFF" w:val="clear"/>
            <w:vAlign w:val="center"/>
          </w:tcPr>
          <w:p>
            <w:pPr>
              <w:pStyle w:val="TableContents"/>
              <w:bidi w:val="0"/>
              <w:spacing w:before="0" w:after="283"/>
              <w:jc w:val="left"/>
              <w:rPr/>
            </w:pPr>
            <w:r>
              <w:rPr/>
              <w:t> </w:t>
            </w:r>
          </w:p>
        </w:tc>
      </w:tr>
      <w:tr>
        <w:trPr/>
        <w:tc>
          <w:tcPr>
            <w:tcW w:w="787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current assets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20,583</w:t>
            </w:r>
          </w:p>
        </w:tc>
        <w:tc>
          <w:tcPr>
            <w:tcW w:w="83" w:type="dxa"/>
            <w:tcBorders/>
            <w:shd w:fill="CCEEFF" w:val="clear"/>
            <w:vAlign w:val="center"/>
          </w:tcPr>
          <w:p>
            <w:pPr>
              <w:pStyle w:val="TableContents"/>
              <w:bidi w:val="0"/>
              <w:spacing w:before="0" w:after="283"/>
              <w:jc w:val="left"/>
              <w:rPr/>
            </w:pPr>
            <w:r>
              <w:rPr/>
              <w:t> </w:t>
            </w:r>
          </w:p>
        </w:tc>
      </w:tr>
      <w:tr>
        <w:trPr/>
        <w:tc>
          <w:tcPr>
            <w:tcW w:w="7875" w:type="dxa"/>
            <w:tcBorders/>
            <w:shd w:fill="FFFF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153,122</w:t>
            </w:r>
          </w:p>
        </w:tc>
        <w:tc>
          <w:tcPr>
            <w:tcW w:w="83" w:type="dxa"/>
            <w:tcBorders/>
            <w:shd w:fill="FFFFFF" w:val="clear"/>
            <w:vAlign w:val="center"/>
          </w:tcPr>
          <w:p>
            <w:pPr>
              <w:pStyle w:val="TableContents"/>
              <w:bidi w:val="0"/>
              <w:spacing w:before="0" w:after="283"/>
              <w:jc w:val="left"/>
              <w:rPr/>
            </w:pPr>
            <w:r>
              <w:rPr/>
              <w:t> </w:t>
            </w:r>
          </w:p>
        </w:tc>
      </w:tr>
      <w:tr>
        <w:trPr/>
        <w:tc>
          <w:tcPr>
            <w:tcW w:w="7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7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10,741</w:t>
            </w:r>
          </w:p>
        </w:tc>
        <w:tc>
          <w:tcPr>
            <w:tcW w:w="83" w:type="dxa"/>
            <w:tcBorders/>
            <w:shd w:fill="FFFFFF" w:val="clear"/>
            <w:vAlign w:val="center"/>
          </w:tcPr>
          <w:p>
            <w:pPr>
              <w:pStyle w:val="TableContents"/>
              <w:bidi w:val="0"/>
              <w:spacing w:before="0" w:after="283"/>
              <w:jc w:val="left"/>
              <w:rPr/>
            </w:pPr>
            <w:r>
              <w:rPr/>
              <w:t> </w:t>
            </w:r>
          </w:p>
        </w:tc>
      </w:tr>
      <w:tr>
        <w:trPr/>
        <w:tc>
          <w:tcPr>
            <w:tcW w:w="787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software development, net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43,370</w:t>
            </w:r>
          </w:p>
        </w:tc>
        <w:tc>
          <w:tcPr>
            <w:tcW w:w="83" w:type="dxa"/>
            <w:tcBorders/>
            <w:shd w:fill="CCEEFF" w:val="clear"/>
            <w:vAlign w:val="center"/>
          </w:tcPr>
          <w:p>
            <w:pPr>
              <w:pStyle w:val="TableContents"/>
              <w:bidi w:val="0"/>
              <w:spacing w:before="0" w:after="283"/>
              <w:jc w:val="left"/>
              <w:rPr/>
            </w:pPr>
            <w:r>
              <w:rPr/>
              <w:t> </w:t>
            </w:r>
          </w:p>
        </w:tc>
      </w:tr>
      <w:tr>
        <w:trPr/>
        <w:tc>
          <w:tcPr>
            <w:tcW w:w="787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 of use assets, net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17,453</w:t>
            </w:r>
          </w:p>
        </w:tc>
        <w:tc>
          <w:tcPr>
            <w:tcW w:w="83" w:type="dxa"/>
            <w:tcBorders/>
            <w:shd w:fill="FFFFFF" w:val="clear"/>
            <w:vAlign w:val="center"/>
          </w:tcPr>
          <w:p>
            <w:pPr>
              <w:pStyle w:val="TableContents"/>
              <w:bidi w:val="0"/>
              <w:spacing w:before="0" w:after="283"/>
              <w:jc w:val="left"/>
              <w:rPr/>
            </w:pPr>
            <w:r>
              <w:rPr/>
              <w:t> </w:t>
            </w:r>
          </w:p>
        </w:tc>
      </w:tr>
      <w:tr>
        <w:trPr/>
        <w:tc>
          <w:tcPr>
            <w:tcW w:w="7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191,220</w:t>
            </w:r>
          </w:p>
        </w:tc>
        <w:tc>
          <w:tcPr>
            <w:tcW w:w="83" w:type="dxa"/>
            <w:tcBorders/>
            <w:shd w:fill="CCEEFF" w:val="clear"/>
            <w:vAlign w:val="center"/>
          </w:tcPr>
          <w:p>
            <w:pPr>
              <w:pStyle w:val="TableContents"/>
              <w:bidi w:val="0"/>
              <w:spacing w:before="0" w:after="283"/>
              <w:jc w:val="left"/>
              <w:rPr/>
            </w:pPr>
            <w:r>
              <w:rPr/>
              <w:t> </w:t>
            </w:r>
          </w:p>
        </w:tc>
      </w:tr>
      <w:tr>
        <w:trPr/>
        <w:tc>
          <w:tcPr>
            <w:tcW w:w="787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Intangibles, net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45,369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55,548</w:t>
            </w:r>
          </w:p>
        </w:tc>
        <w:tc>
          <w:tcPr>
            <w:tcW w:w="83" w:type="dxa"/>
            <w:tcBorders/>
            <w:shd w:fill="FFFFFF" w:val="clear"/>
            <w:vAlign w:val="center"/>
          </w:tcPr>
          <w:p>
            <w:pPr>
              <w:pStyle w:val="TableContents"/>
              <w:bidi w:val="0"/>
              <w:spacing w:before="0" w:after="283"/>
              <w:jc w:val="left"/>
              <w:rPr/>
            </w:pPr>
            <w:r>
              <w:rPr/>
              <w:t> </w:t>
            </w:r>
          </w:p>
        </w:tc>
      </w:tr>
      <w:tr>
        <w:trPr/>
        <w:tc>
          <w:tcPr>
            <w:tcW w:w="7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39,312</w:t>
            </w:r>
          </w:p>
        </w:tc>
        <w:tc>
          <w:tcPr>
            <w:tcW w:w="83" w:type="dxa"/>
            <w:tcBorders/>
            <w:shd w:fill="CCEEFF" w:val="clear"/>
            <w:vAlign w:val="center"/>
          </w:tcPr>
          <w:p>
            <w:pPr>
              <w:pStyle w:val="TableContents"/>
              <w:bidi w:val="0"/>
              <w:spacing w:before="0" w:after="283"/>
              <w:jc w:val="left"/>
              <w:rPr/>
            </w:pPr>
            <w:r>
              <w:rPr/>
              <w:t> </w:t>
            </w:r>
          </w:p>
        </w:tc>
      </w:tr>
      <w:tr>
        <w:trPr/>
        <w:tc>
          <w:tcPr>
            <w:tcW w:w="7875" w:type="dxa"/>
            <w:tcBorders/>
            <w:shd w:fill="FFFF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499,930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510,766</w:t>
            </w:r>
          </w:p>
        </w:tc>
        <w:tc>
          <w:tcPr>
            <w:tcW w:w="83" w:type="dxa"/>
            <w:tcBorders/>
            <w:shd w:fill="FFFFFF" w:val="clear"/>
            <w:vAlign w:val="center"/>
          </w:tcPr>
          <w:p>
            <w:pPr>
              <w:pStyle w:val="TableContents"/>
              <w:bidi w:val="0"/>
              <w:spacing w:before="0" w:after="283"/>
              <w:jc w:val="left"/>
              <w:rPr/>
            </w:pPr>
            <w:r>
              <w:rPr/>
              <w:t> </w:t>
            </w:r>
          </w:p>
        </w:tc>
      </w:tr>
      <w:tr>
        <w:trPr/>
        <w:tc>
          <w:tcPr>
            <w:tcW w:w="7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75"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center"/>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7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6,628</w:t>
            </w:r>
          </w:p>
        </w:tc>
        <w:tc>
          <w:tcPr>
            <w:tcW w:w="83" w:type="dxa"/>
            <w:tcBorders/>
            <w:shd w:fill="FFFFFF" w:val="clear"/>
            <w:vAlign w:val="center"/>
          </w:tcPr>
          <w:p>
            <w:pPr>
              <w:pStyle w:val="TableContents"/>
              <w:bidi w:val="0"/>
              <w:spacing w:before="0" w:after="283"/>
              <w:jc w:val="left"/>
              <w:rPr/>
            </w:pPr>
            <w:r>
              <w:rPr/>
              <w:t> </w:t>
            </w:r>
          </w:p>
        </w:tc>
      </w:tr>
      <w:tr>
        <w:trPr/>
        <w:tc>
          <w:tcPr>
            <w:tcW w:w="78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royalties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5,190</w:t>
            </w:r>
          </w:p>
        </w:tc>
        <w:tc>
          <w:tcPr>
            <w:tcW w:w="83" w:type="dxa"/>
            <w:tcBorders/>
            <w:shd w:fill="CCEEFF" w:val="clear"/>
            <w:vAlign w:val="center"/>
          </w:tcPr>
          <w:p>
            <w:pPr>
              <w:pStyle w:val="TableContents"/>
              <w:bidi w:val="0"/>
              <w:spacing w:before="0" w:after="283"/>
              <w:jc w:val="left"/>
              <w:rPr/>
            </w:pPr>
            <w:r>
              <w:rPr/>
              <w:t> </w:t>
            </w:r>
          </w:p>
        </w:tc>
      </w:tr>
      <w:tr>
        <w:trPr/>
        <w:tc>
          <w:tcPr>
            <w:tcW w:w="787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10,141</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9,507</w:t>
            </w:r>
          </w:p>
        </w:tc>
        <w:tc>
          <w:tcPr>
            <w:tcW w:w="83" w:type="dxa"/>
            <w:tcBorders/>
            <w:shd w:fill="CCEEFF" w:val="clear"/>
            <w:vAlign w:val="center"/>
          </w:tcPr>
          <w:p>
            <w:pPr>
              <w:pStyle w:val="TableContents"/>
              <w:bidi w:val="0"/>
              <w:spacing w:before="0" w:after="0"/>
              <w:jc w:val="left"/>
              <w:rPr/>
            </w:pPr>
            <w:r>
              <w:rPr/>
              <w:t> </w:t>
            </w:r>
          </w:p>
        </w:tc>
      </w:tr>
      <w:tr>
        <w:trPr/>
        <w:tc>
          <w:tcPr>
            <w:tcW w:w="78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84,227</w:t>
            </w:r>
          </w:p>
        </w:tc>
        <w:tc>
          <w:tcPr>
            <w:tcW w:w="83" w:type="dxa"/>
            <w:tcBorders/>
            <w:shd w:fill="FFFFFF" w:val="clear"/>
            <w:vAlign w:val="center"/>
          </w:tcPr>
          <w:p>
            <w:pPr>
              <w:pStyle w:val="TableContents"/>
              <w:bidi w:val="0"/>
              <w:spacing w:before="0" w:after="283"/>
              <w:jc w:val="left"/>
              <w:rPr/>
            </w:pPr>
            <w:r>
              <w:rPr/>
              <w:t> </w:t>
            </w:r>
          </w:p>
        </w:tc>
      </w:tr>
      <w:tr>
        <w:trPr/>
        <w:tc>
          <w:tcPr>
            <w:tcW w:w="787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115,693</w:t>
            </w:r>
          </w:p>
        </w:tc>
        <w:tc>
          <w:tcPr>
            <w:tcW w:w="83" w:type="dxa"/>
            <w:tcBorders/>
            <w:shd w:fill="CCEEFF" w:val="clear"/>
            <w:vAlign w:val="center"/>
          </w:tcPr>
          <w:p>
            <w:pPr>
              <w:pStyle w:val="TableContents"/>
              <w:bidi w:val="0"/>
              <w:spacing w:before="0" w:after="283"/>
              <w:jc w:val="left"/>
              <w:rPr/>
            </w:pPr>
            <w:r>
              <w:rPr/>
              <w:t> </w:t>
            </w:r>
          </w:p>
        </w:tc>
      </w:tr>
      <w:tr>
        <w:trPr/>
        <w:tc>
          <w:tcPr>
            <w:tcW w:w="7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14,596</w:t>
            </w:r>
          </w:p>
        </w:tc>
        <w:tc>
          <w:tcPr>
            <w:tcW w:w="83" w:type="dxa"/>
            <w:tcBorders/>
            <w:shd w:fill="CCEEFF" w:val="clear"/>
            <w:vAlign w:val="center"/>
          </w:tcPr>
          <w:p>
            <w:pPr>
              <w:pStyle w:val="TableContents"/>
              <w:bidi w:val="0"/>
              <w:spacing w:before="0" w:after="283"/>
              <w:jc w:val="left"/>
              <w:rPr/>
            </w:pPr>
            <w:r>
              <w:rPr/>
              <w:t> </w:t>
            </w:r>
          </w:p>
        </w:tc>
      </w:tr>
      <w:tr>
        <w:trPr/>
        <w:tc>
          <w:tcPr>
            <w:tcW w:w="7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 noncurrent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1,655</w:t>
            </w:r>
          </w:p>
        </w:tc>
        <w:tc>
          <w:tcPr>
            <w:tcW w:w="83" w:type="dxa"/>
            <w:tcBorders/>
            <w:shd w:fill="FFFFFF" w:val="clear"/>
            <w:vAlign w:val="center"/>
          </w:tcPr>
          <w:p>
            <w:pPr>
              <w:pStyle w:val="TableContents"/>
              <w:bidi w:val="0"/>
              <w:spacing w:before="0" w:after="283"/>
              <w:jc w:val="left"/>
              <w:rPr/>
            </w:pPr>
            <w:r>
              <w:rPr/>
              <w:t> </w:t>
            </w:r>
          </w:p>
        </w:tc>
      </w:tr>
      <w:tr>
        <w:trPr/>
        <w:tc>
          <w:tcPr>
            <w:tcW w:w="7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liability, noncurrent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17,366</w:t>
            </w:r>
          </w:p>
        </w:tc>
        <w:tc>
          <w:tcPr>
            <w:tcW w:w="83" w:type="dxa"/>
            <w:tcBorders/>
            <w:shd w:fill="CCEEFF" w:val="clear"/>
            <w:vAlign w:val="center"/>
          </w:tcPr>
          <w:p>
            <w:pPr>
              <w:pStyle w:val="TableContents"/>
              <w:bidi w:val="0"/>
              <w:spacing w:before="0" w:after="283"/>
              <w:jc w:val="left"/>
              <w:rPr/>
            </w:pPr>
            <w:r>
              <w:rPr/>
              <w:t> </w:t>
            </w:r>
          </w:p>
        </w:tc>
      </w:tr>
      <w:tr>
        <w:trPr/>
        <w:tc>
          <w:tcPr>
            <w:tcW w:w="7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2,101</w:t>
            </w:r>
          </w:p>
        </w:tc>
        <w:tc>
          <w:tcPr>
            <w:tcW w:w="83" w:type="dxa"/>
            <w:tcBorders/>
            <w:shd w:fill="FFFFFF" w:val="clear"/>
            <w:vAlign w:val="center"/>
          </w:tcPr>
          <w:p>
            <w:pPr>
              <w:pStyle w:val="TableContents"/>
              <w:bidi w:val="0"/>
              <w:spacing w:before="0" w:after="283"/>
              <w:jc w:val="left"/>
              <w:rPr/>
            </w:pPr>
            <w:r>
              <w:rPr/>
              <w:t> </w:t>
            </w:r>
          </w:p>
        </w:tc>
      </w:tr>
      <w:tr>
        <w:trPr/>
        <w:tc>
          <w:tcPr>
            <w:tcW w:w="7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75" w:type="dxa"/>
            <w:tcBorders/>
            <w:shd w:fill="FFFF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no par value, 10,000 shares authorized, no shares issued or outstanding</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87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no par value, 75,000 shares authorized; 29,652 and 30,432 shares issued and outstanding at September 30,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228,753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252,432</w:t>
            </w:r>
          </w:p>
        </w:tc>
        <w:tc>
          <w:tcPr>
            <w:tcW w:w="83" w:type="dxa"/>
            <w:tcBorders/>
            <w:shd w:fill="CCEEFF" w:val="clear"/>
            <w:vAlign w:val="center"/>
          </w:tcPr>
          <w:p>
            <w:pPr>
              <w:pStyle w:val="TableContents"/>
              <w:bidi w:val="0"/>
              <w:spacing w:before="0" w:after="283"/>
              <w:jc w:val="left"/>
              <w:rPr/>
            </w:pPr>
            <w:r>
              <w:rPr/>
              <w:t> </w:t>
            </w:r>
          </w:p>
        </w:tc>
      </w:tr>
      <w:tr>
        <w:trPr/>
        <w:tc>
          <w:tcPr>
            <w:tcW w:w="787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108,972</w:t>
            </w:r>
          </w:p>
        </w:tc>
        <w:tc>
          <w:tcPr>
            <w:tcW w:w="83" w:type="dxa"/>
            <w:tcBorders/>
            <w:shd w:fill="FFFFFF" w:val="clear"/>
            <w:vAlign w:val="center"/>
          </w:tcPr>
          <w:p>
            <w:pPr>
              <w:pStyle w:val="TableContents"/>
              <w:bidi w:val="0"/>
              <w:spacing w:before="0" w:after="283"/>
              <w:jc w:val="left"/>
              <w:rPr/>
            </w:pPr>
            <w:r>
              <w:rPr/>
              <w:t> </w:t>
            </w:r>
          </w:p>
        </w:tc>
      </w:tr>
      <w:tr>
        <w:trPr/>
        <w:tc>
          <w:tcPr>
            <w:tcW w:w="787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(2,049</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75" w:type="dxa"/>
            <w:tcBorders/>
            <w:shd w:fill="FFFF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349,193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359,355</w:t>
            </w:r>
          </w:p>
        </w:tc>
        <w:tc>
          <w:tcPr>
            <w:tcW w:w="83" w:type="dxa"/>
            <w:tcBorders/>
            <w:shd w:fill="FFFFFF" w:val="clear"/>
            <w:vAlign w:val="center"/>
          </w:tcPr>
          <w:p>
            <w:pPr>
              <w:pStyle w:val="TableContents"/>
              <w:bidi w:val="0"/>
              <w:spacing w:before="0" w:after="283"/>
              <w:jc w:val="left"/>
              <w:rPr/>
            </w:pPr>
            <w:r>
              <w:rPr/>
              <w:t> </w:t>
            </w:r>
          </w:p>
        </w:tc>
      </w:tr>
      <w:tr>
        <w:trPr/>
        <w:tc>
          <w:tcPr>
            <w:tcW w:w="7875" w:type="dxa"/>
            <w:tcBorders/>
            <w:shd w:fill="CCEE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shareholders’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499,930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510,766</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4" w:name="income"/>
      <w:bookmarkEnd w:id="4"/>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INCOME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51"/>
        <w:gridCol w:w="60"/>
        <w:gridCol w:w="251"/>
        <w:gridCol w:w="1193"/>
        <w:gridCol w:w="86"/>
        <w:gridCol w:w="65"/>
        <w:gridCol w:w="251"/>
        <w:gridCol w:w="1193"/>
        <w:gridCol w:w="80"/>
        <w:gridCol w:w="60"/>
        <w:gridCol w:w="219"/>
        <w:gridCol w:w="1226"/>
        <w:gridCol w:w="80"/>
        <w:gridCol w:w="60"/>
        <w:gridCol w:w="219"/>
        <w:gridCol w:w="1226"/>
        <w:gridCol w:w="85"/>
      </w:tblGrid>
      <w:tr>
        <w:trPr/>
        <w:tc>
          <w:tcPr>
            <w:tcW w:w="38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85" w:type="dxa"/>
            <w:tcBorders/>
            <w:shd w:fill="FFFFFF" w:val="clear"/>
            <w:vAlign w:val="center"/>
          </w:tcPr>
          <w:p>
            <w:pPr>
              <w:pStyle w:val="TableContents"/>
              <w:bidi w:val="0"/>
              <w:spacing w:before="0" w:after="283"/>
              <w:jc w:val="left"/>
              <w:rPr/>
            </w:pPr>
            <w:r>
              <w:rPr/>
              <w:t> </w:t>
            </w:r>
          </w:p>
        </w:tc>
      </w:tr>
      <w:tr>
        <w:trPr/>
        <w:tc>
          <w:tcPr>
            <w:tcW w:w="38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2025</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2024</w:t>
            </w:r>
          </w:p>
        </w:tc>
        <w:tc>
          <w:tcPr>
            <w:tcW w:w="85" w:type="dxa"/>
            <w:tcBorders/>
            <w:shd w:fill="FFFFFF" w:val="clear"/>
            <w:vAlign w:val="center"/>
          </w:tcPr>
          <w:p>
            <w:pPr>
              <w:pStyle w:val="TableContents"/>
              <w:bidi w:val="0"/>
              <w:spacing w:before="0" w:after="283"/>
              <w:jc w:val="left"/>
              <w:rPr/>
            </w:pPr>
            <w:r>
              <w:rPr/>
              <w:t> </w:t>
            </w:r>
          </w:p>
        </w:tc>
      </w:tr>
      <w:tr>
        <w:trPr/>
        <w:tc>
          <w:tcPr>
            <w:tcW w:w="38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net</w:t>
            </w:r>
          </w:p>
        </w:tc>
        <w:tc>
          <w:tcPr>
            <w:tcW w:w="60" w:type="dxa"/>
            <w:tcBorders/>
            <w:shd w:fill="CCEEFF" w:val="clear"/>
            <w:vAlign w:val="center"/>
          </w:tcPr>
          <w:p>
            <w:pPr>
              <w:pStyle w:val="TableContents"/>
              <w:bidi w:val="0"/>
              <w:spacing w:before="0" w:after="283"/>
              <w:ind w:left="0" w:right="0" w:hanging="0"/>
              <w:jc w:val="left"/>
              <w:rPr/>
            </w:pPr>
            <w:r>
              <w:rPr/>
              <w:t> </w:t>
            </w:r>
          </w:p>
        </w:tc>
        <w:tc>
          <w:tcPr>
            <w:tcW w:w="2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76,474</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2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224,355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217,411</w:t>
            </w:r>
          </w:p>
        </w:tc>
        <w:tc>
          <w:tcPr>
            <w:tcW w:w="85" w:type="dxa"/>
            <w:tcBorders/>
            <w:shd w:fill="CCEEFF" w:val="clear"/>
            <w:vAlign w:val="center"/>
          </w:tcPr>
          <w:p>
            <w:pPr>
              <w:pStyle w:val="TableContents"/>
              <w:bidi w:val="0"/>
              <w:spacing w:before="0" w:after="283"/>
              <w:jc w:val="left"/>
              <w:rPr/>
            </w:pPr>
            <w:r>
              <w:rPr/>
              <w:t> </w:t>
            </w:r>
          </w:p>
        </w:tc>
      </w:tr>
      <w:tr>
        <w:trPr/>
        <w:tc>
          <w:tcPr>
            <w:tcW w:w="38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costs and expenses: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385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(excluding depreciation and amortization)</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26,507</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12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12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72,825</w:t>
            </w:r>
          </w:p>
        </w:tc>
        <w:tc>
          <w:tcPr>
            <w:tcW w:w="85" w:type="dxa"/>
            <w:tcBorders/>
            <w:shd w:fill="CCEEFF" w:val="clear"/>
            <w:vAlign w:val="center"/>
          </w:tcPr>
          <w:p>
            <w:pPr>
              <w:pStyle w:val="TableContents"/>
              <w:bidi w:val="0"/>
              <w:spacing w:before="0" w:after="283"/>
              <w:jc w:val="left"/>
              <w:rPr/>
            </w:pPr>
            <w:r>
              <w:rPr/>
              <w:t> </w:t>
            </w:r>
          </w:p>
        </w:tc>
      </w:tr>
      <w:tr>
        <w:trPr/>
        <w:tc>
          <w:tcPr>
            <w:tcW w:w="385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development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12,107</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12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12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36,208</w:t>
            </w:r>
          </w:p>
        </w:tc>
        <w:tc>
          <w:tcPr>
            <w:tcW w:w="85" w:type="dxa"/>
            <w:tcBorders/>
            <w:shd w:fill="FFFFFF" w:val="clear"/>
            <w:vAlign w:val="center"/>
          </w:tcPr>
          <w:p>
            <w:pPr>
              <w:pStyle w:val="TableContents"/>
              <w:bidi w:val="0"/>
              <w:spacing w:before="0" w:after="283"/>
              <w:jc w:val="left"/>
              <w:rPr/>
            </w:pPr>
            <w:r>
              <w:rPr/>
              <w:t> </w:t>
            </w:r>
          </w:p>
        </w:tc>
      </w:tr>
      <w:tr>
        <w:trPr/>
        <w:tc>
          <w:tcPr>
            <w:tcW w:w="385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12,143</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12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12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34,676</w:t>
            </w:r>
          </w:p>
        </w:tc>
        <w:tc>
          <w:tcPr>
            <w:tcW w:w="85" w:type="dxa"/>
            <w:tcBorders/>
            <w:shd w:fill="CCEEFF" w:val="clear"/>
            <w:vAlign w:val="center"/>
          </w:tcPr>
          <w:p>
            <w:pPr>
              <w:pStyle w:val="TableContents"/>
              <w:bidi w:val="0"/>
              <w:spacing w:before="0" w:after="283"/>
              <w:jc w:val="left"/>
              <w:rPr/>
            </w:pPr>
            <w:r>
              <w:rPr/>
              <w:t> </w:t>
            </w:r>
          </w:p>
        </w:tc>
      </w:tr>
      <w:tr>
        <w:trPr/>
        <w:tc>
          <w:tcPr>
            <w:tcW w:w="385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7,330</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12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12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26,325</w:t>
            </w:r>
          </w:p>
        </w:tc>
        <w:tc>
          <w:tcPr>
            <w:tcW w:w="85" w:type="dxa"/>
            <w:tcBorders/>
            <w:shd w:fill="FFFFFF" w:val="clear"/>
            <w:vAlign w:val="center"/>
          </w:tcPr>
          <w:p>
            <w:pPr>
              <w:pStyle w:val="TableContents"/>
              <w:bidi w:val="0"/>
              <w:spacing w:before="0" w:after="283"/>
              <w:jc w:val="left"/>
              <w:rPr/>
            </w:pPr>
            <w:r>
              <w:rPr/>
              <w:t> </w:t>
            </w:r>
          </w:p>
        </w:tc>
      </w:tr>
      <w:tr>
        <w:trPr/>
        <w:tc>
          <w:tcPr>
            <w:tcW w:w="385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10,820</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30,779</w:t>
            </w:r>
          </w:p>
        </w:tc>
        <w:tc>
          <w:tcPr>
            <w:tcW w:w="85" w:type="dxa"/>
            <w:tcBorders/>
            <w:shd w:fill="CCEEFF" w:val="clear"/>
            <w:vAlign w:val="center"/>
          </w:tcPr>
          <w:p>
            <w:pPr>
              <w:pStyle w:val="TableContents"/>
              <w:bidi w:val="0"/>
              <w:spacing w:before="0" w:after="283"/>
              <w:jc w:val="left"/>
              <w:rPr/>
            </w:pPr>
            <w:r>
              <w:rPr/>
              <w:t> </w:t>
            </w:r>
          </w:p>
        </w:tc>
      </w:tr>
      <w:tr>
        <w:trPr/>
        <w:tc>
          <w:tcPr>
            <w:tcW w:w="3851"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costs and expenses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68,907</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12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206,523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12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200,813</w:t>
            </w:r>
          </w:p>
        </w:tc>
        <w:tc>
          <w:tcPr>
            <w:tcW w:w="85" w:type="dxa"/>
            <w:tcBorders/>
            <w:shd w:fill="FFFFFF" w:val="clear"/>
            <w:vAlign w:val="center"/>
          </w:tcPr>
          <w:p>
            <w:pPr>
              <w:pStyle w:val="TableContents"/>
              <w:bidi w:val="0"/>
              <w:spacing w:before="0" w:after="283"/>
              <w:jc w:val="left"/>
              <w:rPr/>
            </w:pPr>
            <w:r>
              <w:rPr/>
              <w:t> </w:t>
            </w:r>
          </w:p>
        </w:tc>
      </w:tr>
      <w:tr>
        <w:trPr/>
        <w:tc>
          <w:tcPr>
            <w:tcW w:w="38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38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7,567</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12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12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16,598</w:t>
            </w:r>
          </w:p>
        </w:tc>
        <w:tc>
          <w:tcPr>
            <w:tcW w:w="85" w:type="dxa"/>
            <w:tcBorders/>
            <w:shd w:fill="FFFFFF" w:val="clear"/>
            <w:vAlign w:val="center"/>
          </w:tcPr>
          <w:p>
            <w:pPr>
              <w:pStyle w:val="TableContents"/>
              <w:bidi w:val="0"/>
              <w:spacing w:before="0" w:after="283"/>
              <w:jc w:val="left"/>
              <w:rPr/>
            </w:pPr>
            <w:r>
              <w:rPr/>
              <w:t> </w:t>
            </w:r>
          </w:p>
        </w:tc>
      </w:tr>
      <w:tr>
        <w:trPr/>
        <w:tc>
          <w:tcPr>
            <w:tcW w:w="38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385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788</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2,856</w:t>
            </w:r>
          </w:p>
        </w:tc>
        <w:tc>
          <w:tcPr>
            <w:tcW w:w="85" w:type="dxa"/>
            <w:tcBorders/>
            <w:shd w:fill="FFFFFF" w:val="clear"/>
            <w:vAlign w:val="center"/>
          </w:tcPr>
          <w:p>
            <w:pPr>
              <w:pStyle w:val="TableContents"/>
              <w:bidi w:val="0"/>
              <w:spacing w:before="0" w:after="283"/>
              <w:ind w:left="0" w:right="0" w:hanging="0"/>
              <w:jc w:val="left"/>
              <w:rPr/>
            </w:pPr>
            <w:r>
              <w:rPr/>
              <w:t> </w:t>
            </w:r>
          </w:p>
        </w:tc>
      </w:tr>
      <w:tr>
        <w:trPr/>
        <w:tc>
          <w:tcPr>
            <w:tcW w:w="3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60" w:type="dxa"/>
            <w:tcBorders/>
            <w:shd w:fill="CCEEFF" w:val="clear"/>
            <w:vAlign w:val="center"/>
          </w:tcPr>
          <w:p>
            <w:pPr>
              <w:pStyle w:val="TableContents"/>
              <w:bidi w:val="0"/>
              <w:spacing w:before="0" w:after="0"/>
              <w:ind w:left="0" w:right="0" w:hanging="0"/>
              <w:jc w:val="left"/>
              <w:rPr/>
            </w:pPr>
            <w:r>
              <w:rPr/>
              <w:t> </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8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8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3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 provision</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8,252</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19,320</w:t>
            </w:r>
          </w:p>
        </w:tc>
        <w:tc>
          <w:tcPr>
            <w:tcW w:w="85" w:type="dxa"/>
            <w:tcBorders/>
            <w:shd w:fill="CCEEFF" w:val="clear"/>
            <w:vAlign w:val="center"/>
          </w:tcPr>
          <w:p>
            <w:pPr>
              <w:pStyle w:val="TableContents"/>
              <w:bidi w:val="0"/>
              <w:spacing w:before="0" w:after="283"/>
              <w:jc w:val="left"/>
              <w:rPr/>
            </w:pPr>
            <w:r>
              <w:rPr/>
              <w:t> </w:t>
            </w:r>
          </w:p>
        </w:tc>
      </w:tr>
      <w:tr>
        <w:trPr/>
        <w:tc>
          <w:tcPr>
            <w:tcW w:w="38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2,166</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4,202</w:t>
            </w:r>
          </w:p>
        </w:tc>
        <w:tc>
          <w:tcPr>
            <w:tcW w:w="85" w:type="dxa"/>
            <w:tcBorders/>
            <w:shd w:fill="FFFFFF" w:val="clear"/>
            <w:vAlign w:val="center"/>
          </w:tcPr>
          <w:p>
            <w:pPr>
              <w:pStyle w:val="TableContents"/>
              <w:bidi w:val="0"/>
              <w:spacing w:before="0" w:after="283"/>
              <w:ind w:left="0" w:right="0" w:hanging="0"/>
              <w:jc w:val="left"/>
              <w:rPr/>
            </w:pPr>
            <w:r>
              <w:rPr/>
              <w:t> </w:t>
            </w:r>
          </w:p>
        </w:tc>
      </w:tr>
      <w:tr>
        <w:trPr/>
        <w:tc>
          <w:tcPr>
            <w:tcW w:w="3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0"/>
              <w:ind w:left="0" w:right="0" w:hanging="0"/>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6,086</w:t>
            </w:r>
          </w:p>
        </w:tc>
        <w:tc>
          <w:tcPr>
            <w:tcW w:w="86"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15,118</w:t>
            </w:r>
          </w:p>
        </w:tc>
        <w:tc>
          <w:tcPr>
            <w:tcW w:w="85" w:type="dxa"/>
            <w:tcBorders/>
            <w:shd w:fill="CCEEFF" w:val="clear"/>
            <w:vAlign w:val="center"/>
          </w:tcPr>
          <w:p>
            <w:pPr>
              <w:pStyle w:val="TableContents"/>
              <w:bidi w:val="0"/>
              <w:spacing w:before="0" w:after="0"/>
              <w:jc w:val="left"/>
              <w:rPr/>
            </w:pPr>
            <w:r>
              <w:rPr/>
              <w:t> </w:t>
            </w:r>
          </w:p>
        </w:tc>
      </w:tr>
      <w:tr>
        <w:trPr/>
        <w:tc>
          <w:tcPr>
            <w:tcW w:w="38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38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r>
      <w:tr>
        <w:trPr/>
        <w:tc>
          <w:tcPr>
            <w:tcW w:w="385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60" w:type="dxa"/>
            <w:tcBorders/>
            <w:shd w:fill="FFFFFF" w:val="clear"/>
            <w:vAlign w:val="center"/>
          </w:tcPr>
          <w:p>
            <w:pPr>
              <w:pStyle w:val="TableContents"/>
              <w:bidi w:val="0"/>
              <w:spacing w:before="0" w:after="0"/>
              <w:ind w:left="0" w:right="0" w:hanging="0"/>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86"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w:t>
            </w:r>
          </w:p>
        </w:tc>
        <w:tc>
          <w:tcPr>
            <w:tcW w:w="85" w:type="dxa"/>
            <w:tcBorders/>
            <w:shd w:fill="FFFFFF" w:val="clear"/>
            <w:vAlign w:val="center"/>
          </w:tcPr>
          <w:p>
            <w:pPr>
              <w:pStyle w:val="TableContents"/>
              <w:bidi w:val="0"/>
              <w:spacing w:before="0" w:after="0"/>
              <w:ind w:left="0" w:right="0" w:hanging="0"/>
              <w:jc w:val="left"/>
              <w:rPr/>
            </w:pPr>
            <w:r>
              <w:rPr/>
              <w:t> </w:t>
            </w:r>
          </w:p>
        </w:tc>
      </w:tr>
      <w:tr>
        <w:trPr/>
        <w:tc>
          <w:tcPr>
            <w:tcW w:w="3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CCEEFF" w:val="clear"/>
            <w:vAlign w:val="center"/>
          </w:tcPr>
          <w:p>
            <w:pPr>
              <w:pStyle w:val="TableContents"/>
              <w:bidi w:val="0"/>
              <w:spacing w:before="0" w:after="0"/>
              <w:ind w:left="0" w:right="0" w:hanging="0"/>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86"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w:t>
            </w:r>
          </w:p>
        </w:tc>
        <w:tc>
          <w:tcPr>
            <w:tcW w:w="85" w:type="dxa"/>
            <w:tcBorders/>
            <w:shd w:fill="CCEEFF" w:val="clear"/>
            <w:vAlign w:val="center"/>
          </w:tcPr>
          <w:p>
            <w:pPr>
              <w:pStyle w:val="TableContents"/>
              <w:bidi w:val="0"/>
              <w:spacing w:before="0" w:after="0"/>
              <w:jc w:val="left"/>
              <w:rPr/>
            </w:pPr>
            <w:r>
              <w:rPr/>
              <w:t> </w:t>
            </w:r>
          </w:p>
        </w:tc>
      </w:tr>
      <w:tr>
        <w:trPr/>
        <w:tc>
          <w:tcPr>
            <w:tcW w:w="38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38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of common stock outstanding:</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385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29,688</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30,374</w:t>
            </w:r>
          </w:p>
        </w:tc>
        <w:tc>
          <w:tcPr>
            <w:tcW w:w="85" w:type="dxa"/>
            <w:tcBorders/>
            <w:shd w:fill="FFFFFF" w:val="clear"/>
            <w:vAlign w:val="center"/>
          </w:tcPr>
          <w:p>
            <w:pPr>
              <w:pStyle w:val="TableContents"/>
              <w:bidi w:val="0"/>
              <w:spacing w:before="0" w:after="283"/>
              <w:jc w:val="left"/>
              <w:rPr/>
            </w:pPr>
            <w:r>
              <w:rPr/>
              <w:t> </w:t>
            </w:r>
          </w:p>
        </w:tc>
      </w:tr>
      <w:tr>
        <w:trPr/>
        <w:tc>
          <w:tcPr>
            <w:tcW w:w="385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29,811</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30,512</w:t>
            </w:r>
          </w:p>
        </w:tc>
        <w:tc>
          <w:tcPr>
            <w:tcW w:w="85" w:type="dxa"/>
            <w:tcBorders/>
            <w:shd w:fill="CCEEFF" w:val="clear"/>
            <w:vAlign w:val="center"/>
          </w:tcPr>
          <w:p>
            <w:pPr>
              <w:pStyle w:val="TableContents"/>
              <w:bidi w:val="0"/>
              <w:spacing w:before="0" w:after="283"/>
              <w:jc w:val="left"/>
              <w:rPr/>
            </w:pPr>
            <w:r>
              <w:rPr/>
              <w:t> </w:t>
            </w:r>
          </w:p>
        </w:tc>
      </w:tr>
      <w:tr>
        <w:trPr/>
        <w:tc>
          <w:tcPr>
            <w:tcW w:w="38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0.031</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0.084</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5" w:name="compinc"/>
      <w:bookmarkEnd w:id="5"/>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COMPREHENSIVE INCOME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21"/>
        <w:gridCol w:w="60"/>
        <w:gridCol w:w="312"/>
        <w:gridCol w:w="1217"/>
        <w:gridCol w:w="99"/>
        <w:gridCol w:w="74"/>
        <w:gridCol w:w="312"/>
        <w:gridCol w:w="1217"/>
        <w:gridCol w:w="60"/>
        <w:gridCol w:w="60"/>
        <w:gridCol w:w="266"/>
        <w:gridCol w:w="1264"/>
        <w:gridCol w:w="63"/>
        <w:gridCol w:w="63"/>
        <w:gridCol w:w="266"/>
        <w:gridCol w:w="1264"/>
        <w:gridCol w:w="87"/>
      </w:tblGrid>
      <w:tr>
        <w:trPr/>
        <w:tc>
          <w:tcPr>
            <w:tcW w:w="35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3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8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87" w:type="dxa"/>
            <w:tcBorders/>
            <w:shd w:fill="FFFFFF" w:val="clear"/>
            <w:vAlign w:val="center"/>
          </w:tcPr>
          <w:p>
            <w:pPr>
              <w:pStyle w:val="TableContents"/>
              <w:bidi w:val="0"/>
              <w:spacing w:before="0" w:after="283"/>
              <w:jc w:val="left"/>
              <w:rPr/>
            </w:pPr>
            <w:r>
              <w:rPr/>
              <w:t> </w:t>
            </w:r>
          </w:p>
        </w:tc>
      </w:tr>
      <w:tr>
        <w:trPr/>
        <w:tc>
          <w:tcPr>
            <w:tcW w:w="35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2025</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15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2025</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5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2024</w:t>
            </w:r>
          </w:p>
        </w:tc>
        <w:tc>
          <w:tcPr>
            <w:tcW w:w="87" w:type="dxa"/>
            <w:tcBorders/>
            <w:shd w:fill="FFFFFF" w:val="clear"/>
            <w:vAlign w:val="center"/>
          </w:tcPr>
          <w:p>
            <w:pPr>
              <w:pStyle w:val="TableContents"/>
              <w:bidi w:val="0"/>
              <w:spacing w:before="0" w:after="283"/>
              <w:jc w:val="left"/>
              <w:rPr/>
            </w:pPr>
            <w:r>
              <w:rPr/>
              <w:t> </w:t>
            </w:r>
          </w:p>
        </w:tc>
      </w:tr>
      <w:tr>
        <w:trPr/>
        <w:tc>
          <w:tcPr>
            <w:tcW w:w="3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6,086</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15,808</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15,118</w:t>
            </w:r>
          </w:p>
        </w:tc>
        <w:tc>
          <w:tcPr>
            <w:tcW w:w="87" w:type="dxa"/>
            <w:tcBorders/>
            <w:shd w:fill="CCEEFF" w:val="clear"/>
            <w:vAlign w:val="center"/>
          </w:tcPr>
          <w:p>
            <w:pPr>
              <w:pStyle w:val="TableContents"/>
              <w:bidi w:val="0"/>
              <w:spacing w:before="0" w:after="283"/>
              <w:jc w:val="left"/>
              <w:rPr/>
            </w:pPr>
            <w:r>
              <w:rPr/>
              <w:t> </w:t>
            </w:r>
          </w:p>
        </w:tc>
      </w:tr>
      <w:tr>
        <w:trPr/>
        <w:tc>
          <w:tcPr>
            <w:tcW w:w="35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352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income, net of taxes:</w:t>
            </w:r>
          </w:p>
        </w:tc>
        <w:tc>
          <w:tcPr>
            <w:tcW w:w="6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352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ind w:left="0" w:right="0" w:hanging="0"/>
              <w:jc w:val="left"/>
              <w:rPr/>
            </w:pPr>
            <w:r>
              <w:rPr/>
              <w:t> </w:t>
            </w:r>
          </w:p>
        </w:tc>
        <w:tc>
          <w:tcPr>
            <w:tcW w:w="12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ind w:left="0" w:right="0" w:hanging="0"/>
              <w:jc w:val="left"/>
              <w:rPr/>
            </w:pPr>
            <w:r>
              <w:rPr/>
              <w:t> </w:t>
            </w:r>
          </w:p>
        </w:tc>
        <w:tc>
          <w:tcPr>
            <w:tcW w:w="12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2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2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2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 on marketable securities</w:t>
            </w:r>
          </w:p>
        </w:tc>
        <w:tc>
          <w:tcPr>
            <w:tcW w:w="60" w:type="dxa"/>
            <w:tcBorders/>
            <w:shd w:fill="CCEEFF" w:val="clear"/>
            <w:vAlign w:val="center"/>
          </w:tcPr>
          <w:p>
            <w:pPr>
              <w:pStyle w:val="TableContents"/>
              <w:bidi w:val="0"/>
              <w:spacing w:before="0" w:after="283"/>
              <w:jc w:val="left"/>
              <w:rPr/>
            </w:pPr>
            <w:r>
              <w:rPr/>
              <w:t> </w:t>
            </w:r>
          </w:p>
        </w:tc>
        <w:tc>
          <w:tcPr>
            <w:tcW w:w="3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3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7" w:type="dxa"/>
            <w:tcBorders/>
            <w:shd w:fill="CCEEFF" w:val="clear"/>
            <w:vAlign w:val="center"/>
          </w:tcPr>
          <w:p>
            <w:pPr>
              <w:pStyle w:val="TableContents"/>
              <w:bidi w:val="0"/>
              <w:spacing w:before="0" w:after="283"/>
              <w:jc w:val="left"/>
              <w:rPr/>
            </w:pPr>
            <w:r>
              <w:rPr/>
              <w:t> </w:t>
            </w:r>
          </w:p>
        </w:tc>
      </w:tr>
      <w:tr>
        <w:trPr/>
        <w:tc>
          <w:tcPr>
            <w:tcW w:w="352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comprehensive (loss) income</w:t>
            </w:r>
          </w:p>
        </w:tc>
        <w:tc>
          <w:tcPr>
            <w:tcW w:w="60" w:type="dxa"/>
            <w:tcBorders/>
            <w:shd w:fill="FFFFFF" w:val="clear"/>
            <w:vAlign w:val="center"/>
          </w:tcPr>
          <w:p>
            <w:pPr>
              <w:pStyle w:val="TableContents"/>
              <w:bidi w:val="0"/>
              <w:spacing w:before="0" w:after="283"/>
              <w:jc w:val="left"/>
              <w:rPr/>
            </w:pPr>
            <w:r>
              <w:rPr/>
              <w:t> </w:t>
            </w:r>
          </w:p>
        </w:tc>
        <w:tc>
          <w:tcPr>
            <w:tcW w:w="3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3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8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60" w:type="dxa"/>
            <w:tcBorders/>
            <w:shd w:fill="CCEEFF" w:val="clear"/>
            <w:vAlign w:val="center"/>
          </w:tcPr>
          <w:p>
            <w:pPr>
              <w:pStyle w:val="TableContents"/>
              <w:bidi w:val="0"/>
              <w:spacing w:before="0" w:after="0"/>
              <w:ind w:left="0" w:right="0" w:hanging="0"/>
              <w:jc w:val="left"/>
              <w:rPr/>
            </w:pPr>
            <w:r>
              <w:rPr/>
              <w:t> </w:t>
            </w:r>
          </w:p>
        </w:tc>
        <w:tc>
          <w:tcPr>
            <w:tcW w:w="3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5,832</w:t>
            </w:r>
          </w:p>
        </w:tc>
        <w:tc>
          <w:tcPr>
            <w:tcW w:w="99"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p>
        </w:tc>
        <w:tc>
          <w:tcPr>
            <w:tcW w:w="3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16,325</w:t>
            </w:r>
          </w:p>
        </w:tc>
        <w:tc>
          <w:tcPr>
            <w:tcW w:w="63"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 </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14,925</w:t>
            </w:r>
          </w:p>
        </w:tc>
        <w:tc>
          <w:tcPr>
            <w:tcW w:w="87"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6" w:name="she"/>
      <w:bookmarkEnd w:id="6"/>
      <w:r>
        <w:rPr>
          <w:rFonts w:ascii="Times New Roman;Times;serif" w:hAnsi="Times New Roman;Times;serif"/>
          <w:b/>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SHAREHOLDERS' EQUITY (UNAUDITED)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per share data)</w:t>
      </w:r>
      <w:r>
        <w:rPr>
          <w:rFonts w:ascii="Times New Roman" w:hAnsi="Times New Roman"/>
          <w:caps w:val="false"/>
          <w:smallCaps w:val="false"/>
          <w:sz w:val="20"/>
        </w:rPr>
        <w:br/>
        <w:t> </w:t>
      </w:r>
    </w:p>
    <w:tbl>
      <w:tblPr>
        <w:tblW w:w="10205" w:type="dxa"/>
        <w:jc w:val="left"/>
        <w:tblInd w:w="0" w:type="dxa"/>
        <w:tblLayout w:type="fixed"/>
        <w:tblCellMar>
          <w:top w:w="0" w:type="dxa"/>
          <w:left w:w="0" w:type="dxa"/>
          <w:bottom w:w="0" w:type="dxa"/>
          <w:right w:w="0" w:type="dxa"/>
        </w:tblCellMar>
      </w:tblPr>
      <w:tblGrid>
        <w:gridCol w:w="3783"/>
        <w:gridCol w:w="60"/>
        <w:gridCol w:w="60"/>
        <w:gridCol w:w="590"/>
        <w:gridCol w:w="80"/>
        <w:gridCol w:w="60"/>
        <w:gridCol w:w="125"/>
        <w:gridCol w:w="695"/>
        <w:gridCol w:w="80"/>
        <w:gridCol w:w="60"/>
        <w:gridCol w:w="125"/>
        <w:gridCol w:w="695"/>
        <w:gridCol w:w="80"/>
        <w:gridCol w:w="60"/>
        <w:gridCol w:w="381"/>
        <w:gridCol w:w="1667"/>
        <w:gridCol w:w="80"/>
        <w:gridCol w:w="60"/>
        <w:gridCol w:w="207"/>
        <w:gridCol w:w="1160"/>
        <w:gridCol w:w="97"/>
      </w:tblGrid>
      <w:tr>
        <w:trPr/>
        <w:tc>
          <w:tcPr>
            <w:tcW w:w="3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65"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 2025</w:t>
            </w:r>
          </w:p>
        </w:tc>
        <w:tc>
          <w:tcPr>
            <w:tcW w:w="97" w:type="dxa"/>
            <w:tcBorders/>
            <w:shd w:fill="FFFF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Shareholders’</w:t>
            </w:r>
          </w:p>
        </w:tc>
        <w:tc>
          <w:tcPr>
            <w:tcW w:w="97" w:type="dxa"/>
            <w:tcBorders/>
            <w:shd w:fill="FFFF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97"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359,355</w:t>
            </w:r>
          </w:p>
        </w:tc>
        <w:tc>
          <w:tcPr>
            <w:tcW w:w="97"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ind w:left="0" w:right="0" w:hanging="0"/>
              <w:jc w:val="left"/>
              <w:rPr/>
            </w:pPr>
            <w:r>
              <w:rPr/>
              <w:t> </w:t>
            </w:r>
          </w:p>
        </w:tc>
        <w:tc>
          <w:tcPr>
            <w:tcW w:w="166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1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4,332</w:t>
            </w:r>
          </w:p>
        </w:tc>
        <w:tc>
          <w:tcPr>
            <w:tcW w:w="97"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ind w:left="0" w:right="0" w:hanging="0"/>
              <w:jc w:val="left"/>
              <w:rPr/>
            </w:pPr>
            <w:r>
              <w:rPr/>
              <w:t> </w:t>
            </w:r>
          </w:p>
        </w:tc>
        <w:tc>
          <w:tcPr>
            <w:tcW w:w="1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97"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on common stock ($0.031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66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(943</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ind w:left="0" w:right="0" w:hanging="0"/>
              <w:jc w:val="left"/>
              <w:rPr/>
            </w:pPr>
            <w:r>
              <w:rPr/>
              <w:t> </w:t>
            </w:r>
          </w:p>
        </w:tc>
        <w:tc>
          <w:tcPr>
            <w:tcW w:w="166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w:t>
            </w:r>
          </w:p>
        </w:tc>
        <w:tc>
          <w:tcPr>
            <w:tcW w:w="97"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under stock plans, net of shares withheld for employee taxes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362,808</w:t>
            </w:r>
          </w:p>
        </w:tc>
        <w:tc>
          <w:tcPr>
            <w:tcW w:w="97"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66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5,389</w:t>
            </w:r>
          </w:p>
        </w:tc>
        <w:tc>
          <w:tcPr>
            <w:tcW w:w="97"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6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741</w:t>
            </w:r>
          </w:p>
        </w:tc>
        <w:tc>
          <w:tcPr>
            <w:tcW w:w="97"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on common stock ($0.031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66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(946</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66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836</w:t>
            </w:r>
          </w:p>
        </w:tc>
        <w:tc>
          <w:tcPr>
            <w:tcW w:w="97" w:type="dxa"/>
            <w:tcBorders/>
            <w:shd w:fill="CCEEFF" w:val="clear"/>
            <w:vAlign w:val="center"/>
          </w:tcPr>
          <w:p>
            <w:pPr>
              <w:pStyle w:val="TableContents"/>
              <w:bidi w:val="0"/>
              <w:spacing w:before="0" w:after="283"/>
              <w:ind w:left="0" w:right="0" w:hanging="0"/>
              <w:jc w:val="left"/>
              <w:rPr/>
            </w:pPr>
            <w:r>
              <w:rPr/>
              <w:t> </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issued under stock plans, net of shares withheld for employee taxes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shd w:fill="FFFFFF" w:val="clear"/>
            <w:vAlign w:val="center"/>
          </w:tcPr>
          <w:p>
            <w:pPr>
              <w:pStyle w:val="TableContents"/>
              <w:bidi w:val="0"/>
              <w:spacing w:before="0" w:after="0"/>
              <w:ind w:left="0" w:right="0" w:hanging="0"/>
              <w:jc w:val="left"/>
              <w:rPr/>
            </w:pPr>
            <w:r>
              <w:rPr/>
              <w:t> </w:t>
            </w:r>
          </w:p>
        </w:tc>
        <w:tc>
          <w:tcPr>
            <w:tcW w:w="1667"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shd w:fill="FFFFFF" w:val="clear"/>
            <w:vAlign w:val="center"/>
          </w:tcPr>
          <w:p>
            <w:pPr>
              <w:pStyle w:val="TableContents"/>
              <w:bidi w:val="0"/>
              <w:spacing w:before="0" w:after="0"/>
              <w:ind w:left="0" w:right="0" w:hanging="0"/>
              <w:jc w:val="left"/>
              <w:rPr/>
            </w:pPr>
            <w:r>
              <w:rPr/>
              <w:t> </w:t>
            </w:r>
          </w:p>
        </w:tc>
        <w:tc>
          <w:tcPr>
            <w:tcW w:w="116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97"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Excise tax on repurchases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667"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w:t>
            </w:r>
          </w:p>
        </w:tc>
        <w:tc>
          <w:tcPr>
            <w:tcW w:w="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Repurchases of common stock</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(18,121</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(18,121</w:t>
            </w:r>
          </w:p>
        </w:tc>
        <w:tc>
          <w:tcPr>
            <w:tcW w:w="9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235,041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116,804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350,567</w:t>
            </w:r>
          </w:p>
        </w:tc>
        <w:tc>
          <w:tcPr>
            <w:tcW w:w="97" w:type="dxa"/>
            <w:tcBorders/>
            <w:shd w:fill="CCEEFF" w:val="clear"/>
            <w:vAlign w:val="center"/>
          </w:tcPr>
          <w:p>
            <w:pPr>
              <w:pStyle w:val="TableContents"/>
              <w:bidi w:val="0"/>
              <w:spacing w:before="0" w:after="0"/>
              <w:jc w:val="left"/>
              <w:rPr/>
            </w:pPr>
            <w:r>
              <w:rPr/>
              <w:t> </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66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6,086</w:t>
            </w:r>
          </w:p>
        </w:tc>
        <w:tc>
          <w:tcPr>
            <w:tcW w:w="97"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6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on common stock ($0.031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66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(918</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66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794</w:t>
            </w:r>
          </w:p>
        </w:tc>
        <w:tc>
          <w:tcPr>
            <w:tcW w:w="97" w:type="dxa"/>
            <w:tcBorders/>
            <w:shd w:fill="CCEEFF" w:val="clear"/>
            <w:vAlign w:val="center"/>
          </w:tcPr>
          <w:p>
            <w:pPr>
              <w:pStyle w:val="TableContents"/>
              <w:bidi w:val="0"/>
              <w:spacing w:before="0" w:after="283"/>
              <w:ind w:left="0" w:right="0" w:hanging="0"/>
              <w:jc w:val="left"/>
              <w:rPr/>
            </w:pPr>
            <w:r>
              <w:rPr/>
              <w:t> </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issued under stock plans, net of shares withheld for employee taxes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shd w:fill="FFFFFF" w:val="clear"/>
            <w:vAlign w:val="center"/>
          </w:tcPr>
          <w:p>
            <w:pPr>
              <w:pStyle w:val="TableContents"/>
              <w:bidi w:val="0"/>
              <w:spacing w:before="0" w:after="0"/>
              <w:ind w:left="0" w:right="0" w:hanging="0"/>
              <w:jc w:val="left"/>
              <w:rPr/>
            </w:pPr>
            <w:r>
              <w:rPr/>
              <w:t> </w:t>
            </w:r>
          </w:p>
        </w:tc>
        <w:tc>
          <w:tcPr>
            <w:tcW w:w="1667"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shd w:fill="FFFFFF" w:val="clear"/>
            <w:vAlign w:val="center"/>
          </w:tcPr>
          <w:p>
            <w:pPr>
              <w:pStyle w:val="TableContents"/>
              <w:bidi w:val="0"/>
              <w:spacing w:before="0" w:after="0"/>
              <w:ind w:left="0" w:right="0" w:hanging="0"/>
              <w:jc w:val="left"/>
              <w:rPr/>
            </w:pPr>
            <w:r>
              <w:rPr/>
              <w:t> </w:t>
            </w:r>
          </w:p>
        </w:tc>
        <w:tc>
          <w:tcPr>
            <w:tcW w:w="116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97"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Excise tax on repurchases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66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c>
          <w:tcPr>
            <w:tcW w:w="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Repurchases of common stock</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(6,897</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66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(6,897</w:t>
            </w:r>
          </w:p>
        </w:tc>
        <w:tc>
          <w:tcPr>
            <w:tcW w:w="9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228,753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121,972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349,193</w:t>
            </w:r>
          </w:p>
        </w:tc>
        <w:tc>
          <w:tcPr>
            <w:tcW w:w="97"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97"/>
        <w:gridCol w:w="60"/>
        <w:gridCol w:w="60"/>
        <w:gridCol w:w="590"/>
        <w:gridCol w:w="60"/>
        <w:gridCol w:w="60"/>
        <w:gridCol w:w="125"/>
        <w:gridCol w:w="695"/>
        <w:gridCol w:w="80"/>
        <w:gridCol w:w="60"/>
        <w:gridCol w:w="125"/>
        <w:gridCol w:w="695"/>
        <w:gridCol w:w="80"/>
        <w:gridCol w:w="60"/>
        <w:gridCol w:w="382"/>
        <w:gridCol w:w="1670"/>
        <w:gridCol w:w="80"/>
        <w:gridCol w:w="60"/>
        <w:gridCol w:w="207"/>
        <w:gridCol w:w="1161"/>
        <w:gridCol w:w="98"/>
      </w:tblGrid>
      <w:tr>
        <w:trPr/>
        <w:tc>
          <w:tcPr>
            <w:tcW w:w="37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0"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 2024</w:t>
            </w:r>
          </w:p>
        </w:tc>
        <w:tc>
          <w:tcPr>
            <w:tcW w:w="98" w:type="dxa"/>
            <w:tcBorders/>
            <w:shd w:fill="FFFFFF"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Shareholders’</w:t>
            </w:r>
          </w:p>
        </w:tc>
        <w:tc>
          <w:tcPr>
            <w:tcW w:w="98" w:type="dxa"/>
            <w:tcBorders/>
            <w:shd w:fill="FFFFFF"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98" w:type="dxa"/>
            <w:tcBorders/>
            <w:shd w:fill="FFFFFF" w:val="clear"/>
            <w:vAlign w:val="center"/>
          </w:tcPr>
          <w:p>
            <w:pPr>
              <w:pStyle w:val="TableContents"/>
              <w:bidi w:val="0"/>
              <w:spacing w:before="0" w:after="283"/>
              <w:jc w:val="left"/>
              <w:rPr/>
            </w:pPr>
            <w:r>
              <w:rPr/>
              <w:t> </w:t>
            </w:r>
          </w:p>
        </w:tc>
      </w:tr>
      <w:tr>
        <w:trPr/>
        <w:tc>
          <w:tcPr>
            <w:tcW w:w="37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340,752</w:t>
            </w:r>
          </w:p>
        </w:tc>
        <w:tc>
          <w:tcPr>
            <w:tcW w:w="98" w:type="dxa"/>
            <w:tcBorders/>
            <w:shd w:fill="CCEEFF"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ind w:left="0" w:right="0" w:hanging="0"/>
              <w:jc w:val="left"/>
              <w:rPr/>
            </w:pPr>
            <w:r>
              <w:rPr/>
              <w:t> </w:t>
            </w:r>
          </w:p>
        </w:tc>
        <w:tc>
          <w:tcPr>
            <w:tcW w:w="16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1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5,227</w:t>
            </w:r>
          </w:p>
        </w:tc>
        <w:tc>
          <w:tcPr>
            <w:tcW w:w="98" w:type="dxa"/>
            <w:tcBorders/>
            <w:shd w:fill="FFFFFF" w:val="clear"/>
            <w:vAlign w:val="center"/>
          </w:tcPr>
          <w:p>
            <w:pPr>
              <w:pStyle w:val="TableContents"/>
              <w:bidi w:val="0"/>
              <w:spacing w:before="0" w:after="283"/>
              <w:jc w:val="left"/>
              <w:rPr/>
            </w:pPr>
            <w:r>
              <w:rPr/>
              <w:t> </w:t>
            </w:r>
          </w:p>
        </w:tc>
      </w:tr>
      <w:tr>
        <w:trPr/>
        <w:tc>
          <w:tcPr>
            <w:tcW w:w="37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ind w:left="0" w:right="0" w:hanging="0"/>
              <w:jc w:val="left"/>
              <w:rPr/>
            </w:pPr>
            <w:r>
              <w:rPr/>
              <w:t> </w:t>
            </w:r>
          </w:p>
        </w:tc>
        <w:tc>
          <w:tcPr>
            <w:tcW w:w="16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w:t>
            </w:r>
          </w:p>
        </w:tc>
        <w:tc>
          <w:tcPr>
            <w:tcW w:w="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9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on common stock ($0.028 per share)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82" w:type="dxa"/>
            <w:tcBorders/>
            <w:shd w:fill="FFFFFF" w:val="clear"/>
            <w:vAlign w:val="center"/>
          </w:tcPr>
          <w:p>
            <w:pPr>
              <w:pStyle w:val="TableContents"/>
              <w:bidi w:val="0"/>
              <w:spacing w:before="0" w:after="0"/>
              <w:ind w:left="0" w:right="0" w:hanging="0"/>
              <w:jc w:val="left"/>
              <w:rPr/>
            </w:pPr>
            <w:r>
              <w:rPr/>
              <w:t> </w:t>
            </w:r>
          </w:p>
        </w:tc>
        <w:tc>
          <w:tcPr>
            <w:tcW w:w="167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shd w:fill="FFFFFF" w:val="clear"/>
            <w:vAlign w:val="center"/>
          </w:tcPr>
          <w:p>
            <w:pPr>
              <w:pStyle w:val="TableContents"/>
              <w:bidi w:val="0"/>
              <w:spacing w:before="0" w:after="0"/>
              <w:ind w:left="0" w:right="0" w:hanging="0"/>
              <w:jc w:val="left"/>
              <w:rPr/>
            </w:pPr>
            <w:r>
              <w:rPr/>
              <w:t> </w:t>
            </w:r>
          </w:p>
        </w:tc>
        <w:tc>
          <w:tcPr>
            <w:tcW w:w="116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w:t>
            </w:r>
          </w:p>
        </w:tc>
        <w:tc>
          <w:tcPr>
            <w:tcW w:w="98"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7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ind w:left="0" w:right="0" w:hanging="0"/>
              <w:jc w:val="left"/>
              <w:rPr/>
            </w:pPr>
            <w:r>
              <w:rPr/>
              <w:t> </w:t>
            </w:r>
          </w:p>
        </w:tc>
        <w:tc>
          <w:tcPr>
            <w:tcW w:w="167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w:t>
            </w:r>
          </w:p>
        </w:tc>
        <w:tc>
          <w:tcPr>
            <w:tcW w:w="98" w:type="dxa"/>
            <w:tcBorders/>
            <w:shd w:fill="CCEEFF"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under stock plans, net of shares withheld for employee taxes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w:t>
            </w:r>
          </w:p>
        </w:tc>
        <w:tc>
          <w:tcPr>
            <w:tcW w:w="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30,398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249,280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96,746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344,854</w:t>
            </w:r>
          </w:p>
        </w:tc>
        <w:tc>
          <w:tcPr>
            <w:tcW w:w="98" w:type="dxa"/>
            <w:tcBorders/>
            <w:shd w:fill="CCEEFF" w:val="clear"/>
            <w:vAlign w:val="center"/>
          </w:tcPr>
          <w:p>
            <w:pPr>
              <w:pStyle w:val="TableContents"/>
              <w:bidi w:val="0"/>
              <w:spacing w:before="0" w:after="0"/>
              <w:jc w:val="left"/>
              <w:rPr/>
            </w:pPr>
            <w:r>
              <w:rPr/>
              <w:t> </w:t>
            </w:r>
          </w:p>
        </w:tc>
      </w:tr>
      <w:tr>
        <w:trPr/>
        <w:tc>
          <w:tcPr>
            <w:tcW w:w="379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6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4,168</w:t>
            </w:r>
          </w:p>
        </w:tc>
        <w:tc>
          <w:tcPr>
            <w:tcW w:w="98" w:type="dxa"/>
            <w:tcBorders/>
            <w:shd w:fill="FFFFFF" w:val="clear"/>
            <w:vAlign w:val="center"/>
          </w:tcPr>
          <w:p>
            <w:pPr>
              <w:pStyle w:val="TableContents"/>
              <w:bidi w:val="0"/>
              <w:spacing w:before="0" w:after="283"/>
              <w:jc w:val="left"/>
              <w:rPr/>
            </w:pPr>
            <w:r>
              <w:rPr/>
              <w:t> </w:t>
            </w:r>
          </w:p>
        </w:tc>
      </w:tr>
      <w:tr>
        <w:trPr/>
        <w:tc>
          <w:tcPr>
            <w:tcW w:w="37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9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on common stock ($0.028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6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(851</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1,094</w:t>
            </w:r>
          </w:p>
        </w:tc>
        <w:tc>
          <w:tcPr>
            <w:tcW w:w="98" w:type="dxa"/>
            <w:tcBorders/>
            <w:shd w:fill="CCEEFF" w:val="clear"/>
            <w:vAlign w:val="center"/>
          </w:tcPr>
          <w:p>
            <w:pPr>
              <w:pStyle w:val="TableContents"/>
              <w:bidi w:val="0"/>
              <w:spacing w:before="0" w:after="283"/>
              <w:ind w:left="0" w:right="0" w:hanging="0"/>
              <w:jc w:val="left"/>
              <w:rPr/>
            </w:pPr>
            <w:r>
              <w:rPr/>
              <w:t> </w:t>
            </w:r>
          </w:p>
        </w:tc>
      </w:tr>
      <w:tr>
        <w:trPr/>
        <w:tc>
          <w:tcPr>
            <w:tcW w:w="379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issued under stock plans, net of shares withheld for employee taxes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6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9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30,408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250,368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100,063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349,214</w:t>
            </w:r>
          </w:p>
        </w:tc>
        <w:tc>
          <w:tcPr>
            <w:tcW w:w="98" w:type="dxa"/>
            <w:tcBorders/>
            <w:shd w:fill="CCEEFF" w:val="clear"/>
            <w:vAlign w:val="center"/>
          </w:tcPr>
          <w:p>
            <w:pPr>
              <w:pStyle w:val="TableContents"/>
              <w:bidi w:val="0"/>
              <w:spacing w:before="0" w:after="0"/>
              <w:jc w:val="left"/>
              <w:rPr/>
            </w:pPr>
            <w:r>
              <w:rPr/>
              <w:t> </w:t>
            </w:r>
          </w:p>
        </w:tc>
      </w:tr>
      <w:tr>
        <w:trPr/>
        <w:tc>
          <w:tcPr>
            <w:tcW w:w="379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6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5,725</w:t>
            </w:r>
          </w:p>
        </w:tc>
        <w:tc>
          <w:tcPr>
            <w:tcW w:w="98" w:type="dxa"/>
            <w:tcBorders/>
            <w:shd w:fill="FFFFFF" w:val="clear"/>
            <w:vAlign w:val="center"/>
          </w:tcPr>
          <w:p>
            <w:pPr>
              <w:pStyle w:val="TableContents"/>
              <w:bidi w:val="0"/>
              <w:spacing w:before="0" w:after="283"/>
              <w:jc w:val="left"/>
              <w:rPr/>
            </w:pPr>
            <w:r>
              <w:rPr/>
              <w:t> </w:t>
            </w:r>
          </w:p>
        </w:tc>
      </w:tr>
      <w:tr>
        <w:trPr/>
        <w:tc>
          <w:tcPr>
            <w:tcW w:w="37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w:t>
            </w:r>
          </w:p>
        </w:tc>
        <w:tc>
          <w:tcPr>
            <w:tcW w:w="98" w:type="dxa"/>
            <w:tcBorders/>
            <w:shd w:fill="CCEEFF"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on common stock ($0.028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6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(851</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1,131</w:t>
            </w:r>
          </w:p>
        </w:tc>
        <w:tc>
          <w:tcPr>
            <w:tcW w:w="98" w:type="dxa"/>
            <w:tcBorders/>
            <w:shd w:fill="CCEEFF" w:val="clear"/>
            <w:vAlign w:val="center"/>
          </w:tcPr>
          <w:p>
            <w:pPr>
              <w:pStyle w:val="TableContents"/>
              <w:bidi w:val="0"/>
              <w:spacing w:before="0" w:after="283"/>
              <w:ind w:left="0" w:right="0" w:hanging="0"/>
              <w:jc w:val="left"/>
              <w:rPr/>
            </w:pPr>
            <w:r>
              <w:rPr/>
              <w:t> </w:t>
            </w:r>
          </w:p>
        </w:tc>
      </w:tr>
      <w:tr>
        <w:trPr/>
        <w:tc>
          <w:tcPr>
            <w:tcW w:w="379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issued under stock plans, net of shares withheld for employee taxes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6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9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30,415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251,428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104,937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355,481</w:t>
            </w:r>
          </w:p>
        </w:tc>
        <w:tc>
          <w:tcPr>
            <w:tcW w:w="98"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7" w:name="cfs"/>
      <w:bookmarkEnd w:id="7"/>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642" w:type="dxa"/>
        <w:jc w:val="left"/>
        <w:tblInd w:w="0" w:type="dxa"/>
        <w:tblLayout w:type="fixed"/>
        <w:tblCellMar>
          <w:top w:w="0" w:type="dxa"/>
          <w:left w:w="0" w:type="dxa"/>
          <w:bottom w:w="0" w:type="dxa"/>
          <w:right w:w="0" w:type="dxa"/>
        </w:tblCellMar>
      </w:tblPr>
      <w:tblGrid>
        <w:gridCol w:w="6620"/>
        <w:gridCol w:w="60"/>
        <w:gridCol w:w="213"/>
        <w:gridCol w:w="1109"/>
        <w:gridCol w:w="136"/>
        <w:gridCol w:w="102"/>
        <w:gridCol w:w="213"/>
        <w:gridCol w:w="1109"/>
        <w:gridCol w:w="80"/>
      </w:tblGrid>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3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15,808</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15,118</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32,441</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30,779</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2,734</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3,285</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commissions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9,190</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9,060</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2,027</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5,055</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equity method investments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(1,146</w:t>
            </w:r>
          </w:p>
        </w:tc>
        <w:tc>
          <w:tcPr>
            <w:tcW w:w="1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and unbilled receivables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4,744</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current assets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(11,881</w:t>
            </w:r>
          </w:p>
        </w:tc>
        <w:tc>
          <w:tcPr>
            <w:tcW w:w="1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(5,192</w:t>
            </w:r>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royalties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1,266</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1,094</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50,127</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46,500</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maturities of marketable securities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41,286</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46,170</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marketable securities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(41,434</w:t>
            </w:r>
          </w:p>
        </w:tc>
        <w:tc>
          <w:tcPr>
            <w:tcW w:w="1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non-marketable equity investments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pPr>
            <w:r>
              <w:rPr/>
              <w:t>—</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other investments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1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associated with capitalized software development</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(21,910</w:t>
            </w:r>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(3,481</w:t>
            </w:r>
          </w:p>
        </w:tc>
        <w:tc>
          <w:tcPr>
            <w:tcW w:w="1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(27,039</w:t>
            </w:r>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paid related to net settlement of equity awards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w:t>
            </w:r>
          </w:p>
        </w:tc>
        <w:tc>
          <w:tcPr>
            <w:tcW w:w="1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cash dividends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(2,809</w:t>
            </w:r>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(2,551</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Repurchases of common stock</w:t>
            </w:r>
          </w:p>
        </w:tc>
        <w:tc>
          <w:tcPr>
            <w:tcW w:w="60" w:type="dxa"/>
            <w:tcBorders/>
            <w:shd w:fill="FFFFFF" w:val="clear"/>
            <w:vAlign w:val="center"/>
          </w:tcPr>
          <w:p>
            <w:pPr>
              <w:pStyle w:val="TableContents"/>
              <w:bidi w:val="0"/>
              <w:spacing w:before="0" w:after="0"/>
              <w:ind w:left="0" w:right="0" w:hanging="0"/>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(25,018</w:t>
            </w:r>
          </w:p>
        </w:tc>
        <w:tc>
          <w:tcPr>
            <w:tcW w:w="13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vAlign w:val="center"/>
          </w:tcPr>
          <w:p>
            <w:pPr>
              <w:pStyle w:val="TableContents"/>
              <w:bidi w:val="0"/>
              <w:spacing w:before="0" w:after="0"/>
              <w:ind w:left="0" w:right="0" w:hanging="0"/>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jc w:val="left"/>
              <w:rPr/>
            </w:pPr>
            <w:r>
              <w:rPr/>
              <w:t> </w:t>
            </w:r>
          </w:p>
        </w:tc>
      </w:tr>
      <w:tr>
        <w:trPr/>
        <w:tc>
          <w:tcPr>
            <w:tcW w:w="662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(29,023</w:t>
            </w:r>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(5,925</w:t>
            </w:r>
          </w:p>
        </w:tc>
        <w:tc>
          <w:tcPr>
            <w:tcW w:w="1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17,156</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59,469</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40,333</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53,544</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57,489</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 accrued but not paid</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software development, accrued but not paid</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8" w:name="notes"/>
      <w:bookmarkEnd w:id="8"/>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w:t>
      </w:r>
      <w:r>
        <w:rPr>
          <w:rFonts w:ascii="Times New Roman" w:hAnsi="Times New Roman"/>
          <w:caps w:val="false"/>
          <w:smallCaps w:val="false"/>
          <w:sz w:val="20"/>
        </w:rPr>
        <w:t> </w:t>
      </w:r>
      <w:r>
        <w:rPr>
          <w:rFonts w:ascii="Times New Roman" w:hAnsi="Times New Roman"/>
          <w:b/>
          <w:caps w:val="false"/>
          <w:smallCaps w:val="false"/>
          <w:sz w:val="20"/>
        </w:rPr>
        <w:t>OVERVIEW AND</w:t>
      </w:r>
      <w:r>
        <w:rPr>
          <w:rFonts w:ascii="Times New Roman" w:hAnsi="Times New Roman"/>
          <w:caps w:val="false"/>
          <w:smallCaps w:val="false"/>
          <w:sz w:val="20"/>
        </w:rPr>
        <w:t> </w:t>
      </w:r>
      <w:r>
        <w:rPr>
          <w:rFonts w:ascii="Times New Roman" w:hAnsi="Times New Roman"/>
          <w:b/>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Company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 provides primarily Software-as-a-Service ("SaaS") based applications for healthcare organizations—all designed to improve business and clinical outcomes by supporting the people who deliver patient care. The Company is focused on helping individuals and organizations in healthcare meet their ongoing learning, clinical development, credentialing, and scheduling needs. The Company also provides its solutions to nursing schools and nursing students.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organized and operated according to its One HealthStream approach, with its hStream technology platform at the center of that approach. Increasingly, SaaS-based applications in the Company's diverse ecosystem of solutions utilize the Company's proprietary hStream technology platform to enhance the value proposition for customers by creating interoperability with and among other applications. We believe that our single platform strategy, as represented by hStream, is the best way to realize our mission of improving the quality of care by developing the people who deliver care and the best way to create value for our shareholders in the process. As used in this Quarterly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(“Form </w:t>
      </w:r>
      <w:r>
        <w:rPr>
          <w:rStyle w:val="Emphasis"/>
          <w:rFonts w:ascii="Times New Roman" w:hAnsi="Times New Roman"/>
          <w:caps w:val="false"/>
          <w:smallCaps w:val="false"/>
          <w:sz w:val="20"/>
        </w:rPr>
        <w:t>10</w:t>
      </w:r>
      <w:r>
        <w:rPr>
          <w:rFonts w:ascii="Times New Roman" w:hAnsi="Times New Roman"/>
          <w:caps w:val="false"/>
          <w:smallCaps w:val="false"/>
          <w:sz w:val="20"/>
        </w:rPr>
        <w:t>-Q”), “HealthStream,” “Company,” “we,” “us,” and “our” mean HealthStream, Inc. and its subsidiaries, unless the context indicates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accompanying unaudited Condensed Consolidated Financial Statements have been prepared in accordance with accounting principles generally accepted in the United States (“US GAAP”) for interim financial information and with the instructions to Form </w:t>
      </w:r>
      <w:r>
        <w:rPr>
          <w:rStyle w:val="Emphasis"/>
          <w:rFonts w:ascii="Times New Roman" w:hAnsi="Times New Roman"/>
          <w:caps w:val="false"/>
          <w:smallCaps w:val="false"/>
          <w:sz w:val="20"/>
        </w:rPr>
        <w:t>10</w:t>
        <w:noBreakHyphen/>
        <w:t>Q</w:t>
      </w:r>
      <w:r>
        <w:rPr>
          <w:rFonts w:ascii="Times New Roman" w:hAnsi="Times New Roman"/>
          <w:caps w:val="false"/>
          <w:smallCaps w:val="false"/>
          <w:sz w:val="20"/>
        </w:rPr>
        <w:t xml:space="preserve"> and Article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Regulation S</w:t>
        <w:noBreakHyphen/>
        <w:t xml:space="preserve">X. Accordingly, condensed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and certain prior period amounts have been reclassified to conform to the current period presentation. Operating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expected for the year ending </w:t>
      </w:r>
      <w:r>
        <w:rPr>
          <w:rStyle w:val="Emphasis"/>
          <w:rFonts w:ascii="Times New Roman" w:hAnsi="Times New Roman"/>
          <w:caps w:val="false"/>
          <w:smallCaps w:val="false"/>
          <w:sz w:val="20"/>
        </w:rPr>
        <w:t>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Condensed Consolidated Balance Sheet at </w:t>
      </w:r>
      <w:r>
        <w:rPr>
          <w:rStyle w:val="Emphasis"/>
          <w:rFonts w:ascii="Times New Roman" w:hAnsi="Times New Roman"/>
          <w:caps w:val="false"/>
          <w:smallCaps w:val="false"/>
          <w:sz w:val="20"/>
        </w:rPr>
        <w:t>December 31,</w:t>
      </w:r>
      <w:r>
        <w:rPr>
          <w:rFonts w:ascii="Times New Roman" w:hAnsi="Times New Roman"/>
          <w:caps w:val="false"/>
          <w:smallCaps w:val="false"/>
          <w:sz w:val="20"/>
        </w:rPr>
        <w:t>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was derived from the audited Consolidated Financial Statements at that date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US GAAP for a complete set of financial statements. For further information, refer to the Consolidated Financial Statements and Notes thereto for the year ended </w:t>
      </w:r>
      <w:r>
        <w:rPr>
          <w:rStyle w:val="Emphasis"/>
          <w:rFonts w:ascii="Times New Roman" w:hAnsi="Times New Roman"/>
          <w:caps w:val="false"/>
          <w:smallCaps w:val="false"/>
          <w:sz w:val="20"/>
        </w:rPr>
        <w:t>December 31,</w:t>
      </w:r>
      <w:r>
        <w:rPr>
          <w:rFonts w:ascii="Times New Roman" w:hAnsi="Times New Roman"/>
          <w:caps w:val="false"/>
          <w:smallCaps w:val="false"/>
          <w:sz w:val="20"/>
        </w:rPr>
        <w:t>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filed with the Securities and Exchange Commission on </w:t>
      </w:r>
      <w:r>
        <w:rPr>
          <w:rStyle w:val="Emphasis"/>
          <w:rFonts w:ascii="Times New Roman" w:hAnsi="Times New Roman"/>
          <w:caps w:val="false"/>
          <w:smallCaps w:val="false"/>
          <w:sz w:val="20"/>
        </w:rPr>
        <w:t>February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Business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Company’s chief operating decision maker ("CODM") is its Chief Executive Officer. Since </w:t>
      </w:r>
      <w:r>
        <w:rPr>
          <w:rStyle w:val="Emphasis"/>
          <w:rFonts w:ascii="Times New Roman" w:hAnsi="Times New Roman"/>
          <w:caps w:val="false"/>
          <w:smallCaps w:val="false"/>
          <w:sz w:val="20"/>
        </w:rPr>
        <w:t xml:space="preserve"> January 1, 2023, </w:t>
      </w:r>
      <w:r>
        <w:rPr>
          <w:rFonts w:ascii="Times New Roman" w:hAnsi="Times New Roman"/>
          <w:caps w:val="false"/>
          <w:smallCaps w:val="false"/>
          <w:sz w:val="20"/>
        </w:rPr>
        <w:t>the Company’s business has been organized and managed around a consolidated, enterprise approach, including with regard to technology, operations, accounting, internal reporting (including the nature of information reviewed by the CODM), organization structure, compensation, performance assessment, and resource allocation. The Company’s CODM uses consolidated net income to make operating decisions, assess financial performance, and allocate resources. Further, the CODM reviews and utilizes functional expenses (cost of revenues, product development, sales and marketing, general and administrative, and depreciation and amortization) at the consolidated level to manage the Company's operations. Other segment items included in consolidated net income are interest income, other expense, net, and income tax provision, which are reflected in the Condensed Consolidated Statements of Income. Expenditures for additions to long-lived assets for the consolidated entity were $34.2 million and $29.8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Non-Marketable Equity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aggregate carrying amount of non-marketable equity investments accounted for using the measurement alternative for equity investments that do </w:t>
      </w:r>
      <w:r>
        <w:rPr>
          <w:rStyle w:val="Emphasis"/>
          <w:rFonts w:ascii="Times New Roman" w:hAnsi="Times New Roman"/>
          <w:caps w:val="false"/>
          <w:smallCaps w:val="false"/>
          <w:sz w:val="20"/>
        </w:rPr>
        <w:t>not</w:t>
      </w:r>
      <w:r>
        <w:rPr>
          <w:rFonts w:ascii="Times New Roman" w:hAnsi="Times New Roman"/>
          <w:caps w:val="false"/>
          <w:smallCaps w:val="false"/>
          <w:sz w:val="20"/>
        </w:rPr>
        <w:t> have readily determinable fair values was $1.5 million as of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which the Company evaluates for impairment at each reporting period. Cumulatively, 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adjustments recorded due to changes in the fair value of the non-marketable equity investments the Company held as of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The fair value of non-marketable equity investments is </w:t>
      </w:r>
      <w:r>
        <w:rPr>
          <w:rStyle w:val="Emphasis"/>
          <w:rFonts w:ascii="Times New Roman" w:hAnsi="Times New Roman"/>
          <w:caps w:val="false"/>
          <w:smallCaps w:val="false"/>
          <w:sz w:val="20"/>
        </w:rPr>
        <w:t>not</w:t>
      </w:r>
      <w:r>
        <w:rPr>
          <w:rFonts w:ascii="Times New Roman" w:hAnsi="Times New Roman"/>
          <w:caps w:val="false"/>
          <w:smallCaps w:val="false"/>
          <w:sz w:val="20"/>
        </w:rPr>
        <w:t> estimated if there are </w:t>
      </w:r>
      <w:r>
        <w:rPr>
          <w:rStyle w:val="Emphasis"/>
          <w:rFonts w:ascii="Times New Roman" w:hAnsi="Times New Roman"/>
          <w:caps w:val="false"/>
          <w:smallCaps w:val="false"/>
          <w:sz w:val="20"/>
        </w:rPr>
        <w:t>no</w:t>
      </w:r>
      <w:r>
        <w:rPr>
          <w:rFonts w:ascii="Times New Roman" w:hAnsi="Times New Roman"/>
          <w:caps w:val="false"/>
          <w:smallCaps w:val="false"/>
          <w:sz w:val="20"/>
        </w:rPr>
        <w:t> identified events or changes in circumstances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have a significant adverse effect on the fair value of the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ind w:left="0" w:right="0" w:hanging="0"/>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2.</w:t>
      </w:r>
      <w:r>
        <w:rPr>
          <w:rFonts w:ascii="Times New Roman" w:hAnsi="Times New Roman"/>
          <w:caps w:val="false"/>
          <w:smallCaps w:val="false"/>
          <w:sz w:val="20"/>
        </w:rPr>
        <w:t> </w:t>
      </w:r>
      <w:r>
        <w:rPr>
          <w:rFonts w:ascii="Times New Roman" w:hAnsi="Times New Roman"/>
          <w:b/>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2023, </w:t>
      </w:r>
      <w:r>
        <w:rPr>
          <w:rFonts w:ascii="Times New Roman" w:hAnsi="Times New Roman"/>
          <w:caps w:val="false"/>
          <w:smallCaps w:val="false"/>
          <w:sz w:val="20"/>
        </w:rPr>
        <w:t>the Financial Accounting Standards Board ("FASB") issued Accounting Standards Update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w:t>
      </w:r>
      <w:r>
        <w:rPr>
          <w:rFonts w:ascii="Times New Roman" w:hAnsi="Times New Roman"/>
          <w:i/>
          <w:caps w:val="false"/>
          <w:smallCaps w:val="false"/>
          <w:sz w:val="20"/>
        </w:rPr>
        <w:t>Segment Reporting (Topic </w:t>
      </w:r>
      <w:r>
        <w:rPr>
          <w:rStyle w:val="Emphasis"/>
          <w:rFonts w:ascii="Times New Roman" w:hAnsi="Times New Roman"/>
          <w:i/>
          <w:caps w:val="false"/>
          <w:smallCaps w:val="false"/>
          <w:sz w:val="20"/>
        </w:rPr>
        <w:t>280</w:t>
      </w:r>
      <w:r>
        <w:rPr>
          <w:rFonts w:ascii="Times New Roman" w:hAnsi="Times New Roman"/>
          <w:i/>
          <w:caps w:val="false"/>
          <w:smallCaps w:val="false"/>
          <w:sz w:val="20"/>
        </w:rPr>
        <w:t>): Improvements to Reportable Segment Disclosures</w:t>
      </w:r>
      <w:r>
        <w:rPr>
          <w:rFonts w:ascii="Times New Roman" w:hAnsi="Times New Roman"/>
          <w:caps w:val="false"/>
          <w:smallCaps w:val="false"/>
          <w:sz w:val="20"/>
        </w:rPr>
        <w:t>. The new guidance requires disclosures of significant reportable segment expenses that are regularly provided to the CODM and other segment items on an interim and annual basis. Entities with a single reportable segment will also be required to apply the disclosure requirements in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on an interim and annual basis.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was effective for the Company for annual periods beginning after </w:t>
      </w:r>
      <w:r>
        <w:rPr>
          <w:rStyle w:val="Emphasis"/>
          <w:rFonts w:ascii="Times New Roman" w:hAnsi="Times New Roman"/>
          <w:caps w:val="false"/>
          <w:smallCaps w:val="false"/>
          <w:sz w:val="20"/>
        </w:rPr>
        <w:t xml:space="preserve"> December 15, 2023 </w:t>
      </w:r>
      <w:r>
        <w:rPr>
          <w:rFonts w:ascii="Times New Roman" w:hAnsi="Times New Roman"/>
          <w:caps w:val="false"/>
          <w:smallCaps w:val="false"/>
          <w:sz w:val="20"/>
        </w:rPr>
        <w:t>and interim periods within fiscal years beginning after </w:t>
      </w:r>
      <w:r>
        <w:rPr>
          <w:rStyle w:val="Emphasis"/>
          <w:rFonts w:ascii="Times New Roman" w:hAnsi="Times New Roman"/>
          <w:caps w:val="false"/>
          <w:smallCaps w:val="false"/>
          <w:sz w:val="20"/>
        </w:rPr>
        <w:t xml:space="preserve"> December 15, 2024. </w:t>
      </w:r>
      <w:r>
        <w:rPr>
          <w:rFonts w:ascii="Times New Roman" w:hAnsi="Times New Roman"/>
          <w:caps w:val="false"/>
          <w:smallCaps w:val="false"/>
          <w:sz w:val="20"/>
        </w:rPr>
        <w:t xml:space="preserve">The Company adopted this standard effective </w:t>
      </w:r>
      <w:r>
        <w:rPr>
          <w:rStyle w:val="Emphasis"/>
          <w:rFonts w:ascii="Times New Roman" w:hAnsi="Times New Roman"/>
          <w:caps w:val="false"/>
          <w:smallCaps w:val="false"/>
          <w:sz w:val="20"/>
        </w:rPr>
        <w:t xml:space="preserve">January 1, 2024 </w:t>
      </w:r>
      <w:r>
        <w:rPr>
          <w:rFonts w:ascii="Times New Roman" w:hAnsi="Times New Roman"/>
          <w:caps w:val="false"/>
          <w:smallCaps w:val="false"/>
          <w:sz w:val="20"/>
        </w:rPr>
        <w:t>using a retrospective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December 2023,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w:t>
      </w:r>
      <w:r>
        <w:rPr>
          <w:rFonts w:ascii="Times New Roman" w:hAnsi="Times New Roman"/>
          <w:i/>
          <w:caps w:val="false"/>
          <w:smallCaps w:val="false"/>
          <w:sz w:val="20"/>
        </w:rPr>
        <w:t>Income Taxes (Topic </w:t>
      </w:r>
      <w:r>
        <w:rPr>
          <w:rStyle w:val="Emphasis"/>
          <w:rFonts w:ascii="Times New Roman" w:hAnsi="Times New Roman"/>
          <w:i/>
          <w:caps w:val="false"/>
          <w:smallCaps w:val="false"/>
          <w:sz w:val="20"/>
        </w:rPr>
        <w:t>740</w:t>
      </w:r>
      <w:r>
        <w:rPr>
          <w:rFonts w:ascii="Times New Roman" w:hAnsi="Times New Roman"/>
          <w:i/>
          <w:caps w:val="false"/>
          <w:smallCaps w:val="false"/>
          <w:sz w:val="20"/>
        </w:rPr>
        <w:t>): Improvements to Income Tax Disclosures</w:t>
      </w:r>
      <w:r>
        <w:rPr>
          <w:rFonts w:ascii="Times New Roman" w:hAnsi="Times New Roman"/>
          <w:caps w:val="false"/>
          <w:smallCaps w:val="false"/>
          <w:sz w:val="20"/>
        </w:rPr>
        <w:t xml:space="preserve">, which requires public entities to provide disclosure of disaggregated information in the entity’s tax rate reconciliation, as well as disclosure of income taxes paid disaggregated by jurisdiction.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is effective for fiscal years beginning after </w:t>
      </w:r>
      <w:r>
        <w:rPr>
          <w:rStyle w:val="Emphasis"/>
          <w:rFonts w:ascii="Times New Roman" w:hAnsi="Times New Roman"/>
          <w:caps w:val="false"/>
          <w:smallCaps w:val="false"/>
          <w:sz w:val="20"/>
        </w:rPr>
        <w:t xml:space="preserve"> December 15, 2024. </w:t>
      </w:r>
      <w:r>
        <w:rPr>
          <w:rFonts w:ascii="Times New Roman" w:hAnsi="Times New Roman"/>
          <w:caps w:val="false"/>
          <w:smallCaps w:val="false"/>
          <w:sz w:val="20"/>
        </w:rPr>
        <w:t xml:space="preserve">The Company is currently evaluating the effect of this standard on its disclosures and will adopt the standard effective for the annual period ending </w:t>
      </w:r>
      <w:r>
        <w:rPr>
          <w:rStyle w:val="Emphasis"/>
          <w:rFonts w:ascii="Times New Roman" w:hAnsi="Times New Roman"/>
          <w:caps w:val="false"/>
          <w:smallCaps w:val="false"/>
          <w:sz w:val="20"/>
        </w:rPr>
        <w:t>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t>
      </w:r>
      <w:r>
        <w:rPr>
          <w:rFonts w:ascii="Times New Roman" w:hAnsi="Times New Roman"/>
          <w:i/>
          <w:caps w:val="false"/>
          <w:smallCaps w:val="false"/>
          <w:sz w:val="20"/>
        </w:rPr>
        <w:t>Income Statement - Reporting Comprehensive Income - Expense Disaggregation Disclosures: Disaggregation of Income Statement Expenses</w:t>
      </w:r>
      <w:r>
        <w:rPr>
          <w:rFonts w:ascii="Times New Roman" w:hAnsi="Times New Roman"/>
          <w:caps w:val="false"/>
          <w:smallCaps w:val="false"/>
          <w:sz w:val="20"/>
        </w:rPr>
        <w:t xml:space="preserve">, which requires disclosure of disaggregated information about specific categories underlying certain income statement expense line items in the footnotes to the financial statements for both annual and interim periods. This ASU is effective for fiscal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Early adoption is permitted. The Company is currently evaluating the impact of the adoption of this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w:t>
      </w:r>
      <w:r>
        <w:rPr>
          <w:rFonts w:ascii="Times New Roman" w:hAnsi="Times New Roman"/>
          <w:i/>
          <w:caps w:val="false"/>
          <w:smallCaps w:val="false"/>
          <w:sz w:val="20"/>
        </w:rPr>
        <w:t>Intangibles</w:t>
      </w:r>
      <w:r>
        <w:rPr>
          <w:rFonts w:ascii="Times New Roman" w:hAnsi="Times New Roman"/>
          <w:caps w:val="false"/>
          <w:smallCaps w:val="false"/>
          <w:sz w:val="20"/>
        </w:rPr>
        <w:t>—</w:t>
      </w:r>
      <w:r>
        <w:rPr>
          <w:rFonts w:ascii="Times New Roman" w:hAnsi="Times New Roman"/>
          <w:i/>
          <w:caps w:val="false"/>
          <w:smallCaps w:val="false"/>
          <w:sz w:val="20"/>
        </w:rPr>
        <w:t>Goodwill and Other</w:t>
      </w:r>
      <w:r>
        <w:rPr>
          <w:rFonts w:ascii="Times New Roman" w:hAnsi="Times New Roman"/>
          <w:caps w:val="false"/>
          <w:smallCaps w:val="false"/>
          <w:sz w:val="20"/>
        </w:rPr>
        <w:t>—</w:t>
      </w:r>
      <w:r>
        <w:rPr>
          <w:rFonts w:ascii="Times New Roman" w:hAnsi="Times New Roman"/>
          <w:i/>
          <w:caps w:val="false"/>
          <w:smallCaps w:val="false"/>
          <w:sz w:val="20"/>
        </w:rPr>
        <w:t xml:space="preserve">Internal-Use Software (Subtopic </w:t>
      </w:r>
      <w:r>
        <w:rPr>
          <w:rStyle w:val="Emphasis"/>
          <w:rFonts w:ascii="Times New Roman" w:hAnsi="Times New Roman"/>
          <w:i/>
          <w:caps w:val="false"/>
          <w:smallCaps w:val="false"/>
          <w:sz w:val="20"/>
        </w:rPr>
        <w:t>350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Targeted Improvements to the Accounting for Internal-Use Software</w:t>
      </w:r>
      <w:r>
        <w:rPr>
          <w:rFonts w:ascii="Times New Roman" w:hAnsi="Times New Roman"/>
          <w:caps w:val="false"/>
          <w:smallCaps w:val="false"/>
          <w:sz w:val="20"/>
        </w:rPr>
        <w:t xml:space="preserve">, to modernize the accounting guidance for the costs to develop software for internal use. The standard applies to costs incurred to develop or obtain software for internal use.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amends the existing standard that refers to various stages of a software development project to align better with current software development methods, such as agile development. Under the new standard, entities will commence capitalizing eligible costs when (i) management has authorized and committed to funding the software project, and (ii) it is probable that the project will be completed and the software will be used to perform the function intended. The new standard also supersedes the guidance related to costs incurred to develop a website.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is effective for annual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The guidance can be applied on a prospective basis, a modified basis for in-process projects, or on a retrospective basis. The Company is currently evaluating the impact of this accounting standard on its consolidated financial statements.</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Revenues are recognized when control of the promised goods or services is transferred to the customer in an amount that reflects the consideration the Company expects to be entitled to in exchange for transferring those goods or services. Revenue is recognized based on the following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step model:</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60"/>
        <w:gridCol w:w="110"/>
        <w:gridCol w:w="36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Identification of the contract with a customer</w:t>
            </w:r>
          </w:p>
        </w:tc>
      </w:tr>
    </w:tbl>
    <w:tbl>
      <w:tblPr>
        <w:tblW w:w="5050" w:type="dxa"/>
        <w:jc w:val="left"/>
        <w:tblInd w:w="0" w:type="dxa"/>
        <w:tblLayout w:type="fixed"/>
        <w:tblCellMar>
          <w:top w:w="0" w:type="dxa"/>
          <w:left w:w="0" w:type="dxa"/>
          <w:bottom w:w="0" w:type="dxa"/>
          <w:right w:w="0" w:type="dxa"/>
        </w:tblCellMar>
      </w:tblPr>
      <w:tblGrid>
        <w:gridCol w:w="60"/>
        <w:gridCol w:w="110"/>
        <w:gridCol w:w="48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Identification of the performance obligations in the contract</w:t>
            </w:r>
          </w:p>
        </w:tc>
      </w:tr>
    </w:tbl>
    <w:tbl>
      <w:tblPr>
        <w:tblW w:w="3265" w:type="dxa"/>
        <w:jc w:val="left"/>
        <w:tblInd w:w="0" w:type="dxa"/>
        <w:tblLayout w:type="fixed"/>
        <w:tblCellMar>
          <w:top w:w="0" w:type="dxa"/>
          <w:left w:w="0" w:type="dxa"/>
          <w:bottom w:w="0" w:type="dxa"/>
          <w:right w:w="0" w:type="dxa"/>
        </w:tblCellMar>
      </w:tblPr>
      <w:tblGrid>
        <w:gridCol w:w="60"/>
        <w:gridCol w:w="110"/>
        <w:gridCol w:w="30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Determination of the transaction price</w:t>
            </w:r>
          </w:p>
        </w:tc>
      </w:tr>
    </w:tbl>
    <w:tbl>
      <w:tblPr>
        <w:tblW w:w="6715" w:type="dxa"/>
        <w:jc w:val="left"/>
        <w:tblInd w:w="0" w:type="dxa"/>
        <w:tblLayout w:type="fixed"/>
        <w:tblCellMar>
          <w:top w:w="0" w:type="dxa"/>
          <w:left w:w="0" w:type="dxa"/>
          <w:bottom w:w="0" w:type="dxa"/>
          <w:right w:w="0" w:type="dxa"/>
        </w:tblCellMar>
      </w:tblPr>
      <w:tblGrid>
        <w:gridCol w:w="60"/>
        <w:gridCol w:w="110"/>
        <w:gridCol w:w="65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Allocation of the transaction price to the performance obligations in the contract</w:t>
            </w:r>
          </w:p>
        </w:tc>
      </w:tr>
    </w:tbl>
    <w:tbl>
      <w:tblPr>
        <w:tblW w:w="7015" w:type="dxa"/>
        <w:jc w:val="left"/>
        <w:tblInd w:w="0" w:type="dxa"/>
        <w:tblLayout w:type="fixed"/>
        <w:tblCellMar>
          <w:top w:w="0" w:type="dxa"/>
          <w:left w:w="0" w:type="dxa"/>
          <w:bottom w:w="0" w:type="dxa"/>
          <w:right w:w="0" w:type="dxa"/>
        </w:tblCellMar>
      </w:tblPr>
      <w:tblGrid>
        <w:gridCol w:w="60"/>
        <w:gridCol w:w="110"/>
        <w:gridCol w:w="68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Recognition of revenue when, or as, the Company satisfies a performance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represents revenues disaggregated by revenue source (in thousands). Sales taxes are excluded from revenues.</w:t>
      </w:r>
    </w:p>
    <w:p>
      <w:pPr>
        <w:pStyle w:val="TextBody"/>
        <w:bidi w:val="0"/>
        <w:spacing w:before="0" w:after="0"/>
        <w:ind w:left="0" w:right="0" w:hanging="0"/>
        <w:jc w:val="both"/>
        <w:rPr>
          <w:caps w:val="false"/>
          <w:smallCaps w:val="false"/>
        </w:rPr>
      </w:pPr>
      <w:r>
        <w:rPr>
          <w:caps w:val="false"/>
          <w:smallCaps w:val="false"/>
        </w:rPr>
        <w:t> </w:t>
      </w:r>
    </w:p>
    <w:tbl>
      <w:tblPr>
        <w:tblW w:w="7839" w:type="dxa"/>
        <w:jc w:val="left"/>
        <w:tblInd w:w="0" w:type="dxa"/>
        <w:tblLayout w:type="fixed"/>
        <w:tblCellMar>
          <w:top w:w="0" w:type="dxa"/>
          <w:left w:w="0" w:type="dxa"/>
          <w:bottom w:w="0" w:type="dxa"/>
          <w:right w:w="0" w:type="dxa"/>
        </w:tblCellMar>
      </w:tblPr>
      <w:tblGrid>
        <w:gridCol w:w="1745"/>
        <w:gridCol w:w="60"/>
        <w:gridCol w:w="239"/>
        <w:gridCol w:w="1132"/>
        <w:gridCol w:w="115"/>
        <w:gridCol w:w="115"/>
        <w:gridCol w:w="239"/>
        <w:gridCol w:w="1132"/>
        <w:gridCol w:w="60"/>
        <w:gridCol w:w="60"/>
        <w:gridCol w:w="204"/>
        <w:gridCol w:w="1139"/>
        <w:gridCol w:w="98"/>
        <w:gridCol w:w="98"/>
        <w:gridCol w:w="204"/>
        <w:gridCol w:w="1139"/>
        <w:gridCol w:w="60"/>
      </w:tblGrid>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3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Subscription 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73,887</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216,617</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209,136</w:t>
            </w:r>
          </w:p>
        </w:tc>
        <w:tc>
          <w:tcPr>
            <w:tcW w:w="6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services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2,587</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7,738</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8,275</w:t>
            </w:r>
          </w:p>
        </w:tc>
        <w:tc>
          <w:tcPr>
            <w:tcW w:w="6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 net</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76,474</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224,355</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217,411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pPr>
      <w:r>
        <w:rPr>
          <w:sz w:val="20"/>
        </w:rPr>
        <w:t xml:space="preserve">For both the  </w:t>
      </w:r>
      <w:r>
        <w:rPr>
          <w:rStyle w:val="Emphasis"/>
          <w:sz w:val="20"/>
        </w:rPr>
        <w:t>three</w:t>
      </w:r>
      <w:r>
        <w:rPr>
          <w:sz w:val="20"/>
        </w:rPr>
        <w:t xml:space="preserve"> months ended </w:t>
      </w:r>
      <w:r>
        <w:rPr>
          <w:rStyle w:val="Emphasis"/>
          <w:sz w:val="20"/>
        </w:rPr>
        <w:t xml:space="preserve">September 30, 2025 </w:t>
      </w:r>
      <w:r>
        <w:rPr>
          <w:sz w:val="20"/>
        </w:rPr>
        <w:t xml:space="preserve">and </w:t>
      </w:r>
      <w:r>
        <w:rPr>
          <w:rStyle w:val="Emphasis"/>
          <w:sz w:val="20"/>
        </w:rPr>
        <w:t>2024</w:t>
      </w:r>
      <w:r>
        <w:rPr>
          <w:sz w:val="20"/>
        </w:rPr>
        <w:t xml:space="preserve">, the Company recognized  $0.2 million in impairment losses on receivables and contract assets arising from the Company's contracts with customers. For the  </w:t>
      </w:r>
      <w:r>
        <w:rPr>
          <w:rStyle w:val="Emphasis"/>
          <w:sz w:val="20"/>
        </w:rPr>
        <w:t>nine</w:t>
      </w:r>
      <w:r>
        <w:rPr>
          <w:sz w:val="20"/>
        </w:rPr>
        <w:t xml:space="preserve"> months ended </w:t>
      </w:r>
      <w:r>
        <w:rPr>
          <w:rStyle w:val="Emphasis"/>
          <w:sz w:val="20"/>
        </w:rPr>
        <w:t xml:space="preserve">September 30, 2025 </w:t>
      </w:r>
      <w:r>
        <w:rPr>
          <w:sz w:val="20"/>
        </w:rPr>
        <w:t xml:space="preserve">and </w:t>
      </w:r>
      <w:r>
        <w:rPr>
          <w:rStyle w:val="Emphasis"/>
          <w:sz w:val="20"/>
        </w:rPr>
        <w:t>2024</w:t>
      </w:r>
      <w:r>
        <w:rPr>
          <w:sz w:val="20"/>
        </w:rPr>
        <w:t xml:space="preserve">, the Company recognized $0.6 million and  $2.0 million in impairment losses on receivables and contract assets arising from the Company's contracts with customers,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recognized revenues of $45.9 million and $45.0 million, respectively, from amounts included in deferred revenue at the beginning of the respective periods.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recognized revenues of $81.9 million and $79.4 million, respectively, from the amounts included in deferred revenue at the beginning of the respective periods. 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approximately $621 million of revenue is expected to be recognized from remaining performance obligations under contracts with customers. The Company expects to recognize revenue related to approximately 39% of these remaining performance obligations over the next 12 months, 67% over the next 24 months, and 85% over the next 36 months, with the remaining amounts recognized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ind w:left="0" w:right="0" w:hanging="0"/>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caps w:val="false"/>
          <w:smallCaps w:val="false"/>
          <w:sz w:val="20"/>
        </w:rPr>
        <w:t>4.</w:t>
      </w:r>
      <w:r>
        <w:rPr>
          <w:rFonts w:ascii="Times New Roman;Times;serif" w:hAnsi="Times New Roman;Times;serif"/>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The Company computes its interim period provision for income taxes by applying the estimated annual effective tax rate to year-to-date pretax income or loss and adjusts the provision for discrete tax items recorded in the period. The Company’s effective tax rate was 22% for both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The Company’s effective tax rate primarily reflects the statutory corporate income tax rate, the net effect of state taxes, foreign income taxes, the effect of various permanent tax differences, and recognition of discrete tax items.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 xml:space="preserve">the federal budget reconciliation legislation, commonly referred to as the One Big Beautiful Bill Act ("OBBB”), was signed into law. The OBBB includes significant changes to federal tax law and other regulatory provisions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impact the Company, including modifications to capitalization of research and development expenses and accelerated fixed asset depreciation. The legislation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Company's income tax expense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materially impact the Company's effective income tax rate for </w:t>
      </w:r>
      <w:r>
        <w:rPr>
          <w:rStyle w:val="Emphasis"/>
          <w:rFonts w:ascii="Times New Roman" w:hAnsi="Times New Roman"/>
          <w:caps w:val="false"/>
          <w:smallCaps w:val="false"/>
          <w:sz w:val="20"/>
        </w:rPr>
        <w:t>2025.</w:t>
      </w:r>
      <w:r>
        <w:rPr>
          <w:rFonts w:ascii="Times New Roman" w:hAnsi="Times New Roman"/>
          <w:caps w:val="false"/>
          <w:smallCaps w:val="false"/>
          <w:sz w:val="20"/>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caps w:val="false"/>
          <w:smallCaps w:val="false"/>
          <w:sz w:val="20"/>
        </w:rPr>
        <w:t>5.</w:t>
      </w:r>
      <w:r>
        <w:rPr>
          <w:rFonts w:ascii="Times New Roman;Times;serif" w:hAnsi="Times New Roman;Times;serif"/>
          <w:b/>
          <w:caps w:val="false"/>
          <w:smallCaps w:val="false"/>
          <w:sz w:val="20"/>
        </w:rPr>
        <w:t xml:space="preserve">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on Common Stock</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During the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September 30, 2025</w:t>
      </w:r>
      <w:r>
        <w:rPr>
          <w:rFonts w:ascii="Times New Roman;Times;serif" w:hAnsi="Times New Roman;Times;serif"/>
          <w:sz w:val="20"/>
        </w:rPr>
        <w:t>, the Company's Board of Directors (“Board”) declared the following quarterly dividends under the Company's dividend policy (in thousands, except per share data):</w:t>
      </w:r>
    </w:p>
    <w:p>
      <w:pPr>
        <w:pStyle w:val="TextBody"/>
        <w:bidi w:val="0"/>
        <w:spacing w:before="0" w:after="0"/>
        <w:ind w:left="0" w:right="0" w:hanging="0"/>
        <w:jc w:val="left"/>
        <w:rPr/>
      </w:pPr>
      <w:r>
        <w:rPr/>
        <w:t> </w:t>
      </w:r>
    </w:p>
    <w:tbl>
      <w:tblPr>
        <w:tblW w:w="8693" w:type="dxa"/>
        <w:jc w:val="left"/>
        <w:tblInd w:w="0" w:type="dxa"/>
        <w:tblLayout w:type="fixed"/>
        <w:tblCellMar>
          <w:top w:w="0" w:type="dxa"/>
          <w:left w:w="0" w:type="dxa"/>
          <w:bottom w:w="28" w:type="dxa"/>
          <w:right w:w="0" w:type="dxa"/>
        </w:tblCellMar>
      </w:tblPr>
      <w:tblGrid>
        <w:gridCol w:w="2015"/>
        <w:gridCol w:w="60"/>
        <w:gridCol w:w="2270"/>
        <w:gridCol w:w="60"/>
        <w:gridCol w:w="340"/>
        <w:gridCol w:w="1329"/>
        <w:gridCol w:w="60"/>
        <w:gridCol w:w="1370"/>
        <w:gridCol w:w="60"/>
        <w:gridCol w:w="290"/>
        <w:gridCol w:w="779"/>
        <w:gridCol w:w="60"/>
      </w:tblGrid>
      <w:tr>
        <w:trPr/>
        <w:tc>
          <w:tcPr>
            <w:tcW w:w="2015" w:type="dxa"/>
            <w:tcBorders>
              <w:bottom w:val="single" w:sz="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Dividend Payment Date</w:t>
            </w:r>
          </w:p>
        </w:tc>
        <w:tc>
          <w:tcPr>
            <w:tcW w:w="60" w:type="dxa"/>
            <w:tcBorders/>
            <w:tcMar>
              <w:bottom w:w="0" w:type="dxa"/>
            </w:tcMar>
            <w:vAlign w:val="center"/>
          </w:tcPr>
          <w:p>
            <w:pPr>
              <w:pStyle w:val="TableContents"/>
              <w:bidi w:val="0"/>
              <w:spacing w:before="0" w:after="283"/>
              <w:jc w:val="left"/>
              <w:rPr/>
            </w:pPr>
            <w:r>
              <w:rPr/>
              <w:t> </w:t>
            </w:r>
          </w:p>
        </w:tc>
        <w:tc>
          <w:tcPr>
            <w:tcW w:w="2270" w:type="dxa"/>
            <w:tcBorders>
              <w:bottom w:val="single" w:sz="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Dividend Declaration Date</w:t>
            </w:r>
          </w:p>
        </w:tc>
        <w:tc>
          <w:tcPr>
            <w:tcW w:w="60" w:type="dxa"/>
            <w:tcBorders/>
            <w:tcMar>
              <w:bottom w:w="0" w:type="dxa"/>
            </w:tcMar>
            <w:vAlign w:val="center"/>
          </w:tcPr>
          <w:p>
            <w:pPr>
              <w:pStyle w:val="TableContents"/>
              <w:bidi w:val="0"/>
              <w:spacing w:before="0" w:after="283"/>
              <w:jc w:val="left"/>
              <w:rPr/>
            </w:pPr>
            <w:r>
              <w:rPr/>
              <w:t> </w:t>
            </w:r>
          </w:p>
        </w:tc>
        <w:tc>
          <w:tcPr>
            <w:tcW w:w="1669" w:type="dxa"/>
            <w:gridSpan w:val="2"/>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Dividend Per Share</w:t>
            </w:r>
          </w:p>
        </w:tc>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Record Date</w:t>
            </w:r>
          </w:p>
        </w:tc>
        <w:tc>
          <w:tcPr>
            <w:tcW w:w="6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Cash Outlay</w:t>
            </w:r>
          </w:p>
        </w:tc>
        <w:tc>
          <w:tcPr>
            <w:tcW w:w="60" w:type="dxa"/>
            <w:tcBorders/>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21,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24,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0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30, 2025</w:t>
            </w:r>
          </w:p>
        </w:tc>
        <w:tc>
          <w:tcPr>
            <w:tcW w:w="60" w:type="dxa"/>
            <w:tcBorders/>
            <w:tcMar>
              <w:bottom w:w="0" w:type="dxa"/>
            </w:tcMar>
            <w:vAlign w:val="center"/>
          </w:tcPr>
          <w:p>
            <w:pPr>
              <w:pStyle w:val="TableContents"/>
              <w:bidi w:val="0"/>
              <w:spacing w:before="0" w:after="283"/>
              <w:jc w:val="left"/>
              <w:rPr/>
            </w:pPr>
            <w:r>
              <w:rPr/>
              <w:t> </w:t>
            </w:r>
          </w:p>
        </w:tc>
        <w:tc>
          <w:tcPr>
            <w:tcW w:w="22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5, 2025</w:t>
            </w:r>
          </w:p>
        </w:tc>
        <w:tc>
          <w:tcPr>
            <w:tcW w:w="60" w:type="dxa"/>
            <w:tcBorders/>
            <w:tcMar>
              <w:bottom w:w="0" w:type="dxa"/>
            </w:tcMar>
            <w:vAlign w:val="center"/>
          </w:tcPr>
          <w:p>
            <w:pPr>
              <w:pStyle w:val="TableContents"/>
              <w:bidi w:val="0"/>
              <w:spacing w:before="0" w:after="283"/>
              <w:jc w:val="left"/>
              <w:rPr/>
            </w:pPr>
            <w:r>
              <w:rPr/>
              <w:t> </w:t>
            </w:r>
          </w:p>
        </w:tc>
        <w:tc>
          <w:tcPr>
            <w:tcW w:w="3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9" w:type="dxa"/>
            <w:tcBorders/>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0.031</w:t>
            </w:r>
          </w:p>
        </w:tc>
        <w:tc>
          <w:tcPr>
            <w:tcW w:w="6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19, 2025</w:t>
            </w:r>
          </w:p>
        </w:tc>
        <w:tc>
          <w:tcPr>
            <w:tcW w:w="60" w:type="dxa"/>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9" w:type="dxa"/>
            <w:tcBorders/>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w:t>
            </w:r>
          </w:p>
        </w:tc>
        <w:tc>
          <w:tcPr>
            <w:tcW w:w="60" w:type="dxa"/>
            <w:tcBorders/>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29,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4,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18,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shd w:fill="FFFFFF" w:val="clear"/>
        </w:rPr>
        <w:t xml:space="preserve">Additionally, on </w:t>
      </w:r>
      <w:r>
        <w:rPr>
          <w:rStyle w:val="Emphasis"/>
          <w:rFonts w:ascii="Times New Roman;Times;serif" w:hAnsi="Times New Roman;Times;serif"/>
          <w:sz w:val="20"/>
          <w:shd w:fill="FFFFFF" w:val="clear"/>
        </w:rPr>
        <w:t xml:space="preserve">November 3, 2025, </w:t>
      </w:r>
      <w:r>
        <w:rPr>
          <w:rFonts w:ascii="Times New Roman;Times;serif" w:hAnsi="Times New Roman;Times;serif"/>
          <w:sz w:val="20"/>
          <w:shd w:fill="FFFFFF" w:val="clear"/>
        </w:rPr>
        <w:t xml:space="preserve">the Board declared a quarterly cash dividend of $0.031 per share, payable on </w:t>
      </w:r>
      <w:r>
        <w:rPr>
          <w:rStyle w:val="Emphasis"/>
          <w:rFonts w:ascii="Times New Roman;Times;serif" w:hAnsi="Times New Roman;Times;serif"/>
          <w:sz w:val="20"/>
          <w:shd w:fill="FFFFFF" w:val="clear"/>
        </w:rPr>
        <w:t>November 28, 2025 </w:t>
      </w:r>
      <w:r>
        <w:rPr>
          <w:rFonts w:ascii="Times New Roman;Times;serif" w:hAnsi="Times New Roman;Times;serif"/>
          <w:sz w:val="20"/>
          <w:shd w:fill="FFFFFF" w:val="clear"/>
        </w:rPr>
        <w:t xml:space="preserve">to holders of record on </w:t>
      </w:r>
      <w:r>
        <w:rPr>
          <w:rStyle w:val="Emphasis"/>
          <w:rFonts w:ascii="Times New Roman;Times;serif" w:hAnsi="Times New Roman;Times;serif"/>
          <w:sz w:val="20"/>
          <w:shd w:fill="FFFFFF" w:val="clear"/>
        </w:rPr>
        <w:t>November 17, 2025.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The Company has stock awards outstanding under its </w:t>
      </w:r>
      <w:r>
        <w:rPr>
          <w:rStyle w:val="Emphasis"/>
          <w:rFonts w:ascii="Times New Roman;Times;serif" w:hAnsi="Times New Roman;Times;serif"/>
          <w:caps w:val="false"/>
          <w:smallCaps w:val="false"/>
          <w:sz w:val="20"/>
        </w:rPr>
        <w:t>2016</w:t>
      </w:r>
      <w:r>
        <w:rPr>
          <w:rFonts w:ascii="Times New Roman;Times;serif" w:hAnsi="Times New Roman;Times;serif"/>
          <w:caps w:val="false"/>
          <w:smallCaps w:val="false"/>
          <w:sz w:val="20"/>
        </w:rPr>
        <w:t xml:space="preserve"> Omnibus Incentive Plan and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Omnibus Incentive Plan.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summary of stock option activity for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is as follows (in thousands, except weighted-average exercise price).</w:t>
      </w:r>
    </w:p>
    <w:p>
      <w:pPr>
        <w:pStyle w:val="TextBody"/>
        <w:bidi w:val="0"/>
        <w:spacing w:before="0" w:after="0"/>
        <w:ind w:left="0" w:right="0" w:hanging="0"/>
        <w:jc w:val="left"/>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2885"/>
        <w:gridCol w:w="60"/>
        <w:gridCol w:w="144"/>
        <w:gridCol w:w="626"/>
        <w:gridCol w:w="60"/>
        <w:gridCol w:w="60"/>
        <w:gridCol w:w="249"/>
        <w:gridCol w:w="970"/>
        <w:gridCol w:w="60"/>
        <w:gridCol w:w="60"/>
        <w:gridCol w:w="342"/>
        <w:gridCol w:w="922"/>
        <w:gridCol w:w="60"/>
      </w:tblGrid>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 Value</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beginning of period</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end of period</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at end of period</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weighted average remaining contractual term of options outstanding at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was 5.2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Restricted Share Unit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summary of Restricted Share Unit ("RSU") activity for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September 30, 2025</w:t>
      </w:r>
      <w:r>
        <w:rPr>
          <w:rFonts w:ascii="Times New Roman" w:hAnsi="Times New Roman"/>
          <w:caps w:val="false"/>
          <w:smallCaps w:val="false"/>
          <w:sz w:val="20"/>
        </w:rPr>
        <w:t> is as follows (in thousands, except weighted-average grant date fair value):</w:t>
      </w:r>
    </w:p>
    <w:p>
      <w:pPr>
        <w:pStyle w:val="TextBody"/>
        <w:bidi w:val="0"/>
        <w:spacing w:before="0" w:after="0"/>
        <w:ind w:left="0" w:right="0" w:hanging="0"/>
        <w:jc w:val="both"/>
        <w:rPr>
          <w:caps w:val="false"/>
          <w:smallCaps w:val="false"/>
        </w:rPr>
      </w:pPr>
      <w:r>
        <w:rPr>
          <w:caps w:val="false"/>
          <w:smallCaps w:val="false"/>
        </w:rPr>
        <w:t> </w:t>
      </w:r>
    </w:p>
    <w:tbl>
      <w:tblPr>
        <w:tblW w:w="7087" w:type="dxa"/>
        <w:jc w:val="left"/>
        <w:tblInd w:w="0" w:type="dxa"/>
        <w:tblLayout w:type="fixed"/>
        <w:tblCellMar>
          <w:top w:w="0" w:type="dxa"/>
          <w:left w:w="0" w:type="dxa"/>
          <w:bottom w:w="0" w:type="dxa"/>
          <w:right w:w="0" w:type="dxa"/>
        </w:tblCellMar>
      </w:tblPr>
      <w:tblGrid>
        <w:gridCol w:w="2885"/>
        <w:gridCol w:w="60"/>
        <w:gridCol w:w="134"/>
        <w:gridCol w:w="755"/>
        <w:gridCol w:w="80"/>
        <w:gridCol w:w="60"/>
        <w:gridCol w:w="342"/>
        <w:gridCol w:w="1327"/>
        <w:gridCol w:w="60"/>
        <w:gridCol w:w="60"/>
        <w:gridCol w:w="220"/>
        <w:gridCol w:w="1044"/>
        <w:gridCol w:w="60"/>
      </w:tblGrid>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Grant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RSU’s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 Value</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beginning of period</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ind w:left="0" w:right="0" w:hanging="0"/>
              <w:jc w:val="left"/>
              <w:rPr/>
            </w:pPr>
            <w:r>
              <w:rPr/>
              <w:t> </w:t>
            </w:r>
          </w:p>
        </w:tc>
        <w:tc>
          <w:tcPr>
            <w:tcW w:w="13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ind w:left="0" w:right="0" w:hanging="0"/>
              <w:jc w:val="left"/>
              <w:rPr/>
            </w:pPr>
            <w:r>
              <w:rPr/>
              <w:t> </w:t>
            </w:r>
          </w:p>
        </w:tc>
        <w:tc>
          <w:tcPr>
            <w:tcW w:w="13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end of period</w:t>
            </w:r>
          </w:p>
        </w:tc>
        <w:tc>
          <w:tcPr>
            <w:tcW w:w="60" w:type="dxa"/>
            <w:tcBorders/>
            <w:shd w:fill="CCEEFF" w:val="clear"/>
            <w:vAlign w:val="center"/>
          </w:tcPr>
          <w:p>
            <w:pPr>
              <w:pStyle w:val="TableContents"/>
              <w:bidi w:val="0"/>
              <w:spacing w:before="0" w:after="283"/>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16,852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As of </w:t>
      </w:r>
      <w:r>
        <w:rPr>
          <w:rStyle w:val="Emphasis"/>
          <w:rFonts w:ascii="Times New Roman;Times;serif" w:hAnsi="Times New Roman;Times;serif"/>
          <w:caps w:val="false"/>
          <w:smallCaps w:val="false"/>
          <w:sz w:val="20"/>
        </w:rPr>
        <w:t xml:space="preserve"> September 30, 2025</w:t>
      </w:r>
      <w:r>
        <w:rPr>
          <w:rFonts w:ascii="Times New Roman;Times;serif" w:hAnsi="Times New Roman;Times;serif"/>
          <w:caps w:val="false"/>
          <w:smallCaps w:val="false"/>
          <w:sz w:val="20"/>
        </w:rPr>
        <w:t>, total unrecognized compensation expense related to non-vested RSUs was $6.7 million, net of estimated forfeitures, with a weighted average expense recognition period remaining of 2.7 years.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 recognized in the Condensed Consolidated Statements of Income is as follows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61"/>
        <w:gridCol w:w="60"/>
        <w:gridCol w:w="292"/>
        <w:gridCol w:w="783"/>
        <w:gridCol w:w="140"/>
        <w:gridCol w:w="140"/>
        <w:gridCol w:w="292"/>
        <w:gridCol w:w="1134"/>
        <w:gridCol w:w="60"/>
        <w:gridCol w:w="60"/>
        <w:gridCol w:w="253"/>
        <w:gridCol w:w="984"/>
        <w:gridCol w:w="121"/>
        <w:gridCol w:w="121"/>
        <w:gridCol w:w="253"/>
        <w:gridCol w:w="984"/>
        <w:gridCol w:w="67"/>
      </w:tblGrid>
      <w:tr>
        <w:trPr/>
        <w:tc>
          <w:tcPr>
            <w:tcW w:w="44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1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67" w:type="dxa"/>
            <w:tcBorders/>
            <w:shd w:fill="FFFFFF"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14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12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7" w:type="dxa"/>
            <w:tcBorders/>
            <w:shd w:fill="FFFFFF" w:val="clear"/>
            <w:vAlign w:val="center"/>
          </w:tcPr>
          <w:p>
            <w:pPr>
              <w:pStyle w:val="TableContents"/>
              <w:bidi w:val="0"/>
              <w:spacing w:before="0" w:after="283"/>
              <w:jc w:val="left"/>
              <w:rPr/>
            </w:pPr>
            <w:r>
              <w:rPr/>
              <w:t> </w:t>
            </w:r>
          </w:p>
        </w:tc>
      </w:tr>
      <w:tr>
        <w:trPr/>
        <w:tc>
          <w:tcPr>
            <w:tcW w:w="446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(excluding depreciation and amortization)</w:t>
            </w:r>
          </w:p>
        </w:tc>
        <w:tc>
          <w:tcPr>
            <w:tcW w:w="60" w:type="dxa"/>
            <w:tcBorders/>
            <w:shd w:fill="CCEEFF" w:val="clear"/>
            <w:vAlign w:val="center"/>
          </w:tcPr>
          <w:p>
            <w:pPr>
              <w:pStyle w:val="TableContents"/>
              <w:bidi w:val="0"/>
              <w:spacing w:before="0" w:after="283"/>
              <w:ind w:left="0" w:right="0" w:hanging="0"/>
              <w:jc w:val="left"/>
              <w:rPr/>
            </w:pPr>
            <w:r>
              <w:rPr/>
              <w:t> </w:t>
            </w:r>
          </w:p>
        </w:tc>
        <w:tc>
          <w:tcPr>
            <w:tcW w:w="2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2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2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67" w:type="dxa"/>
            <w:tcBorders/>
            <w:shd w:fill="CCEEFF"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development</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ind w:left="0" w:right="0" w:hanging="0"/>
              <w:jc w:val="left"/>
              <w:rPr/>
            </w:pPr>
            <w:r>
              <w:rPr/>
              <w:t> </w:t>
            </w:r>
          </w:p>
        </w:tc>
        <w:tc>
          <w:tcPr>
            <w:tcW w:w="11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w:t>
            </w:r>
          </w:p>
        </w:tc>
        <w:tc>
          <w:tcPr>
            <w:tcW w:w="67" w:type="dxa"/>
            <w:tcBorders/>
            <w:shd w:fill="FFFFFF" w:val="clear"/>
            <w:vAlign w:val="center"/>
          </w:tcPr>
          <w:p>
            <w:pPr>
              <w:pStyle w:val="TableContents"/>
              <w:bidi w:val="0"/>
              <w:spacing w:before="0" w:after="283"/>
              <w:jc w:val="left"/>
              <w:rPr/>
            </w:pPr>
            <w:r>
              <w:rPr/>
              <w:t> </w:t>
            </w:r>
          </w:p>
        </w:tc>
      </w:tr>
      <w:tr>
        <w:trPr/>
        <w:tc>
          <w:tcPr>
            <w:tcW w:w="446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ind w:left="0" w:right="0" w:hanging="0"/>
              <w:jc w:val="left"/>
              <w:rPr/>
            </w:pPr>
            <w:r>
              <w:rPr/>
              <w:t> </w:t>
            </w:r>
          </w:p>
        </w:tc>
        <w:tc>
          <w:tcPr>
            <w:tcW w:w="7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ind w:left="0" w:right="0" w:hanging="0"/>
              <w:jc w:val="left"/>
              <w:rPr/>
            </w:pPr>
            <w:r>
              <w:rPr/>
              <w:t> </w:t>
            </w:r>
          </w:p>
        </w:tc>
        <w:tc>
          <w:tcPr>
            <w:tcW w:w="11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w:t>
            </w:r>
          </w:p>
        </w:tc>
        <w:tc>
          <w:tcPr>
            <w:tcW w:w="67" w:type="dxa"/>
            <w:tcBorders/>
            <w:shd w:fill="CCEEFF"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2,119</w:t>
            </w:r>
          </w:p>
        </w:tc>
        <w:tc>
          <w:tcPr>
            <w:tcW w:w="67" w:type="dxa"/>
            <w:tcBorders/>
            <w:shd w:fill="FFFFFF" w:val="clear"/>
            <w:vAlign w:val="center"/>
          </w:tcPr>
          <w:p>
            <w:pPr>
              <w:pStyle w:val="TableContents"/>
              <w:bidi w:val="0"/>
              <w:spacing w:before="0" w:after="283"/>
              <w:jc w:val="left"/>
              <w:rPr/>
            </w:pPr>
            <w:r>
              <w:rPr/>
              <w:t> </w:t>
            </w:r>
          </w:p>
        </w:tc>
      </w:tr>
      <w:tr>
        <w:trPr/>
        <w:tc>
          <w:tcPr>
            <w:tcW w:w="446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2,734</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3,285</w:t>
            </w:r>
          </w:p>
        </w:tc>
        <w:tc>
          <w:tcPr>
            <w:tcW w:w="6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Repurchase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On </w:t>
      </w:r>
      <w:r>
        <w:rPr>
          <w:rStyle w:val="Emphasis"/>
          <w:rFonts w:ascii="Times New Roman;Times;serif" w:hAnsi="Times New Roman;Times;serif"/>
          <w:caps w:val="false"/>
          <w:smallCaps w:val="false"/>
          <w:sz w:val="20"/>
        </w:rPr>
        <w:t xml:space="preserve">May 8, 2025, </w:t>
      </w:r>
      <w:r>
        <w:rPr>
          <w:rFonts w:ascii="Times New Roman;Times;serif" w:hAnsi="Times New Roman;Times;serif"/>
          <w:caps w:val="false"/>
          <w:smallCaps w:val="false"/>
          <w:sz w:val="20"/>
        </w:rPr>
        <w:t xml:space="preserve">the Company announced a share repurchase program approved by the Company’s Board of Directors under which the Company was authorized to repurchase up to $25.0 million of its outstanding shares of common stock. Pursuant to this authorization, the Company was authorized to make repurchases in the open market, including under a Rule </w:t>
      </w:r>
      <w:r>
        <w:rPr>
          <w:rStyle w:val="Emphasis"/>
          <w:rFonts w:ascii="Times New Roman;Times;serif" w:hAnsi="Times New Roman;Times;serif"/>
          <w:caps w:val="false"/>
          <w:smallCaps w:val="false"/>
          <w:sz w:val="20"/>
        </w:rPr>
        <w:t>10b5</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plan, through privately negotiated transactions, or otherwise. During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nine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September 30, 2025, </w:t>
      </w:r>
      <w:r>
        <w:rPr>
          <w:rFonts w:ascii="Times New Roman;Times;serif" w:hAnsi="Times New Roman;Times;serif"/>
          <w:caps w:val="false"/>
          <w:smallCaps w:val="false"/>
          <w:sz w:val="20"/>
        </w:rPr>
        <w:t xml:space="preserve">the Company repurchased and subsequently retired 255,833 shares and 905,786 shares valued at $6.9 million and $25.0 million, respectively, pursuant to this authorization. This share repurchase program is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longer in effect as the maximum dollar amount under this program was expended during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September 30, 2025 </w:t>
      </w:r>
      <w:r>
        <w:rPr>
          <w:rFonts w:ascii="Times New Roman;Times;serif" w:hAnsi="Times New Roman;Times;serif"/>
          <w:caps w:val="false"/>
          <w:smallCaps w:val="false"/>
          <w:sz w:val="20"/>
        </w:rPr>
        <w:t>as referenced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ind w:left="0" w:right="0" w:hanging="0"/>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6.</w:t>
      </w:r>
      <w:r>
        <w:rPr>
          <w:rFonts w:ascii="Times New Roman" w:hAnsi="Times New Roman"/>
          <w:caps w:val="false"/>
          <w:smallCaps w:val="false"/>
          <w:sz w:val="20"/>
        </w:rPr>
        <w:t> </w:t>
      </w:r>
      <w:r>
        <w:rPr>
          <w:rFonts w:ascii="Times New Roman" w:hAnsi="Times New Roman"/>
          <w:b/>
          <w:caps w:val="false"/>
          <w:smallCaps w:val="false"/>
          <w:sz w:val="20"/>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224,000 and 177,000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 and 171,000 and 169,000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computation of basic and diluted earnings per share (in thousands, except per share data):</w:t>
      </w:r>
    </w:p>
    <w:p>
      <w:pPr>
        <w:pStyle w:val="TextBody"/>
        <w:bidi w:val="0"/>
        <w:spacing w:before="0" w:after="0"/>
        <w:ind w:left="0" w:right="0" w:hanging="0"/>
        <w:jc w:val="both"/>
        <w:rPr>
          <w:caps w:val="false"/>
          <w:smallCaps w:val="false"/>
        </w:rPr>
      </w:pPr>
      <w:r>
        <w:rPr>
          <w:caps w:val="false"/>
          <w:smallCaps w:val="false"/>
        </w:rPr>
        <w:t> </w:t>
      </w:r>
    </w:p>
    <w:tbl>
      <w:tblPr>
        <w:tblW w:w="9159" w:type="dxa"/>
        <w:jc w:val="left"/>
        <w:tblInd w:w="0" w:type="dxa"/>
        <w:tblLayout w:type="fixed"/>
        <w:tblCellMar>
          <w:top w:w="0" w:type="dxa"/>
          <w:left w:w="0" w:type="dxa"/>
          <w:bottom w:w="0" w:type="dxa"/>
          <w:right w:w="0" w:type="dxa"/>
        </w:tblCellMar>
      </w:tblPr>
      <w:tblGrid>
        <w:gridCol w:w="3065"/>
        <w:gridCol w:w="60"/>
        <w:gridCol w:w="239"/>
        <w:gridCol w:w="1132"/>
        <w:gridCol w:w="115"/>
        <w:gridCol w:w="115"/>
        <w:gridCol w:w="239"/>
        <w:gridCol w:w="1132"/>
        <w:gridCol w:w="60"/>
        <w:gridCol w:w="60"/>
        <w:gridCol w:w="232"/>
        <w:gridCol w:w="1098"/>
        <w:gridCol w:w="111"/>
        <w:gridCol w:w="111"/>
        <w:gridCol w:w="232"/>
        <w:gridCol w:w="1098"/>
        <w:gridCol w:w="60"/>
      </w:tblGrid>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3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6,086</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15,808</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15,118</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shares outstanding</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1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29,688</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1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30,151</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30,374</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dilutive shares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diluted shares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29,811</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30,283</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30,512</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60" w:type="dxa"/>
            <w:tcBorders/>
            <w:shd w:fill="CCEEFF" w:val="clear"/>
            <w:vAlign w:val="center"/>
          </w:tcPr>
          <w:p>
            <w:pPr>
              <w:pStyle w:val="TableContents"/>
              <w:bidi w:val="0"/>
              <w:spacing w:before="0" w:after="0"/>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115" w:type="dxa"/>
            <w:tcBorders/>
            <w:shd w:fill="CCEEFF" w:val="clear"/>
            <w:vAlign w:val="center"/>
          </w:tcPr>
          <w:p>
            <w:pPr>
              <w:pStyle w:val="TableContents"/>
              <w:bidi w:val="0"/>
              <w:spacing w:before="0" w:after="0"/>
              <w:ind w:left="0" w:right="0" w:hanging="0"/>
              <w:jc w:val="left"/>
              <w:rPr/>
            </w:pPr>
            <w:r>
              <w:rPr/>
              <w:t> </w:t>
            </w:r>
          </w:p>
        </w:tc>
        <w:tc>
          <w:tcPr>
            <w:tcW w:w="115" w:type="dxa"/>
            <w:tcBorders/>
            <w:shd w:fill="CCEEFF" w:val="clear"/>
            <w:vAlign w:val="center"/>
          </w:tcPr>
          <w:p>
            <w:pPr>
              <w:pStyle w:val="TableContents"/>
              <w:bidi w:val="0"/>
              <w:spacing w:before="0" w:after="0"/>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c>
          <w:tcPr>
            <w:tcW w:w="111" w:type="dxa"/>
            <w:tcBorders/>
            <w:shd w:fill="CCEEFF" w:val="clear"/>
            <w:vAlign w:val="center"/>
          </w:tcPr>
          <w:p>
            <w:pPr>
              <w:pStyle w:val="TableContents"/>
              <w:bidi w:val="0"/>
              <w:spacing w:before="0" w:after="0"/>
              <w:ind w:left="0" w:right="0" w:hanging="0"/>
              <w:jc w:val="left"/>
              <w:rPr/>
            </w:pPr>
            <w:r>
              <w:rPr/>
              <w:t> </w:t>
            </w:r>
          </w:p>
        </w:tc>
        <w:tc>
          <w:tcPr>
            <w:tcW w:w="111" w:type="dxa"/>
            <w:tcBorders/>
            <w:shd w:fill="CCEEFF" w:val="clear"/>
            <w:vAlign w:val="center"/>
          </w:tcPr>
          <w:p>
            <w:pPr>
              <w:pStyle w:val="TableContents"/>
              <w:bidi w:val="0"/>
              <w:spacing w:before="0" w:after="0"/>
              <w:ind w:left="0" w:right="0" w:hanging="0"/>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FFFFFF" w:val="clear"/>
            <w:vAlign w:val="center"/>
          </w:tcPr>
          <w:p>
            <w:pPr>
              <w:pStyle w:val="TableContents"/>
              <w:bidi w:val="0"/>
              <w:spacing w:before="0" w:after="0"/>
              <w:ind w:left="0" w:right="0" w:hanging="0"/>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115" w:type="dxa"/>
            <w:tcBorders/>
            <w:shd w:fill="FFFFFF" w:val="clear"/>
            <w:vAlign w:val="center"/>
          </w:tcPr>
          <w:p>
            <w:pPr>
              <w:pStyle w:val="TableContents"/>
              <w:bidi w:val="0"/>
              <w:spacing w:before="0" w:after="0"/>
              <w:ind w:left="0" w:right="0" w:hanging="0"/>
              <w:jc w:val="left"/>
              <w:rPr/>
            </w:pPr>
            <w:r>
              <w:rPr/>
              <w:t> </w:t>
            </w:r>
          </w:p>
        </w:tc>
        <w:tc>
          <w:tcPr>
            <w:tcW w:w="115" w:type="dxa"/>
            <w:tcBorders/>
            <w:shd w:fill="FFFFFF" w:val="clear"/>
            <w:vAlign w:val="center"/>
          </w:tcPr>
          <w:p>
            <w:pPr>
              <w:pStyle w:val="TableContents"/>
              <w:bidi w:val="0"/>
              <w:spacing w:before="0" w:after="0"/>
              <w:ind w:left="0" w:right="0" w:hanging="0"/>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c>
          <w:tcPr>
            <w:tcW w:w="111" w:type="dxa"/>
            <w:tcBorders/>
            <w:shd w:fill="FFFFFF" w:val="clear"/>
            <w:vAlign w:val="center"/>
          </w:tcPr>
          <w:p>
            <w:pPr>
              <w:pStyle w:val="TableContents"/>
              <w:bidi w:val="0"/>
              <w:spacing w:before="0" w:after="0"/>
              <w:ind w:left="0" w:right="0" w:hanging="0"/>
              <w:jc w:val="left"/>
              <w:rPr/>
            </w:pPr>
            <w:r>
              <w:rPr/>
              <w:t> </w:t>
            </w:r>
          </w:p>
        </w:tc>
        <w:tc>
          <w:tcPr>
            <w:tcW w:w="111" w:type="dxa"/>
            <w:tcBorders/>
            <w:shd w:fill="FFFFFF" w:val="clear"/>
            <w:vAlign w:val="center"/>
          </w:tcPr>
          <w:p>
            <w:pPr>
              <w:pStyle w:val="TableContents"/>
              <w:bidi w:val="0"/>
              <w:spacing w:before="0" w:after="0"/>
              <w:ind w:left="0" w:right="0" w:hanging="0"/>
              <w:jc w:val="left"/>
              <w:rPr/>
            </w:pPr>
            <w:r>
              <w:rPr/>
              <w:t> </w:t>
            </w:r>
          </w:p>
        </w:tc>
        <w:tc>
          <w:tcPr>
            <w:tcW w:w="2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w:t>
            </w:r>
          </w:p>
        </w:tc>
        <w:tc>
          <w:tcPr>
            <w:tcW w:w="6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fair value of marketable securities, which were all classified as available for sale and which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 to sell nor will the Company be required to sell prior to recovery of their amortized cost basis, included the following (in thousands):</w:t>
      </w:r>
    </w:p>
    <w:p>
      <w:pPr>
        <w:pStyle w:val="TextBody"/>
        <w:bidi w:val="0"/>
        <w:spacing w:before="0" w:after="0"/>
        <w:jc w:val="left"/>
        <w:rPr/>
      </w:pPr>
      <w:r>
        <w:rPr/>
        <w:t xml:space="preserve">  </w:t>
      </w:r>
    </w:p>
    <w:tbl>
      <w:tblPr>
        <w:tblW w:w="7406" w:type="dxa"/>
        <w:jc w:val="left"/>
        <w:tblInd w:w="0" w:type="dxa"/>
        <w:tblLayout w:type="fixed"/>
        <w:tblCellMar>
          <w:top w:w="0" w:type="dxa"/>
          <w:left w:w="0" w:type="dxa"/>
          <w:bottom w:w="0" w:type="dxa"/>
          <w:right w:w="0" w:type="dxa"/>
        </w:tblCellMar>
      </w:tblPr>
      <w:tblGrid>
        <w:gridCol w:w="1850"/>
        <w:gridCol w:w="60"/>
        <w:gridCol w:w="203"/>
        <w:gridCol w:w="971"/>
        <w:gridCol w:w="60"/>
        <w:gridCol w:w="60"/>
        <w:gridCol w:w="507"/>
        <w:gridCol w:w="937"/>
        <w:gridCol w:w="60"/>
        <w:gridCol w:w="60"/>
        <w:gridCol w:w="605"/>
        <w:gridCol w:w="899"/>
        <w:gridCol w:w="80"/>
        <w:gridCol w:w="60"/>
        <w:gridCol w:w="163"/>
        <w:gridCol w:w="771"/>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3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2025</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Adjusted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2:</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 treasury securities</w:t>
            </w:r>
          </w:p>
        </w:tc>
        <w:tc>
          <w:tcPr>
            <w:tcW w:w="60" w:type="dxa"/>
            <w:tcBorders/>
            <w:shd w:fill="FFFFFF" w:val="clear"/>
            <w:vAlign w:val="center"/>
          </w:tcPr>
          <w:p>
            <w:pPr>
              <w:pStyle w:val="TableContents"/>
              <w:bidi w:val="0"/>
              <w:spacing w:before="0" w:after="0"/>
              <w:ind w:left="0" w:right="0" w:hanging="0"/>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39,019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7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39,047</w:t>
            </w:r>
          </w:p>
        </w:tc>
        <w:tc>
          <w:tcPr>
            <w:tcW w:w="60" w:type="dxa"/>
            <w:tcBorders/>
            <w:shd w:fill="FFFFFF" w:val="clear"/>
            <w:vAlign w:val="center"/>
          </w:tcPr>
          <w:p>
            <w:pPr>
              <w:pStyle w:val="TableContents"/>
              <w:bidi w:val="0"/>
              <w:spacing w:before="0" w:after="0"/>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39,047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7406" w:type="dxa"/>
        <w:jc w:val="left"/>
        <w:tblInd w:w="0" w:type="dxa"/>
        <w:tblLayout w:type="fixed"/>
        <w:tblCellMar>
          <w:top w:w="0" w:type="dxa"/>
          <w:left w:w="0" w:type="dxa"/>
          <w:bottom w:w="0" w:type="dxa"/>
          <w:right w:w="0" w:type="dxa"/>
        </w:tblCellMar>
      </w:tblPr>
      <w:tblGrid>
        <w:gridCol w:w="1850"/>
        <w:gridCol w:w="60"/>
        <w:gridCol w:w="203"/>
        <w:gridCol w:w="971"/>
        <w:gridCol w:w="60"/>
        <w:gridCol w:w="60"/>
        <w:gridCol w:w="507"/>
        <w:gridCol w:w="937"/>
        <w:gridCol w:w="60"/>
        <w:gridCol w:w="60"/>
        <w:gridCol w:w="605"/>
        <w:gridCol w:w="899"/>
        <w:gridCol w:w="80"/>
        <w:gridCol w:w="60"/>
        <w:gridCol w:w="163"/>
        <w:gridCol w:w="771"/>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3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Adjusted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2:</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U.S. treasury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37,748</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37,748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carrying amounts reported in the Condensed Consolidated Balance Sheets approximate fair value based on quoted market prices or alternative pricing sources and models utilizing market observable inputs.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 any allowance for credit impairments on its available for sale securities. All investments in marketable securities are classified as current assets on the Condensed Consolidated Balance Sheets because the underlying securities mature within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from the balance sheet date.</w:t>
      </w:r>
    </w:p>
    <w:p>
      <w:pPr>
        <w:pStyle w:val="TextBody"/>
        <w:bidi w:val="0"/>
        <w:spacing w:before="0" w:after="0"/>
        <w:jc w:val="left"/>
        <w:rPr/>
      </w:pPr>
      <w:r>
        <w:rPr/>
        <w:t xml:space="preserve">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ind w:left="0" w:right="0" w:hanging="0"/>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October 6, 2023, </w:t>
      </w:r>
      <w:r>
        <w:rPr>
          <w:rFonts w:ascii="Times New Roman" w:hAnsi="Times New Roman"/>
          <w:caps w:val="false"/>
          <w:smallCaps w:val="false"/>
          <w:sz w:val="20"/>
        </w:rPr>
        <w:t>the Company entered into an Amended and Restated Revolving Credit Agreement (“Revolving Credit Facility”), amending the Revolving Credit Facility dated as of </w:t>
      </w:r>
      <w:r>
        <w:rPr>
          <w:rStyle w:val="Emphasis"/>
          <w:rFonts w:ascii="Times New Roman" w:hAnsi="Times New Roman"/>
          <w:caps w:val="false"/>
          <w:smallCaps w:val="false"/>
          <w:sz w:val="20"/>
        </w:rPr>
        <w:t xml:space="preserve"> November 24, 2014, </w:t>
      </w:r>
      <w:r>
        <w:rPr>
          <w:rFonts w:ascii="Times New Roman" w:hAnsi="Times New Roman"/>
          <w:caps w:val="false"/>
          <w:smallCaps w:val="false"/>
          <w:sz w:val="20"/>
        </w:rPr>
        <w:t>as amended, with certain lenders party thereto from time to time, and Truist, as Administrative Agent for the lenders. Under the Revolving Credit Facility,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borrow up to $50.0 million, which includes a $5.0 million swingline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Revolving Credit Facility has a maturity date of </w:t>
      </w:r>
      <w:r>
        <w:rPr>
          <w:rStyle w:val="Emphasis"/>
          <w:rFonts w:ascii="Times New Roman" w:hAnsi="Times New Roman"/>
          <w:caps w:val="false"/>
          <w:smallCaps w:val="false"/>
          <w:sz w:val="20"/>
        </w:rPr>
        <w:t xml:space="preserve"> October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obligations under the Revolving Credit Facility are unsecured. In addition, if the Company forms or acquires any domestic subsidiaries, the loans and other obligations under the Revolving Credit Facility will be guaranteed by such domestic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At the Company’s election, the borrowings under the Revolving Credit Facility, other than the swingline loans, bear interest at either (</w:t>
      </w:r>
      <w:r>
        <w:rPr>
          <w:rStyle w:val="Emphasis"/>
          <w:rFonts w:ascii="Times New Roman" w:hAnsi="Times New Roman"/>
          <w:caps w:val="false"/>
          <w:smallCaps w:val="false"/>
          <w:sz w:val="20"/>
        </w:rPr>
        <w:t>1</w:t>
      </w:r>
      <w:r>
        <w:rPr>
          <w:rFonts w:ascii="Times New Roman" w:hAnsi="Times New Roman"/>
          <w:caps w:val="false"/>
          <w:smallCaps w:val="false"/>
          <w:sz w:val="20"/>
        </w:rPr>
        <w:t>) a base rate defined as the highest of (a) the rate which the Administrative Agent announces from time to time as its prime lending rate, as in effect from time to time, or (b) the Federal Funds Rate, as in effect from time to time, plus </w:t>
      </w:r>
      <w:r>
        <w:rPr>
          <w:rStyle w:val="Emphasis"/>
          <w:rFonts w:ascii="Times New Roman" w:hAnsi="Times New Roman"/>
          <w:caps w:val="false"/>
          <w:smallCaps w:val="false"/>
          <w:sz w:val="20"/>
        </w:rPr>
        <w:t>one</w:t>
      </w:r>
      <w:r>
        <w:rPr>
          <w:rFonts w:ascii="Times New Roman" w:hAnsi="Times New Roman"/>
          <w:caps w:val="false"/>
          <w:smallCaps w:val="false"/>
          <w:sz w:val="20"/>
        </w:rPr>
        <w:t>-half of </w:t>
      </w:r>
      <w:r>
        <w:rPr>
          <w:rStyle w:val="Emphasis"/>
          <w:rFonts w:ascii="Times New Roman" w:hAnsi="Times New Roman"/>
          <w:caps w:val="false"/>
          <w:smallCaps w:val="false"/>
          <w:sz w:val="20"/>
        </w:rPr>
        <w:t>one</w:t>
      </w:r>
      <w:r>
        <w:rPr>
          <w:rFonts w:ascii="Times New Roman" w:hAnsi="Times New Roman"/>
          <w:caps w:val="false"/>
          <w:smallCaps w:val="false"/>
          <w:sz w:val="20"/>
        </w:rPr>
        <w:t> percent (0.50%) per annum (any changes in such rates to be effective as of the date of any change in such rate), plus in each case an applicable margin that varies with the company’s funded debt leverage ratio; or (</w:t>
      </w:r>
      <w:r>
        <w:rPr>
          <w:rStyle w:val="Emphasis"/>
          <w:rFonts w:ascii="Times New Roman" w:hAnsi="Times New Roman"/>
          <w:caps w:val="false"/>
          <w:smallCaps w:val="false"/>
          <w:sz w:val="20"/>
        </w:rPr>
        <w:t>2</w:t>
      </w:r>
      <w:r>
        <w:rPr>
          <w:rFonts w:ascii="Times New Roman" w:hAnsi="Times New Roman"/>
          <w:caps w:val="false"/>
          <w:smallCaps w:val="false"/>
          <w:sz w:val="20"/>
        </w:rPr>
        <w:t>) a term secured overnight financing rate (“SOFR”) defined as the greater of (a)(i) the forward-looking term rate based on SOFR determined as of the reference time for such interest period with a term equivalent to such interest period plus (ii) a term SOFR adjustment equal to 0.10% per annum and (b) zero, plus, in each case, an applicable margin that varies with the Company’s consolidated total leverage ratio. The Company’s borrowings under the swingline loans bear interest at the base rate plus the applicable margin. The initial applicable margin for base rate loans is 0.50% and the initial applicable margin SOFR loans is 1.50%. The applicable margins will be adjusted quarterly, in each case </w:t>
      </w:r>
      <w:r>
        <w:rPr>
          <w:rStyle w:val="Emphasis"/>
          <w:rFonts w:ascii="Times New Roman" w:hAnsi="Times New Roman"/>
          <w:caps w:val="false"/>
          <w:smallCaps w:val="false"/>
          <w:sz w:val="20"/>
        </w:rPr>
        <w:t>two</w:t>
      </w:r>
      <w:r>
        <w:rPr>
          <w:rFonts w:ascii="Times New Roman" w:hAnsi="Times New Roman"/>
          <w:caps w:val="false"/>
          <w:smallCaps w:val="false"/>
          <w:sz w:val="20"/>
        </w:rPr>
        <w:t> (</w:t>
      </w:r>
      <w:r>
        <w:rPr>
          <w:rStyle w:val="Emphasis"/>
          <w:rFonts w:ascii="Times New Roman" w:hAnsi="Times New Roman"/>
          <w:caps w:val="false"/>
          <w:smallCaps w:val="false"/>
          <w:sz w:val="20"/>
        </w:rPr>
        <w:t>2</w:t>
      </w:r>
      <w:r>
        <w:rPr>
          <w:rFonts w:ascii="Times New Roman" w:hAnsi="Times New Roman"/>
          <w:caps w:val="false"/>
          <w:smallCaps w:val="false"/>
          <w:sz w:val="20"/>
        </w:rPr>
        <w:t>) business days after the Administrative Agent's receipt of the Company's quarterly financial statements. The Company is also required to pay a commitment fee accruing on the unused revolving commitment, which fee initially is 20 basis points per annum and a letter of credit fee, accruing at a rate per annum equal to the applicable margin for SOFR loans then in effect on the daily average amount of such lender’s letter of credit exposure.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Principal is payable in full at maturity on </w:t>
      </w:r>
      <w:r>
        <w:rPr>
          <w:rStyle w:val="Emphasis"/>
          <w:rFonts w:ascii="Times New Roman" w:hAnsi="Times New Roman"/>
          <w:caps w:val="false"/>
          <w:smallCaps w:val="false"/>
          <w:sz w:val="20"/>
        </w:rPr>
        <w:t xml:space="preserve"> October 6, 2026, </w:t>
      </w:r>
      <w:r>
        <w:rPr>
          <w:rFonts w:ascii="Times New Roman" w:hAnsi="Times New Roman"/>
          <w:caps w:val="false"/>
          <w:smallCaps w:val="false"/>
          <w:sz w:val="20"/>
        </w:rPr>
        <w:t>and there are </w:t>
      </w:r>
      <w:r>
        <w:rPr>
          <w:rStyle w:val="Emphasis"/>
          <w:rFonts w:ascii="Times New Roman" w:hAnsi="Times New Roman"/>
          <w:caps w:val="false"/>
          <w:smallCaps w:val="false"/>
          <w:sz w:val="20"/>
        </w:rPr>
        <w:t>no</w:t>
      </w:r>
      <w:r>
        <w:rPr>
          <w:rFonts w:ascii="Times New Roman" w:hAnsi="Times New Roman"/>
          <w:caps w:val="false"/>
          <w:smallCaps w:val="false"/>
          <w:sz w:val="20"/>
        </w:rPr>
        <w:t> scheduled principal payments prior to maturity. Interest on base rate loans and swingline loans is payable quarterly in arrears, and interest on SOFR loans is payable at the end of each interest period, and in the case of interest periods longer than </w:t>
      </w:r>
      <w:r>
        <w:rPr>
          <w:rStyle w:val="Emphasis"/>
          <w:rFonts w:ascii="Times New Roman" w:hAnsi="Times New Roman"/>
          <w:caps w:val="false"/>
          <w:smallCaps w:val="false"/>
          <w:sz w:val="20"/>
        </w:rPr>
        <w:t>three</w:t>
      </w:r>
      <w:r>
        <w:rPr>
          <w:rFonts w:ascii="Times New Roman" w:hAnsi="Times New Roman"/>
          <w:caps w:val="false"/>
          <w:smallCaps w:val="false"/>
          <w:sz w:val="20"/>
        </w:rPr>
        <w:t> months, on each day which occurs every </w:t>
      </w:r>
      <w:r>
        <w:rPr>
          <w:rStyle w:val="Emphasis"/>
          <w:rFonts w:ascii="Times New Roman" w:hAnsi="Times New Roman"/>
          <w:caps w:val="false"/>
          <w:smallCaps w:val="false"/>
          <w:sz w:val="20"/>
        </w:rPr>
        <w:t>three</w:t>
      </w:r>
      <w:r>
        <w:rPr>
          <w:rFonts w:ascii="Times New Roman" w:hAnsi="Times New Roman"/>
          <w:caps w:val="false"/>
          <w:smallCaps w:val="false"/>
          <w:sz w:val="20"/>
        </w:rPr>
        <w:t> months after the initial date of such interest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purpose of the Revolving Credit Facility is for general working capital needs, permitted acquisitions (as defined in the Amended and Restated Revolving Credit Agreement), and for stock repurchase and/or redemption transactions that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authorize.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Revolving Credit Facility required the Company to meet certain financial tests, including, without limitation:</w:t>
      </w:r>
    </w:p>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110"/>
        <w:gridCol w:w="851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10"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a funded debt leverage ratio (consolidated debt/consolidated EBITDA)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greater than 3.0 to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and</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110"/>
        <w:gridCol w:w="861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1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an interest coverage ratio (consolidated EBITDA/consolidated interest expense)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3.0 to </w:t>
            </w:r>
            <w:r>
              <w:rPr>
                <w:rStyle w:val="Emphasis"/>
                <w:rFonts w:ascii="Times New Roman" w:hAnsi="Times New Roman"/>
                <w:caps w:val="false"/>
                <w:smallCaps w:val="false"/>
                <w:sz w:val="20"/>
              </w:rPr>
              <w:t>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Revolving Credit Facility contains certain customary affirmative and negative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Company was in compliance with all covenants. There were no balances outstanding on the Revolving Credit Facility as of or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caps w:val="false"/>
          <w:smallCaps w:val="false"/>
          <w:sz w:val="20"/>
        </w:rPr>
        <w:t>9.</w:t>
      </w:r>
      <w:r>
        <w:rPr>
          <w:rFonts w:ascii="Times New Roman;Times;serif" w:hAnsi="Times New Roman;Times;serif"/>
          <w:b/>
          <w:caps w:val="false"/>
          <w:smallCaps w:val="false"/>
          <w:sz w:val="20"/>
        </w:rPr>
        <w:t xml:space="preserve"> SUBSEQUENT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pPr>
      <w:r>
        <w:rPr>
          <w:rFonts w:ascii="Times New Roman;Times;serif" w:hAnsi="Times New Roman;Times;serif"/>
          <w:caps w:val="false"/>
          <w:smallCaps w:val="false"/>
          <w:sz w:val="20"/>
        </w:rPr>
        <w:t>On </w:t>
      </w:r>
      <w:r>
        <w:rPr>
          <w:rStyle w:val="Emphasis"/>
          <w:rFonts w:ascii="Times New Roman;Times;serif" w:hAnsi="Times New Roman;Times;serif"/>
          <w:caps w:val="false"/>
          <w:smallCaps w:val="false"/>
          <w:sz w:val="20"/>
        </w:rPr>
        <w:t xml:space="preserve"> October 8, 2025, </w:t>
      </w:r>
      <w:r>
        <w:rPr>
          <w:rFonts w:ascii="Times New Roman;Times;serif" w:hAnsi="Times New Roman;Times;serif"/>
          <w:caps w:val="false"/>
          <w:smallCaps w:val="false"/>
          <w:sz w:val="20"/>
        </w:rPr>
        <w:t xml:space="preserve">the Company acquired all of the outstanding equity of </w:t>
      </w:r>
      <w:r>
        <w:rPr>
          <w:rStyle w:val="Emphasis"/>
          <w:rFonts w:ascii="Times New Roman;Times;serif" w:hAnsi="Times New Roman;Times;serif"/>
          <w:caps w:val="false"/>
          <w:smallCaps w:val="false"/>
          <w:sz w:val="20"/>
        </w:rPr>
        <w:t>Virsys12,</w:t>
      </w:r>
      <w:r>
        <w:rPr>
          <w:rFonts w:ascii="Times New Roman;Times;serif" w:hAnsi="Times New Roman;Times;serif"/>
          <w:caps w:val="false"/>
          <w:smallCaps w:val="false"/>
          <w:sz w:val="20"/>
        </w:rPr>
        <w:t xml:space="preserve"> LLC (</w:t>
      </w:r>
      <w:r>
        <w:rPr>
          <w:rStyle w:val="Emphasis"/>
          <w:rFonts w:ascii="Times New Roman;Times;serif" w:hAnsi="Times New Roman;Times;serif"/>
          <w:caps w:val="false"/>
          <w:smallCaps w:val="false"/>
          <w:sz w:val="20"/>
        </w:rPr>
        <w:t>"Virsys12"</w:t>
      </w:r>
      <w:r>
        <w:rPr>
          <w:rFonts w:ascii="Times New Roman;Times;serif" w:hAnsi="Times New Roman;Times;serif"/>
          <w:caps w:val="false"/>
          <w:smallCaps w:val="false"/>
          <w:sz w:val="20"/>
        </w:rPr>
        <w:t xml:space="preserve">), a Brentwood, Tennessee-based healthcare technology company that offers payers and health plans an innovative provider data management suite used for onboarding, credentialing, and network management. The consideration paid at closing for </w:t>
      </w:r>
      <w:r>
        <w:rPr>
          <w:rStyle w:val="Emphasis"/>
          <w:rFonts w:ascii="Times New Roman;Times;serif" w:hAnsi="Times New Roman;Times;serif"/>
          <w:caps w:val="false"/>
          <w:smallCaps w:val="false"/>
          <w:sz w:val="20"/>
        </w:rPr>
        <w:t>Virsys12</w:t>
      </w:r>
      <w:r>
        <w:rPr>
          <w:rFonts w:ascii="Times New Roman;Times;serif" w:hAnsi="Times New Roman;Times;serif"/>
          <w:caps w:val="false"/>
          <w:smallCaps w:val="false"/>
          <w:sz w:val="20"/>
        </w:rPr>
        <w:t xml:space="preserve"> consisted of approximately </w:t>
      </w:r>
      <w:r>
        <w:rPr>
          <w:rStyle w:val="Emphasis"/>
          <w:rFonts w:ascii="Times New Roman;Times;serif" w:hAnsi="Times New Roman;Times;serif"/>
          <w:caps w:val="false"/>
          <w:smallCaps w:val="false"/>
          <w:sz w:val="20"/>
        </w:rPr>
        <w:t>$11.2</w:t>
      </w:r>
      <w:r>
        <w:rPr>
          <w:rFonts w:ascii="Times New Roman;Times;serif" w:hAnsi="Times New Roman;Times;serif"/>
          <w:caps w:val="false"/>
          <w:smallCaps w:val="false"/>
          <w:sz w:val="20"/>
        </w:rPr>
        <w:t xml:space="preserve"> million in cash, giving effect to customary purchase price adjustments, and is subject to a post-closing working capital adjustment. In addition, up to an additional $4.0 million in cash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 xml:space="preserve">be paid over a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-year period following closing, contingent upon the achievement of certain financial targets. This acquisition expands the Company's existing provider data management and credentialing solution for payers and health plan enterprises, called Network by HealthStreamTM, launched </w:t>
      </w:r>
      <w:r>
        <w:rPr>
          <w:rStyle w:val="Emphasis"/>
          <w:rFonts w:ascii="Times New Roman;Times;serif" w:hAnsi="Times New Roman;Times;serif"/>
          <w:caps w:val="false"/>
          <w:smallCaps w:val="false"/>
          <w:sz w:val="20"/>
        </w:rPr>
        <w:t>14</w:t>
      </w:r>
      <w:r>
        <w:rPr>
          <w:rFonts w:ascii="Times New Roman;Times;serif" w:hAnsi="Times New Roman;Times;serif"/>
          <w:caps w:val="false"/>
          <w:smallCaps w:val="false"/>
          <w:sz w:val="20"/>
        </w:rPr>
        <w:t xml:space="preserve"> months ago, which is a part of its broader, market-leading Credentialing application suite. The acquisition will be accounted for using the acquisition method of business combination under ASC </w:t>
      </w:r>
      <w:r>
        <w:rPr>
          <w:rStyle w:val="Emphasis"/>
          <w:rFonts w:ascii="Times New Roman;Times;serif" w:hAnsi="Times New Roman;Times;serif"/>
          <w:caps w:val="false"/>
          <w:smallCaps w:val="false"/>
          <w:sz w:val="20"/>
        </w:rPr>
        <w:t>805,</w:t>
      </w:r>
      <w:r>
        <w:rPr>
          <w:rFonts w:ascii="Times New Roman;Times;serif" w:hAnsi="Times New Roman;Times;serif"/>
          <w:caps w:val="false"/>
          <w:smallCaps w:val="false"/>
          <w:sz w:val="20"/>
        </w:rPr>
        <w:t xml:space="preserve"> </w:t>
      </w:r>
      <w:r>
        <w:rPr>
          <w:rFonts w:ascii="Times New Roman;Times;serif" w:hAnsi="Times New Roman;Times;serif"/>
          <w:i/>
          <w:caps w:val="false"/>
          <w:smallCaps w:val="false"/>
          <w:sz w:val="20"/>
        </w:rPr>
        <w:t>Business Combinations</w:t>
      </w:r>
      <w:r>
        <w:rPr>
          <w:rFonts w:ascii="Times New Roman;Times;serif" w:hAnsi="Times New Roman;Times;serif"/>
          <w:caps w:val="false"/>
          <w:smallCaps w:val="false"/>
          <w:sz w:val="20"/>
        </w:rPr>
        <w:t xml:space="preserve">. The Company will provide preliminary purchase price allocation information and other disclosures required by ASC </w:t>
      </w:r>
      <w:r>
        <w:rPr>
          <w:rStyle w:val="Emphasis"/>
          <w:rFonts w:ascii="Times New Roman;Times;serif" w:hAnsi="Times New Roman;Times;serif"/>
          <w:caps w:val="false"/>
          <w:smallCaps w:val="false"/>
          <w:sz w:val="20"/>
        </w:rPr>
        <w:t>805</w:t>
      </w:r>
      <w:r>
        <w:rPr>
          <w:rFonts w:ascii="Times New Roman;Times;serif" w:hAnsi="Times New Roman;Times;serif"/>
          <w:caps w:val="false"/>
          <w:smallCaps w:val="false"/>
          <w:sz w:val="20"/>
        </w:rPr>
        <w:t xml:space="preserve"> in our Annual Report on Form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-K to be filed for the year ending </w:t>
      </w:r>
      <w:r>
        <w:rPr>
          <w:rStyle w:val="Emphasis"/>
          <w:rFonts w:ascii="Times New Roman;Times;serif" w:hAnsi="Times New Roman;Times;serif"/>
          <w:caps w:val="false"/>
          <w:smallCaps w:val="false"/>
          <w:sz w:val="20"/>
        </w:rPr>
        <w:t>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sz w:val="20"/>
        </w:rPr>
      </w:pPr>
      <w:bookmarkStart w:id="9" w:name="mda"/>
      <w:bookmarkEnd w:id="9"/>
      <w:r>
        <w:rPr>
          <w:rFonts w:ascii="Times New Roman" w:hAnsi="Times New Roman"/>
          <w:b/>
          <w:sz w:val="20"/>
        </w:rPr>
        <w:t xml:space="preserve">Item 2. </w:t>
      </w:r>
      <w:r>
        <w:rPr>
          <w:rFonts w:ascii="Times New Roman" w:hAnsi="Times New Roman"/>
          <w:b/>
          <w:i/>
          <w:sz w:val="20"/>
        </w:rPr>
        <w:t xml:space="preserve">Management's Discussion and Analysis of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Special Cautionary Notice Regarding Forward</w:t>
      </w:r>
      <w:r>
        <w:rPr>
          <w:rFonts w:ascii="Times New Roman" w:hAnsi="Times New Roman"/>
          <w:caps w:val="false"/>
          <w:smallCaps w:val="false"/>
          <w:sz w:val="20"/>
        </w:rPr>
        <w:noBreakHyphen/>
      </w:r>
      <w:r>
        <w:rPr>
          <w:rFonts w:ascii="Times New Roman" w:hAnsi="Times New Roman"/>
          <w:b/>
          <w:caps w:val="false"/>
          <w:smallCaps w:val="false"/>
          <w:sz w:val="20"/>
        </w:rPr>
        <w:t>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should read the following discussion and analysis in conjunction with our Condensed Consolidated Financial Statements and related Notes included elsewhere in this Form 10-Q and our audited Consolidated Financial Statements and the Notes thereto for the year ended December 31, 2024, appearing in our Annual Report on Form 10-K that was filed with the Securities and Exchange Commission (“SEC”) on February 28, 2025 (the “2024 Form 10-K”). Statements contained in this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“projects,” “should,” “will,” “would,” and similar expressions are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evaluating any forward-looking statement, you should specifically consider the information regarding forward-looking statements set forth above and the risks set forth under the caption Part I, Item 1A. Risk Factors in our 2024 Form 10-K and other disclosures in our 2024 Form 10-K and other filings with the SEC from time to time, as well as other cautionary statements contained elsewhere in this Form 10-Q, including our critical accounting policies and estimates as discussed in this Form 10-Q and our 2024 Form 10-K. We undertake no obligation to update or revise any forward-looking statements. You should read this Form 10-Q with the understanding that our actual future results may be materially different from what we currently expect.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Business 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 provides primarily SaaS based applications for healthcare organizations—all designed to improve business and clinical outcomes by supporting the people who deliver patient care. We are focused on helping individuals and organizations in healthcare meet their ongoing learning, clinical development, credentialing, and scheduling needs. We also provide our solutions to nursing schools and nursing students.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is managed and organized around a single platform strategy, also referred to as our One HealthStream approach. At the center of this single platform strategy is our hStream technology platform. By enabling our applications through hStream, we believe that stand-alone applications, which already provide a powerful value proposition on their own, are beginning to leverage each other to more efficiently and effectively empower our customers to manage their business and improve their outcomes. Further, the Company’s internal structure and executive leadership are likewise shaped by the organizing principle of a single platform, including with regard to technology, operations, accounting, internal reporting (including the nature of information reviewed by our key decision makers), organizational structure, compensation, performance assessment, and resource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Significant financial metrics for the third quarter of 2025 are set forth in the bullets below.</w:t>
      </w:r>
    </w:p>
    <w:p>
      <w:pPr>
        <w:pStyle w:val="TextBody"/>
        <w:bidi w:val="0"/>
        <w:spacing w:before="0" w:after="0"/>
        <w:ind w:left="0" w:right="0" w:hanging="0"/>
        <w:jc w:val="left"/>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110"/>
        <w:gridCol w:w="899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of $76.5 million in the third quarter of 2025, up 4.6% from $73.1 million in the third quarter of 2024</w:t>
            </w:r>
          </w:p>
        </w:tc>
      </w:tr>
    </w:tbl>
    <w:p>
      <w:pPr>
        <w:pStyle w:val="TextBody"/>
        <w:bidi w:val="0"/>
        <w:spacing w:before="0" w:after="0"/>
        <w:ind w:left="0" w:right="0" w:hanging="0"/>
        <w:jc w:val="left"/>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110"/>
        <w:gridCol w:w="954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income of $7.6 million in the third quarter of 2025, up 16.5% from $6.5 million in the third quarter of 2024</w:t>
            </w:r>
          </w:p>
        </w:tc>
      </w:tr>
    </w:tbl>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110"/>
        <w:gridCol w:w="891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income of $6.1 million in the third quarter of 2025, up 6.3% from $5.7 million in the third quarter of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Earnings per share (“EPS”) of $0.20 per share (diluted) in the third quarter of 2025, up from $0.19 per share (diluted) in the third quarter of 2024</w:t>
            </w:r>
          </w:p>
        </w:tc>
      </w:tr>
    </w:tbl>
    <w:p>
      <w:pPr>
        <w:pStyle w:val="TextBody"/>
        <w:bidi w:val="0"/>
        <w:spacing w:before="0" w:after="0"/>
        <w:ind w:left="0" w:right="0" w:hanging="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110"/>
        <w:gridCol w:w="977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w:t>
            </w:r>
            <w:r>
              <w:rPr>
                <w:rFonts w:ascii="Times New Roman" w:hAnsi="Times New Roman"/>
                <w:caps w:val="false"/>
                <w:smallCaps w:val="false"/>
                <w:sz w:val="18"/>
              </w:rPr>
              <w:t>1</w:t>
            </w:r>
            <w:r>
              <w:rPr>
                <w:rFonts w:ascii="Times New Roman" w:hAnsi="Times New Roman"/>
                <w:caps w:val="false"/>
                <w:smallCaps w:val="false"/>
                <w:sz w:val="20"/>
              </w:rPr>
              <w:t> of $19.1 million in the third quarter of 2025, up 7.9% from $17.7 million in the third quarter of 2024</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lineRule="auto" w:line="288"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1</w:t>
            </w:r>
          </w:p>
        </w:tc>
        <w:tc>
          <w:tcPr>
            <w:tcW w:w="1009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Adjusted EBITDA is a non-GAAP financial measure. A reconciliation of adjusted EBITDA to net income and disclosure regarding why we believe adjusted EBITDA provides useful information to investors is included later in this Form 10-Q.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first quarter of 2025, we entered into an agreement to sublease a portion of our office space in the Capitol View building in Nashville, Tennessee to optimize our workforce performance to deliver positive results for customers, employees, and shareholders. HealthStream’s corporate headquarters remains in Nashville in the Capitol View building, while we continue to hire new employees both locally and nationally to support our growth. The sublease commenced in April 2025 and will expire in October 2031. We recorded sublease income, net of initial direct cost amortization, of $0.8 million and $1.5 million during the three and nine months ended September 30, 2025, respectively. In addition, we expect to record sublease income, net, of approximately $0.8 million during the last three months of 2025 and $3.2 million annually thereafter for the remaining term of the sublease under the caption 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Macroeconomic and other conditions in the U.S. that directly or indirectly impact the healthcare industry are challenging in certain respects and may become more challenging based on recent and contemplated changes to various policies and regulations. While healthcare costs continue to grow, government cuts or reimbursement rate reductions to funding for healthcare organizations, the impact of tariffs on goods and services utilized by healthcare provider organizations, as well as uncertainty surrounding potential policy, regulatory, and economic shifts continue to be challenging for our healthcare customers. In particular, the federal budget reconciliation legislation enacted on July 4, 2025 includes significant policy changes that may adversely impact healthcare provider organizations, including changes that are expected to decrease access to health insurance and result in significant cuts to federal healthcare spending, particularly within the Medicaid program. In addition, the federal government entered into a partial shutdown effective October 1, 2025. Although Medicare and Medicaid reimbursement generally remains available throughout a shutdown, our healthcare customers may experience delays in payment for services rendered and other effects related to government agencies operating at reduced capacity and lack of congressional action on significant issues. We believe that these challenges and uncertainties, particularly among healthcare provider organizations with patient populations more dependent on government-funded reimbursement, have caused, and may in the future cause, some delays in purchasing and non-renewals of existing products and services, particularly in relation to elective or non-mandatory products and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enhanced premium tax credits for individuals eligible to purchase insurance coverage through federal and state-based health insurance marketplaces are scheduled to expire at the end of 2025, and further extension is uncertain. If these tax credits are not extended, this could reduce insurance coverage levels and indirectly influence customer budgets of our healthcare customers in a manner that adversely impacts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Challenges also persist in terms of inflationary pressures, ongoing elevated interest rate levels, lower consumer sentiment levels compared to recent periods, and geopolitical tensions, including various ongoing and threatened conflicts abroad and strained global trade relations. We have experienced in certain recent periods, and believe that many of our customers have experienced, increased labor, supply chain, capital, and other expenditures and budgetary pressures associated with such conditions and challenges. These conditions and challenges impacting the U.S. economy and our customers in the healthcare industry have adversely affected, and may continue to adversely impact, our business and results of operations. Additionally, given our focus on customers in the healthcare industry, adverse developments impacting the healthcare industry, including as a result of the developments described above, may adversely impact our business and financial results, although we are unable to fully assess the extent to which our future results may be impacted by any such developments.</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Key Financial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utilizes the following financial metrics in connection with managing our business.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Revenues, net</w:t>
            </w:r>
            <w:r>
              <w:rPr>
                <w:rFonts w:ascii="Times New Roman" w:hAnsi="Times New Roman"/>
                <w:caps w:val="false"/>
                <w:smallCaps w:val="false"/>
                <w:sz w:val="20"/>
              </w:rPr>
              <w:t>. Revenues, net, reflect income generated by the sales of goods and services related to our operations. Revenues, net, were $76.5 million and $224.4 million for the three and nine months ended September 30, 2025, respectively, compared to $73.1 million and $217.4 million for the three and nine months ended September 30, 2024, respectively. Management utilizes revenue in connection with managing our business and believes that this metric provides useful information to investors as a key indicator of the growth and success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Net Income</w:t>
            </w:r>
            <w:r>
              <w:rPr>
                <w:rFonts w:ascii="Times New Roman" w:hAnsi="Times New Roman"/>
                <w:caps w:val="false"/>
                <w:smallCaps w:val="false"/>
                <w:sz w:val="20"/>
              </w:rPr>
              <w:t>. Net income represents revenues, net, less all expenses. Net income was $6.1 million and $15.8 million for the three and nine months ended September 30, 2025, respectively, compared to $5.7 million and $15.1 million for the three and nine months ended September 30, 2024, respectively. Management utilizes net income in connection with managing our business, including with regard to our capital deployment strategies.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Adjusted EBITDA</w:t>
            </w:r>
            <w:r>
              <w:rPr>
                <w:rFonts w:ascii="Times New Roman" w:hAnsi="Times New Roman"/>
                <w:caps w:val="false"/>
                <w:smallCaps w:val="false"/>
                <w:sz w:val="20"/>
              </w:rPr>
              <w:t>. Adjusted EBITDA, calculated as set forth below under “Reconciliation of Non-GAAP Financial Measures,” is utilized by our management in connection with managing our business and provides useful information to investors because adjusted EBITDA reflects net income adjusted for certain GAAP accounting, non-cash, and/or non-operating items, as more specifically set forth below, which may not fully reflect the underlying operating performance of our business. We also believe that adjusted EBITDA is useful to investors to assess the Company’s ongoing operations. Additionally, certain short-term cash incentive bonuses and performance-based equity award grants are based, in whole or in part, on the achievement of adjusted EBITDA (as defined in applicable bonus and equity grant documentation) targets. Adjusted EBITDA was $19.1 million and $52.9 million for the three and nine months ended September 30, 2025, respectively, compared to $17.7 million and $50.6 million for the three and nine months ended September 30,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Capital Expenditures</w:t>
            </w:r>
            <w:r>
              <w:rPr>
                <w:rFonts w:ascii="Times New Roman" w:hAnsi="Times New Roman"/>
                <w:caps w:val="false"/>
                <w:smallCaps w:val="false"/>
                <w:sz w:val="20"/>
              </w:rPr>
              <w:t>. Capital expenditures represent cash payments incurred for purchases of property and equipment and during the development phase for projects to develop software and content. Capital expenditures were $7.5 million and $25.4 million for the three and nine months ended September 30, 2025, respectively, compared to $6.8 million and $21.3 million for the three and nine months ended September 30, 2024, respectively. Management utilizes this metric in connection with managing the allocation of capitalized expenditures in which the Company invests related to the development of its products and believes that this metric is a key indicator of investment in products relative to their current and expected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Notes to the Consolidated Financial Statements in our 2024 Form 10-K and the Notes to the Condensed Consolidated Financial Statements herein which contain additional information regarding our accounting policies and other disclosures required by US GAAP. There have been no changes in our critical accounting policies and estimates from those reported in our 2024 Form 10-K.</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Months Ended September 30, 2025 Compared to Three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Revenues, net. </w:t>
      </w:r>
      <w:r>
        <w:rPr>
          <w:rFonts w:ascii="Times New Roman" w:hAnsi="Times New Roman"/>
          <w:caps w:val="false"/>
          <w:smallCaps w:val="false"/>
          <w:sz w:val="20"/>
        </w:rPr>
        <w:t>Revenues increased $3.4 million, or 5%, to $76.5 million for the three months ended September 30, 2025 from $73.1 million for the three months ended September 30, 2024. Subscription revenues increased $4.0 million, or 6%, and professional services revenues decreased by $0.6 million, or 19%, compared to the third quarter of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comparison of revenues by revenue source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6208" w:type="dxa"/>
        <w:jc w:val="left"/>
        <w:tblInd w:w="0" w:type="dxa"/>
        <w:tblLayout w:type="fixed"/>
        <w:tblCellMar>
          <w:top w:w="0" w:type="dxa"/>
          <w:left w:w="0" w:type="dxa"/>
          <w:bottom w:w="0" w:type="dxa"/>
          <w:right w:w="0" w:type="dxa"/>
        </w:tblCellMar>
      </w:tblPr>
      <w:tblGrid>
        <w:gridCol w:w="1745"/>
        <w:gridCol w:w="60"/>
        <w:gridCol w:w="167"/>
        <w:gridCol w:w="788"/>
        <w:gridCol w:w="247"/>
        <w:gridCol w:w="80"/>
        <w:gridCol w:w="167"/>
        <w:gridCol w:w="788"/>
        <w:gridCol w:w="247"/>
        <w:gridCol w:w="80"/>
        <w:gridCol w:w="282"/>
        <w:gridCol w:w="1372"/>
        <w:gridCol w:w="185"/>
      </w:tblGrid>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1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2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9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2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Percentage Change</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Subscription 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73,887</w:t>
            </w:r>
          </w:p>
        </w:tc>
        <w:tc>
          <w:tcPr>
            <w:tcW w:w="2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69,918</w:t>
            </w:r>
          </w:p>
        </w:tc>
        <w:tc>
          <w:tcPr>
            <w:tcW w:w="2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13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Professional services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2,587</w:t>
            </w:r>
          </w:p>
        </w:tc>
        <w:tc>
          <w:tcPr>
            <w:tcW w:w="2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3,177</w:t>
            </w:r>
          </w:p>
        </w:tc>
        <w:tc>
          <w:tcPr>
            <w:tcW w:w="2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13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revenues, net</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76,474</w:t>
            </w:r>
          </w:p>
        </w:tc>
        <w:tc>
          <w:tcPr>
            <w:tcW w:w="2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73,095</w:t>
            </w:r>
          </w:p>
        </w:tc>
        <w:tc>
          <w:tcPr>
            <w:tcW w:w="2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13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of Revenues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Subscription services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w:t>
            </w:r>
          </w:p>
        </w:tc>
        <w:tc>
          <w:tcPr>
            <w:tcW w:w="2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7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w:t>
            </w:r>
          </w:p>
        </w:tc>
        <w:tc>
          <w:tcPr>
            <w:tcW w:w="2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Professional services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7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2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7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2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Cost of Revenues (excluding Depreciation and Amortization). </w:t>
      </w:r>
      <w:r>
        <w:rPr>
          <w:rFonts w:ascii="Times New Roman" w:hAnsi="Times New Roman"/>
          <w:caps w:val="false"/>
          <w:smallCaps w:val="false"/>
          <w:sz w:val="20"/>
        </w:rPr>
        <w:t>Cost of revenues increased $2.0 million, or 8%, to $26.5 million for the three months ended September 30, 2025, from $24.5 million for the three months ended September 30, 2024. Cost of revenues as a percentage of revenues were 35% and 33% for the three months ended September 30, 2025 and 2024, respectively. The increase in amount is primarily associated with investments in several areas of our business, primarily in our platform and SaaS applications, resulting in higher cloud hosting, labor costs, third-party software costs, and royalties.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Product Development.</w:t>
      </w:r>
      <w:r>
        <w:rPr>
          <w:rFonts w:ascii="Times New Roman" w:hAnsi="Times New Roman"/>
          <w:caps w:val="false"/>
          <w:smallCaps w:val="false"/>
          <w:sz w:val="20"/>
        </w:rPr>
        <w:t xml:space="preserve"> Product development expenses were $12.1 million for both the three months ended September 30, 2025 and 2024. Product development expenses as a percentage of revenues were 16% and 17% for the three months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Sales and Marketing.</w:t>
      </w:r>
      <w:r>
        <w:rPr>
          <w:rFonts w:ascii="Times New Roman" w:hAnsi="Times New Roman"/>
          <w:caps w:val="false"/>
          <w:smallCaps w:val="false"/>
          <w:sz w:val="20"/>
        </w:rPr>
        <w:t xml:space="preserve"> Sales and marketing expenses, including personnel costs, increased $0.6 million, or 6%, to $12.1 million for the three months ended September 30, 2025, from $11.5 million for the three months ended September 30, 2024. Sales and marketing expenses were 16% of revenues for both the three months ended September 30, 2025 and 2024. The increase in amount is primarily due to increased commissions and higher labor costs, partially offset by a decrease in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General and Administrative.</w:t>
      </w:r>
      <w:r>
        <w:rPr>
          <w:rFonts w:ascii="Times New Roman" w:hAnsi="Times New Roman"/>
          <w:caps w:val="false"/>
          <w:smallCaps w:val="false"/>
          <w:sz w:val="20"/>
        </w:rPr>
        <w:t> General and administrative expenses decreased $1.2 million, or 13%, to $7.3 million for the three months ended September 30, 2025, from $8.5 million for the three months ended September 30, 2024. General and administrative expenses were 10% and 12% of revenues for the three months ended September 30, 2025 and 2024, respectively. The decrease in amount is primarily due to sublease income associated with the office sublease that commenced during the second quarter of 2025 as noted above and a reduction in stock-based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Depreciation and Amortization. </w:t>
      </w:r>
      <w:r>
        <w:rPr>
          <w:rFonts w:ascii="Times New Roman" w:hAnsi="Times New Roman"/>
          <w:caps w:val="false"/>
          <w:smallCaps w:val="false"/>
          <w:sz w:val="20"/>
        </w:rPr>
        <w:t>Depreciation and amortization expense increased $0.7 million, or 7%, to $10.8 million for the three months ended September 30, 2025, from $10.1 million for the three months ended September 30, 2024. This increase in amount is primarily a result of amortization associated with capitalized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Interest Income</w:t>
      </w:r>
      <w:r>
        <w:rPr>
          <w:rFonts w:ascii="Times New Roman" w:hAnsi="Times New Roman"/>
          <w:caps w:val="false"/>
          <w:smallCaps w:val="false"/>
          <w:sz w:val="20"/>
        </w:rPr>
        <w:t>. Interest income was $0.8 million and $1.0 million for the three months ended September 30, 2025 and 2024, respectively. This decrease is a result of lower interest rates on invested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Expense, Net</w:t>
      </w:r>
      <w:r>
        <w:rPr>
          <w:rFonts w:ascii="Times New Roman" w:hAnsi="Times New Roman"/>
          <w:caps w:val="false"/>
          <w:smallCaps w:val="false"/>
          <w:sz w:val="20"/>
        </w:rPr>
        <w:t>. Other expense, net was $0.1 million and $26,000 for the three months ended September 30, 2025 and 2024, respectively. The change is primarily a result of foreign currency losses.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Income Tax Provision. </w:t>
      </w:r>
      <w:r>
        <w:rPr>
          <w:rFonts w:ascii="Times New Roman" w:hAnsi="Times New Roman"/>
          <w:caps w:val="false"/>
          <w:smallCaps w:val="false"/>
          <w:sz w:val="20"/>
        </w:rPr>
        <w:t>The Company recorded a provision for income taxes of $2.2 million for the three months ended September 30, 2025, compared to $1.8 million for the three months ended September 30, 2024. The Company’s effective tax rate was 26% for the three months ended September 30, 2025, compared to 23% for the three months ended September 30, 2024. The Company’s effective tax rate primarily reflects the statutory corporate income tax rate, the net effect of state taxes, foreign income taxes, the effect of various permanent tax differences, and recognition of discrete tax items.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Net Income. </w:t>
      </w:r>
      <w:r>
        <w:rPr>
          <w:rFonts w:ascii="Times New Roman" w:hAnsi="Times New Roman"/>
          <w:caps w:val="false"/>
          <w:smallCaps w:val="false"/>
          <w:sz w:val="20"/>
        </w:rPr>
        <w:t>Net income was $6.1 million and $5.7 million for the three months ended September 30, 2025 and 2024, respectively. EPS was $0.20 per share (diluted) and $0.19 per share (diluted) for the three months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was $19.1 million for the three months ended September 30, 2025, compared to $17.7 million for the three months ended September 30, 2024. See “Reconciliation of Non-GAAP Financial Measures” below for our reconciliation of adjusted EBITDA to the most directly comparable measure under US GAAP and disclosure regarding why we believe adjusted EBITDA provides useful information to investors.</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Nine Months Ended September 30, 2025 Compared to Nine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Revenues, net. </w:t>
      </w:r>
      <w:r>
        <w:rPr>
          <w:rFonts w:ascii="Times New Roman" w:hAnsi="Times New Roman"/>
          <w:caps w:val="false"/>
          <w:smallCaps w:val="false"/>
          <w:sz w:val="20"/>
        </w:rPr>
        <w:t>Revenues increased $6.9 million, or 3%, to $224.4 million for the nine months ended September 30, 2025 from $217.4 million for the nine months ended September 30, 2024. Subscription revenues increased $7.5 million, or 4%, compared to the nine months ended September 30, 2024. Compared to the nine months ended September 30, 2024, revenues for the nine months ended September 30, 2025 grew by approximately $14.7 million across our portfolio of solutions, partially offset by several factors, including a $5.8 million reduction from attrition in legacy applications, a $1.6 million reduction from customer bankruptcies, and a $0.4 million reduction in perpetual license sales.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comparison of revenues by revenue source is as follows (in thousands):</w:t>
      </w:r>
    </w:p>
    <w:p>
      <w:pPr>
        <w:pStyle w:val="TextBody"/>
        <w:bidi w:val="0"/>
        <w:spacing w:before="0" w:after="0"/>
        <w:ind w:left="0" w:right="0" w:hanging="0"/>
        <w:jc w:val="both"/>
        <w:rPr>
          <w:caps w:val="false"/>
          <w:smallCaps w:val="false"/>
        </w:rPr>
      </w:pPr>
      <w:r>
        <w:rPr>
          <w:caps w:val="false"/>
          <w:smallCaps w:val="false"/>
        </w:rPr>
        <w:t> </w:t>
      </w:r>
    </w:p>
    <w:tbl>
      <w:tblPr>
        <w:tblW w:w="6256" w:type="dxa"/>
        <w:jc w:val="left"/>
        <w:tblInd w:w="0" w:type="dxa"/>
        <w:tblLayout w:type="fixed"/>
        <w:tblCellMar>
          <w:top w:w="0" w:type="dxa"/>
          <w:left w:w="0" w:type="dxa"/>
          <w:bottom w:w="0" w:type="dxa"/>
          <w:right w:w="0" w:type="dxa"/>
        </w:tblCellMar>
      </w:tblPr>
      <w:tblGrid>
        <w:gridCol w:w="1745"/>
        <w:gridCol w:w="60"/>
        <w:gridCol w:w="153"/>
        <w:gridCol w:w="853"/>
        <w:gridCol w:w="227"/>
        <w:gridCol w:w="73"/>
        <w:gridCol w:w="153"/>
        <w:gridCol w:w="853"/>
        <w:gridCol w:w="227"/>
        <w:gridCol w:w="73"/>
        <w:gridCol w:w="404"/>
        <w:gridCol w:w="1250"/>
        <w:gridCol w:w="185"/>
      </w:tblGrid>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6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2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0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2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Percentage Change</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Subscription 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216,617</w:t>
            </w:r>
          </w:p>
        </w:tc>
        <w:tc>
          <w:tcPr>
            <w:tcW w:w="22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209,136</w:t>
            </w:r>
          </w:p>
        </w:tc>
        <w:tc>
          <w:tcPr>
            <w:tcW w:w="22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ind w:left="0" w:right="0" w:hanging="0"/>
              <w:jc w:val="left"/>
              <w:rPr/>
            </w:pPr>
            <w:r>
              <w:rPr/>
              <w:t> </w:t>
            </w:r>
          </w:p>
        </w:tc>
        <w:tc>
          <w:tcPr>
            <w:tcW w:w="12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services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7,738</w:t>
            </w:r>
          </w:p>
        </w:tc>
        <w:tc>
          <w:tcPr>
            <w:tcW w:w="22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8,275</w:t>
            </w:r>
          </w:p>
        </w:tc>
        <w:tc>
          <w:tcPr>
            <w:tcW w:w="22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ind w:left="0" w:right="0" w:hanging="0"/>
              <w:jc w:val="left"/>
              <w:rPr/>
            </w:pPr>
            <w:r>
              <w:rPr/>
              <w:t> </w:t>
            </w:r>
          </w:p>
        </w:tc>
        <w:tc>
          <w:tcPr>
            <w:tcW w:w="12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 net</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224,355</w:t>
            </w:r>
          </w:p>
        </w:tc>
        <w:tc>
          <w:tcPr>
            <w:tcW w:w="22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217,411</w:t>
            </w:r>
          </w:p>
        </w:tc>
        <w:tc>
          <w:tcPr>
            <w:tcW w:w="22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ind w:left="0" w:right="0" w:hanging="0"/>
              <w:jc w:val="left"/>
              <w:rPr/>
            </w:pPr>
            <w:r>
              <w:rPr/>
              <w:t> </w:t>
            </w:r>
          </w:p>
        </w:tc>
        <w:tc>
          <w:tcPr>
            <w:tcW w:w="12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Revenues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Subscription services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services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Cost of Revenues (excluding Depreciation and Amortization). </w:t>
      </w:r>
      <w:r>
        <w:rPr>
          <w:rFonts w:ascii="Times New Roman" w:hAnsi="Times New Roman"/>
          <w:caps w:val="false"/>
          <w:smallCaps w:val="false"/>
          <w:sz w:val="20"/>
        </w:rPr>
        <w:t>Cost of revenues increased $5.6 million, or 8%, to $78.4 million for the nine months ended September 30, 2025, from $72.8 million for the nine months ended September 30, 2024. Cost of revenues as a percentage of revenues were 35% and 33% for the nine months ended September 30, 2025 and 2024, respectively. The increase in amount is primarily associated with investments in several areas of our business, primarily in our platform and SaaS applications, resulting in higher cloud hosting, third-party software, labor costs, and royalties.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Product Development.</w:t>
      </w:r>
      <w:r>
        <w:rPr>
          <w:rFonts w:ascii="Times New Roman" w:hAnsi="Times New Roman"/>
          <w:caps w:val="false"/>
          <w:smallCaps w:val="false"/>
          <w:sz w:val="20"/>
        </w:rPr>
        <w:t xml:space="preserve"> Product development expenses were $36.2 million for both the nine months ended September 30, 2025 and 2024. Product development expenses as a percentage of revenues were 16% and 17% for the nine months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Sales and Marketing.</w:t>
      </w:r>
      <w:r>
        <w:rPr>
          <w:rFonts w:ascii="Times New Roman" w:hAnsi="Times New Roman"/>
          <w:caps w:val="false"/>
          <w:smallCaps w:val="false"/>
          <w:sz w:val="20"/>
        </w:rPr>
        <w:t xml:space="preserve"> Sales and marketing expenses, including personnel costs, increased $1.4 million, or 4%, to $36.1 million for the nine months ended September 30, 2025, from $34.7 million for the nine months ended September 30, 2024. Sales and marketing expenses were 16% of revenues for both the nine months ended September 30, 2025 and 2024. The increase in amount is primarily due to higher labor costs and sales commissions, partially offset by a decrease in marketing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General and Administrative.</w:t>
      </w:r>
      <w:r>
        <w:rPr>
          <w:rFonts w:ascii="Times New Roman" w:hAnsi="Times New Roman"/>
          <w:caps w:val="false"/>
          <w:smallCaps w:val="false"/>
          <w:sz w:val="20"/>
        </w:rPr>
        <w:t> General and administrative expenses decreased $2.9 million, or 11%, to $23.4 million for the nine months ended September 30, 2025, from $26.3 million for the nine months ended September 30, 2024. General and administrative expenses were 10% and 12% of revenues for the nine months ended September 30, 2025 and 2024, respectively. The decrease in amount is primarily due to sublease income associated with the office sublease that commenced during the second quarter of 2025 as noted above, coupled with bad debt expense associated with a customer bankruptcy that occurred during the nine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Depreciation and Amortization. </w:t>
      </w:r>
      <w:r>
        <w:rPr>
          <w:rFonts w:ascii="Times New Roman" w:hAnsi="Times New Roman"/>
          <w:caps w:val="false"/>
          <w:smallCaps w:val="false"/>
          <w:sz w:val="20"/>
        </w:rPr>
        <w:t>Depreciation and amortization expense increased $1.6 million, or 5%, to $32.4 million for the nine months ended September 30, 2025, from $30.8 million for the nine months ended September 30, 2024. This increase in amount is primarily a result of amortization associated with capitalized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Interest Income</w:t>
      </w:r>
      <w:r>
        <w:rPr>
          <w:rFonts w:ascii="Times New Roman" w:hAnsi="Times New Roman"/>
          <w:caps w:val="false"/>
          <w:smallCaps w:val="false"/>
          <w:sz w:val="20"/>
        </w:rPr>
        <w:t>. Interest income was $2.7 million and $2.9 million for the nine months ended September 30, 2025 and 2024, respectively. This decrease is a result of lower interest rates on invested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Expense, Net</w:t>
      </w:r>
      <w:r>
        <w:rPr>
          <w:rFonts w:ascii="Times New Roman" w:hAnsi="Times New Roman"/>
          <w:caps w:val="false"/>
          <w:smallCaps w:val="false"/>
          <w:sz w:val="20"/>
        </w:rPr>
        <w:t>. Other expense, net was $0.1 million for both the nine months ended September 30, 2025 and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Income Tax Provision. </w:t>
      </w:r>
      <w:r>
        <w:rPr>
          <w:rFonts w:ascii="Times New Roman" w:hAnsi="Times New Roman"/>
          <w:caps w:val="false"/>
          <w:smallCaps w:val="false"/>
          <w:sz w:val="20"/>
        </w:rPr>
        <w:t>The Company recorded a provision for income taxes of $4.6 million and $4.2 million for the nine months ended September 30, 2025 and 2024, respectively. The Company’s effective tax rate was 22% for both the nine months ended September 30, 2025 and 2024. The Company’s effective tax rate primarily reflects the statutory corporate income tax rate, the net effect of state taxes, foreign income taxes, the effect of various permanent tax differences, and recognition of discrete tax items.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Net Income. </w:t>
      </w:r>
      <w:r>
        <w:rPr>
          <w:rFonts w:ascii="Times New Roman" w:hAnsi="Times New Roman"/>
          <w:caps w:val="false"/>
          <w:smallCaps w:val="false"/>
          <w:sz w:val="20"/>
        </w:rPr>
        <w:t>Net income was $15.8 million and $15.1 million for the nine months ended September 30, 2025 and 2024, respectively. EPS was $0.52 per share (diluted) and $0.50 per share (diluted) for the nine months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was $52.9 million for the nine months ended September 30, 2025, compared to $50.6 million for the nine months ended September 30, 2024. See “Reconciliation of Non-GAAP Financial Measures” below for our reconciliation of adjusted EBITDA to the most directly comparable measure under US GAAP and disclosure regarding why we believe adjusted EBITDA provides useful information to investors.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Form 10-Q presents adjusted EBITDA, which is a non-GAAP financial measure used by management in analyzing our financial results and ongoing operational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order to better assess the Company’s financial results, management believes that net income before interest, income taxes, stock-based compensation, depreciation and amortization, and changes in fair value of, including gains (losses) on the sale of, non-marketable equity investments (“adjusted EBITDA”) is a useful measure for evaluating the operating performance of the Company because adjusted EBITDA reflects net income adjusted for certain GAAP accounting, non-cash, and/or non-operating items which may not, in any such case, fully reflect the underlying operating performance of our business. We believe that adjusted EBITDA is useful to investors to assess the Company’s ongoing operating performance and to compare the Company’s operating performance between periods. Additionally, certain short-term cash incentive bonuses and performance-based equity awards are based on the achievement of adjusted EBITDA (as defined in applicable bonus and equity grant documentation) targets.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is a non-GAAP financial measure and should not be considered as a measure of financial performance under GAAP. Because adjusted EBITDA is not a measurement determined in accordance with GAAP, adjusted EBITDA is susceptible to varying calculations. Accordingly, adjusted EBITDA, as presented, may not be comparable to other similarly titled measures of other companies and has limitations as an analytical tool.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reconciliation of adjusted EBITDA to the most directly comparable GAAP measure, net income, is set forth below (in thousands).</w:t>
      </w:r>
    </w:p>
    <w:p>
      <w:pPr>
        <w:pStyle w:val="TextBody"/>
        <w:bidi w:val="0"/>
        <w:spacing w:before="0" w:after="0"/>
        <w:ind w:left="0" w:right="0" w:hanging="0"/>
        <w:jc w:val="both"/>
        <w:rPr>
          <w:caps w:val="false"/>
          <w:smallCaps w:val="false"/>
        </w:rPr>
      </w:pPr>
      <w:r>
        <w:rPr>
          <w:caps w:val="false"/>
          <w:smallCaps w:val="false"/>
        </w:rPr>
        <w:t> </w:t>
      </w:r>
    </w:p>
    <w:tbl>
      <w:tblPr>
        <w:tblW w:w="9124" w:type="dxa"/>
        <w:jc w:val="left"/>
        <w:tblInd w:w="0" w:type="dxa"/>
        <w:tblLayout w:type="fixed"/>
        <w:tblCellMar>
          <w:top w:w="0" w:type="dxa"/>
          <w:left w:w="0" w:type="dxa"/>
          <w:bottom w:w="0" w:type="dxa"/>
          <w:right w:w="0" w:type="dxa"/>
        </w:tblCellMar>
      </w:tblPr>
      <w:tblGrid>
        <w:gridCol w:w="2900"/>
        <w:gridCol w:w="60"/>
        <w:gridCol w:w="241"/>
        <w:gridCol w:w="1140"/>
        <w:gridCol w:w="154"/>
        <w:gridCol w:w="115"/>
        <w:gridCol w:w="241"/>
        <w:gridCol w:w="1140"/>
        <w:gridCol w:w="80"/>
        <w:gridCol w:w="60"/>
        <w:gridCol w:w="232"/>
        <w:gridCol w:w="1095"/>
        <w:gridCol w:w="148"/>
        <w:gridCol w:w="111"/>
        <w:gridCol w:w="232"/>
        <w:gridCol w:w="1095"/>
        <w:gridCol w:w="80"/>
      </w:tblGrid>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3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3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GAAP net income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6,086</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15,808</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15,118</w:t>
            </w:r>
          </w:p>
        </w:tc>
        <w:tc>
          <w:tcPr>
            <w:tcW w:w="8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w:t>
            </w:r>
          </w:p>
        </w:tc>
        <w:tc>
          <w:tcPr>
            <w:tcW w:w="1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10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(2,676</w:t>
            </w:r>
          </w:p>
        </w:tc>
        <w:tc>
          <w:tcPr>
            <w:tcW w:w="14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10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0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0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2,166</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10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4,559</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ind w:left="0" w:right="0" w:hanging="0"/>
              <w:jc w:val="left"/>
              <w:rPr/>
            </w:pPr>
            <w:r>
              <w:rPr/>
              <w:t> </w:t>
            </w:r>
          </w:p>
        </w:tc>
        <w:tc>
          <w:tcPr>
            <w:tcW w:w="10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4,202</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0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2,734</w:t>
            </w:r>
          </w:p>
        </w:tc>
        <w:tc>
          <w:tcPr>
            <w:tcW w:w="14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0"/>
              <w:jc w:val="left"/>
              <w:rPr/>
            </w:pPr>
            <w:r>
              <w:rPr/>
              <w:t> </w:t>
            </w:r>
          </w:p>
        </w:tc>
        <w:tc>
          <w:tcPr>
            <w:tcW w:w="10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3,285</w:t>
            </w:r>
          </w:p>
        </w:tc>
        <w:tc>
          <w:tcPr>
            <w:tcW w:w="8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10,820</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32,441</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30,779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19,104</w:t>
            </w:r>
          </w:p>
        </w:tc>
        <w:tc>
          <w:tcPr>
            <w:tcW w:w="154" w:type="dxa"/>
            <w:tcBorders/>
            <w:shd w:fill="CCEEFF" w:val="clear"/>
            <w:vAlign w:val="center"/>
          </w:tcPr>
          <w:p>
            <w:pPr>
              <w:pStyle w:val="TableContents"/>
              <w:bidi w:val="0"/>
              <w:spacing w:before="0" w:after="0"/>
              <w:ind w:left="0" w:right="0" w:hanging="0"/>
              <w:jc w:val="left"/>
              <w:rPr/>
            </w:pPr>
            <w:r>
              <w:rPr/>
              <w:t> </w:t>
            </w:r>
          </w:p>
        </w:tc>
        <w:tc>
          <w:tcPr>
            <w:tcW w:w="115" w:type="dxa"/>
            <w:tcBorders/>
            <w:shd w:fill="CCEEFF" w:val="clear"/>
            <w:vAlign w:val="center"/>
          </w:tcPr>
          <w:p>
            <w:pPr>
              <w:pStyle w:val="TableContents"/>
              <w:bidi w:val="0"/>
              <w:spacing w:before="0" w:after="0"/>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52,942</w:t>
            </w:r>
          </w:p>
        </w:tc>
        <w:tc>
          <w:tcPr>
            <w:tcW w:w="148" w:type="dxa"/>
            <w:tcBorders/>
            <w:shd w:fill="CCEEFF" w:val="clear"/>
            <w:vAlign w:val="center"/>
          </w:tcPr>
          <w:p>
            <w:pPr>
              <w:pStyle w:val="TableContents"/>
              <w:bidi w:val="0"/>
              <w:spacing w:before="0" w:after="0"/>
              <w:ind w:left="0" w:right="0" w:hanging="0"/>
              <w:jc w:val="left"/>
              <w:rPr/>
            </w:pPr>
            <w:r>
              <w:rPr/>
              <w:t> </w:t>
            </w:r>
          </w:p>
        </w:tc>
        <w:tc>
          <w:tcPr>
            <w:tcW w:w="111" w:type="dxa"/>
            <w:tcBorders/>
            <w:shd w:fill="CCEEFF" w:val="clear"/>
            <w:vAlign w:val="center"/>
          </w:tcPr>
          <w:p>
            <w:pPr>
              <w:pStyle w:val="TableContents"/>
              <w:bidi w:val="0"/>
              <w:spacing w:before="0" w:after="0"/>
              <w:ind w:left="0" w:right="0" w:hanging="0"/>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50,603</w:t>
            </w:r>
          </w:p>
        </w:tc>
        <w:tc>
          <w:tcPr>
            <w:tcW w:w="8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provided by operating activities increased by $3.6 million to $50.1 million during the nine months ended September 30, 2025, from $46.5 million during the nine months ended September 30, 2024. The increase in net cash provided by operating activities is primarily due to higher cash receipts from customers during the period, resulting in a reduction to our days sales outstanding ("DSO"). Our DSO was 33 days for the third quarter of 2025 compared to 37 days for the third quarter of 2024.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income tax payments, general corporate expenses, and initial direct costs related to the sublease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was $27.0 million for the nine months ended September 30, 2025, compared to $25.9 million for the nine months ended September 30, 2024. During the nine months ended September 30, 2025, the Company invested in marketable securities of $41.4 million, made payments for capitalized software development of $21.9 million, purchased property and equipment of $3.5 million, and purchased strategic investments of $1.5 million. These uses of cash were partially offset by $41.3 million in maturities of marketable securities. During the nine months ended September 30, 2024, the Company invested in marketable securities of $51.5 million, made payments for capitalized software development of $20.1 million, and purchased property and equipment of $1.2 million. These uses of cash were partially offset by $46.2 million in maturities of marketable securities and $0.8 million received upon the settlement and release of escrowed proceeds related to a prior sale of a non-marketable equity investment.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financing activities was $29.0 million for the nine months ended September 30, 2025, compared to $3.5 million for the nine months ended September 30, 2024. The uses of cash for the nine months ended September 30, 2025 included $25.0 million for repurchases of common stock, $2.8 million for the payment of cash dividends, and $1.2 million for the payment of employee payroll taxes in relation to the vesting of restricted share units. The uses of cash for the nine months ended September 30, 2024 included $2.6 million for the payment of cash dividends and $0.9 million for the payment of employee payroll taxes in relation to the vesting of restricted share units.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balance sheet reflects working capital of $35.1 million at September 30, 2025, compared to $37.4 million at December 31, 2024. The decrease in working capital is primarily a result of a decrease in cash and cash equivalents to fund share repurchases. The Company’s primary source of liquidity as of September 30, 2025 was $53.5 million of cash and cash equivalents and $39.0 million of 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also has a $50.0 million revolving credit facility, the availability of which is subject to certain covenants and minimum liquidity requirements. There currently are no outstanding borrowings under the revolving credit facility. The revolving credit facility expires on October 6, 2026, unless earlier renewed or amended. For additional information regarding our revolving credit facility, see Note 8 to the Condensed Consolidated Financial Statements included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 xml:space="preserve">On February 20, 2023, we announced that our Board approved a quarterly dividend policy, under which we have paid dividends on a quarterly basis since our adoption of this policy. On February 24, 2025, the Board approved a quarterly cash dividend under this policy of $0.031 per share, which was paid on March 21, 2025 to holders of record of our common stock on March 10, 2025. On May 5, 2025, the Board approved a quarterly cash dividend under this policy of $0.031 per share, which was paid on May 30, 2025 to holders of record of our common stock on May 19, 2025. On August 4, 2025, the Board approved a quarterly cash dividend under this policy of $0.031 per share, which was paid on August 29, 2025 to holders of record of our common stock on August 18, 2025. In addition, on November 3, 2025, the Board approved a quarterly cash dividend under this policy of $0.031 per share, which will be payable on November 28, 2025 to holders of record of our common stock on November 17, 2025.  </w:t>
      </w:r>
    </w:p>
    <w:p>
      <w:pPr>
        <w:pStyle w:val="TextBody"/>
        <w:bidi w:val="0"/>
        <w:spacing w:before="0" w:after="0"/>
        <w:jc w:val="both"/>
        <w:rPr/>
      </w:pPr>
      <w:r>
        <w:rPr/>
        <w:t xml:space="preserve">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shd w:fill="FFFFFF" w:val="clear"/>
        </w:rPr>
        <w:t>T</w:t>
      </w:r>
      <w:r>
        <w:rPr>
          <w:rFonts w:ascii="Times New Roman;Times;serif" w:hAnsi="Times New Roman;Times;serif"/>
          <w:sz w:val="20"/>
        </w:rPr>
        <w:t xml:space="preserve">he dividend policy and the declaration and payment of each quarterly cash dividend will be subject to our Board’s continuing determination that the policy and the declaration and payment of dividends thereunder are in the best interests of our shareholders and are in compliance with applicable law and our credit agreement. Our Board retains the power to modify, suspend, or cancel the dividend policy and quarterly dividends thereunder in any manner and at any time that our Board may deem necessary or appropriate. </w:t>
      </w:r>
    </w:p>
    <w:p>
      <w:pPr>
        <w:pStyle w:val="TextBody"/>
        <w:bidi w:val="0"/>
        <w:spacing w:before="0" w:after="0"/>
        <w:jc w:val="both"/>
        <w:rPr/>
      </w:pPr>
      <w:r>
        <w:rPr/>
        <w:t xml:space="preserve">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 xml:space="preserve">On September 13, 2023, the Company announced a share repurchase program authorized by the Company’s Board of Directors under which the Company was authorized to purchase up to $10.0 million of its common stock. Pursuant to this authorization, repurchases could be made in the open market, including under a Rule 10b5-1 plan, through privately negotiated transactions, or otherwise. Under this program, during 2023, the Company repurchased 404,188 shares of common stock at an aggregate fair value of $8.9 million, reflecting an average price per share of $22.07 (excluding the cost of broker commissions). The share repurchase program expired according to its terms on March 31, 2024, and no repurchases occurred under such program during 2024. </w:t>
      </w:r>
    </w:p>
    <w:p>
      <w:pPr>
        <w:pStyle w:val="TextBody"/>
        <w:bidi w:val="0"/>
        <w:spacing w:before="0" w:after="0"/>
        <w:jc w:val="both"/>
        <w:rPr/>
      </w:pPr>
      <w:r>
        <w:rPr/>
        <w:t xml:space="preserve">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 xml:space="preserve">On May 8, 2025, the Company’s Board of Directors approved a new share repurchase program for the Company’s common stock, under which the Company was authorized to repurchase up to $25.0 million of outstanding shares of common stock. Pursuant to this authorization, the Company was authorized to make repurchases in the open market, including under a Rule 10b5-1 plan, through privately negotiated transactions, or otherwise. Under this program, during the three and nine months ended September 30, 2025, the Company repurchased 255,833 shares and 905,786 shares of common stock at an aggregate fair value of $6.9 million and $25.0 million, respectively, reflecting an average price per share of $26.94 and $27.60 (excluding the cost of broker commissions), respectively. This share repurchase program is no longer in effect as the maximum dollar amount under this program was expended during the three months ended September 30, 2025 as referenced above. </w:t>
      </w:r>
    </w:p>
    <w:p>
      <w:pPr>
        <w:pStyle w:val="TextBody"/>
        <w:bidi w:val="0"/>
        <w:spacing w:before="0" w:after="0"/>
        <w:jc w:val="both"/>
        <w:rPr/>
      </w:pPr>
      <w:r>
        <w:rPr/>
        <w:t xml:space="preserve">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 xml:space="preserve">We believe that our existing cash, cash equivalents, marketable securities, cash generated from operations, and available borrowings under our revolving credit facility will be sufficient to meet anticipated working capital needs, new product development, pay our quarterly dividends, any share repurchases we may elect to make under any future share repurchase program, and fund capital expenditures for at least the next 12 months and for the foreseeable future thereafter. </w:t>
      </w:r>
    </w:p>
    <w:p>
      <w:pPr>
        <w:pStyle w:val="TextBody"/>
        <w:bidi w:val="0"/>
        <w:spacing w:before="0" w:after="0"/>
        <w:jc w:val="both"/>
        <w:rPr/>
      </w:pPr>
      <w:r>
        <w:rPr/>
        <w:t xml:space="preserve">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 xml:space="preserve">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debt, or a combination thereof.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consolidated EBITDA (as defined in our credit facility) and an interest coverage ratio of consolidated EBITDA to interest expense. Therefore, the maximum borrowings against our new revolving credit facility would be dependent on the covenant calculations at the time of borrowing. As of September 30, 2025, we were in compliance with all covenants under our revolving credit facility. There can be no assurance that amounts available for borrowing under our revolving credit facility will be sufficient to consummate any possible acquisitions, and we cannot provide assurance that if we need additional financing, it will be available on terms favorable to us or at all. Failure to generate sufficient cash flow from operations or raise additional capital when required in sufficient amounts and on terms acceptable to us could harm our business, financial condition, and results of operations. </w:t>
      </w:r>
    </w:p>
    <w:p>
      <w:pPr>
        <w:pStyle w:val="TextBody"/>
        <w:bidi w:val="0"/>
        <w:spacing w:before="0" w:after="0"/>
        <w:jc w:val="left"/>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bookmarkStart w:id="10" w:name="qqmdr"/>
      <w:bookmarkEnd w:id="10"/>
      <w:r>
        <w:rPr>
          <w:rFonts w:ascii="Times New Roman;Times;serif" w:hAnsi="Times New Roman;Times;serif"/>
          <w:b/>
          <w:sz w:val="20"/>
        </w:rPr>
        <w:t xml:space="preserve">Item 3. </w:t>
      </w:r>
      <w:r>
        <w:rPr>
          <w:rFonts w:ascii="Times New Roman;Times;serif" w:hAnsi="Times New Roman;Times;serif"/>
          <w:b/>
          <w:i/>
          <w:sz w:val="20"/>
        </w:rPr>
        <w:t>Quantitative and Qualitative Disclosures about Market Risk</w:t>
      </w:r>
      <w:r>
        <w:rPr>
          <w:rFonts w:ascii="Times New Roman;Times;serif" w:hAnsi="Times New Roman;Times;serif"/>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exposed to market risk from changes in interest rates, foreign currency risk, and investment risk. We do not have any commodity price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September 30, 2025, and during the three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were $92.6 million at September 30, 2025. Assuming a hypothetical 10% decrease in interest rates for invested balances, interest income from cash and investments would decrease on an annualized basis by $0.3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Foreign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foreign currency risks related to our revenue and operating expenses denominated in currencies other than the US dollar, including Canadian dollar, New Zealand dollar, and Australian dollar. Increases or decreases in our foreign-denominated revenue from movements in foreign exchange rates are often partially offset by the corresponding increases or decreases in our foreign-denominated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extent that our international operations grow, our risks associated with fluctuation in currency rates will become greater, and we will continue to assess our approach to managing this risk. In addition, currency fluctuations or a weakening US dollar can increase the costs of our international operations. To date, we have not entered into any foreign currency hedging contracts although we may do so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Investment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an investment portfolio that includes strategic investments in privately held companies, which primarily include early-stage companies. We primarily invest in healthcare technology companies that we believe can help expand our ecosystem. We may continue to make these types of strategic investments as opportunities arise that we find attractive. We may experience additional volatility to our Condensed Consolidated Financial Statements due to changes in market prices, observable price changes, and impairments to our strategic investments. These changes could be material based on market conditions and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bookmarkStart w:id="11" w:name="cps"/>
      <w:bookmarkEnd w:id="11"/>
      <w:r>
        <w:rPr>
          <w:rFonts w:ascii="Times New Roman;Times;serif" w:hAnsi="Times New Roman;Times;serif"/>
          <w:b/>
          <w:sz w:val="20"/>
        </w:rPr>
        <w:t xml:space="preserve">Item 4. </w:t>
      </w:r>
      <w:r>
        <w:rPr>
          <w:rFonts w:ascii="Times New Roman;Times;serif" w:hAnsi="Times New Roman;Times;serif"/>
          <w:b/>
          <w:i/>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Form 10-Q.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was no change in HealthStream’s internal control over financial reporting that occurred during the third quarter of 2025 that has materially affected, or that is reasonably likely to materially affect, HealthStream’s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2" w:name="partii"/>
      <w:bookmarkEnd w:id="12"/>
      <w:r>
        <w:rPr>
          <w:rFonts w:ascii="Times New Roman" w:hAnsi="Times New Roman"/>
          <w:b/>
          <w:caps w:val="false"/>
          <w:smallCaps w:val="false"/>
          <w:sz w:val="20"/>
        </w:rPr>
        <w:t>PART II</w:t>
      </w:r>
      <w:r>
        <w:rPr>
          <w:rFonts w:ascii="Times New Roman" w:hAnsi="Times New Roman"/>
          <w:caps w:val="false"/>
          <w:smallCaps w:val="false"/>
          <w:sz w:val="20"/>
        </w:rPr>
        <w:t> </w:t>
        <w:noBreakHyphen/>
        <w:t xml:space="preserve"> </w:t>
      </w:r>
      <w:r>
        <w:rPr>
          <w:rFonts w:ascii="Times New Roman" w:hAnsi="Times New Roman"/>
          <w:b/>
          <w:caps w:val="false"/>
          <w:smallCaps w:val="false"/>
          <w:sz w:val="20"/>
        </w:rPr>
        <w:t xml:space="preserve">OTHER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3" w:name="Item_1_Legal_Proceedings"/>
      <w:bookmarkEnd w:id="13"/>
      <w:r>
        <w:rPr>
          <w:rFonts w:ascii="Times New Roman" w:hAnsi="Times New Roman"/>
          <w:b/>
          <w:caps w:val="false"/>
          <w:smallCaps w:val="false"/>
          <w:sz w:val="20"/>
        </w:rPr>
        <w:t xml:space="preserve">Item 1. </w:t>
      </w:r>
      <w:r>
        <w:rPr>
          <w:rFonts w:ascii="Times New Roman" w:hAnsi="Times New Roman"/>
          <w:b/>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4" w:name="risks"/>
      <w:bookmarkEnd w:id="14"/>
      <w:r>
        <w:rPr>
          <w:rFonts w:ascii="Times New Roman" w:hAnsi="Times New Roman"/>
          <w:b/>
          <w:caps w:val="false"/>
          <w:smallCaps w:val="false"/>
          <w:sz w:val="20"/>
        </w:rPr>
        <w:t xml:space="preserve">Item 1A. </w:t>
      </w:r>
      <w:r>
        <w:rPr>
          <w:rFonts w:ascii="Times New Roman" w:hAnsi="Times New Roman"/>
          <w:b/>
          <w:i/>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to the risk factors previously disclosed in Part I, Item 1A of the 2024 Form 10-K, except as set forth below: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Our Business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have been impacted, and may continue to be adversely impacted, by unfavorable conditions and uncertainty impacting the healthcare industry and the U.S. economy more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Macroeconomic conditions in the U.S. continue to be challenging in certain respects, driven by, among other things, persistent inflationary pressures, ongoing elevated interest rate levels, ongoing policy-related uncertainty, lower consumer sentiment levels compared to recent periods, heightened geopolitical tensions, including as a result of ongoing conflicts abroad and strained global trade relations. Additional challenges related to macroeconomic conditions in the U.S. that are impacting or may impact healthcare more directly include current or potential policy and regulatory decisions to reduce government funding for certain healthcare provider organizations or programs, tariff-related policies that impact goods and services on which healthcare organizations rely, and uncertainty around reduction to payment rates, including through cuts to Medicaid or other payment programs, and loss of insurance coverage by individuals. These conditions have, among other things, limited our ability to forecast future demand for our products and services, contributed to increased volatility in customer demand, and could constrain future access to capital for ourselves, our suppliers, customers, and partners. Moreover, while inflation has decreased in comparison to recent periods, we have experienced, and believe that many of our customers have experienced, increased labor, supply chain, capital, and other expenditures associated with inflationary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sell our products and services to large, mid-sized, and small healthcare organizations whose businesses fluctuate based on general economic and business conditions. As such, our operating results may vary based on the level of demand for our solutions by healthcare organizations and the impact of changes in our industry or the economy on us or our clients. For example, we have recently experienced a decrease in demand for certain of our solutions, such as health equity and belonging content, that may be viewed as a more elective type of offering by some of our customers. In addition, a portion of our revenue is attributable to the number of users of our products at each of our clients, which in turn is influenced by the employment and hiring patterns of our clients and potential clients. To the extent that economic uncertainty or weak economic conditions cause our clients and potential clients to freeze or reduce their headcount or operations, demand for our products may be negatively affected. Moreover, current economic conditions and uncertainty have resulted in and may continue to result in overall reductions in spending by some healthcare providers as well as pressure from some clients and potential clients for extended payment terms. If current economic conditions deteriorate, our clients and potential clients may elect to decrease their budgets for our solutions by deferring or reconsidering purchases or could file for bankruptcy, which has occurred from time to time. Such budget decreases or bankruptcy filings would limit our ability to grow our business and negatively affect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Economic, regulatory, policy, or other recent developments that adversely or disproportionately impact the healthcare industry may reduce spending on information technology by healthcare organizations and otherwise adversely affect our customer base and our financial results. Healthcare organizations continue to face labor shortages, elevated wage and operating costs, and ongoing uncertainty regarding reimbursement levels. Furthermore, the margins of many healthcare providers are modest, and potential decreases in reimbursement for healthcare costs – whether due to federal or state budgetary constraints, deficit reduction initiatives, reduction or elimination of programs such the 340B Drug Pricing Program, reduction of insurance coverage readily available to individuals, or changes to Medicare and/or Medicaid policy – may reduce the overall solvency of our customers or cause further deterioration in their financial or business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U.S. government has recently imposed or increased tariffs on imported foreign goods and may increase tariffs or impose additional tariffs. Trade policies and tariffs affecting imported medical equipment, technology components, and other healthcare-related infrastructure have the potential to increase costs for healthcare organizations, which may reduce demand for our products and adversely impact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Moreover, budget pressures at the federal and state levels have had and may continue to have a negative impact on spending for many health and human services programs, including Medicare and Medicaid, which represent significant payor sources for our customers. In particular, the federal budget reconciliation legislation enacted on July 4, 2025 includes significant policy changes that may adversely impact healthcare provider organizations, including changes that are expected to decrease access to health insurance and result in significant cuts to federal healthcare spending, particularly within the Medicaid program. Moreover, we anticipate that federal and state budget deficits combined with growing governmental healthcare expenditures will continue to place pressure on governmental healthcare programs. Any actual or potential reductions in government healthcare spending or reduction to readily available health insurance coverage for individuals could result in reduced demand for our products or heightened pricing pressure. Additionally, the federal government entered a partial shutdown effective October 1, 2025, which may result in delays in or uncertainty of payments for services rendered by our healthcare customers, which could decrease the demand for our products from such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enhanced premium tax credits for individuals eligible to purchase insurance coverage through federal and state-based health insurance marketplaces are scheduled to expire at the end of 2025, and further extension is uncertain. If these tax credits are not extended, this could reduce insurance coverage levels and indirectly influence the budgets of our healthcare customers in a manner that adversely impacts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Further, there is ongoing uncertainty regarding the federal budget and federal spending levels, including the possible impacts of a failure to increase the “debt ceiling” and any possible U.S. governmental default on its debt. Additionally, the current presidential administration earlier this year implemented the "Department of Government Efficiency" ("DOGE"), an advisory commission focused on restructuring and streamlining government agencies and reducing or eliminating regulations and federal government programs and other expenditures, which has also given rise to separate efforts at the state level to reduce government spending. In March 2025, in accordance with the DOGE Workforce Optimization Initiative, HHS announced a significant agency restructuring, reducing the HHS workforce and consolidating divisions of the agency. Pressures on and uncertainty surrounding the U.S. federal and state annual appropriations, lapses in appropriations, holds on congressionally authorized spending, or interruptions in the distribution of governmental funds, could adversely affect our financial results due to the reliance of many of our customers on payments from third-party healthcare payors, including Medicare, Medicaid, and other government-sponsored programs.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conditions and uncertainties impacting the healthcare industry and our healthcare customers as described above have adversely affected, and may continue to adversely impact, our business and results of operations, including by lengthening sales cycles, increasing pricing sensitivity, and delaying investment decisions among our customers and potential customers. Moreover, if economic or conditions impacting the healthcare industry or U.S. economy significantly deteriorate, our results of operations, financial position, and/or cash flows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5" w:name="Item_2_Sales_of_Equity"/>
      <w:bookmarkEnd w:id="15"/>
      <w:r>
        <w:rPr>
          <w:rFonts w:ascii="Times New Roman" w:hAnsi="Times New Roman"/>
          <w:b/>
          <w:caps w:val="false"/>
          <w:smallCaps w:val="false"/>
          <w:sz w:val="20"/>
        </w:rPr>
        <w:t xml:space="preserve">Item 2. </w:t>
      </w:r>
      <w:r>
        <w:rPr>
          <w:rFonts w:ascii="Times New Roman" w:hAnsi="Times New Roman"/>
          <w:b/>
          <w:i/>
          <w:caps w:val="false"/>
          <w:smallCaps w:val="false"/>
          <w:sz w:val="20"/>
        </w:rPr>
        <w:t>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8, 2025, the Company’s Board of Directors approved a share repurchase program for the Company’s common stock, under which the Company was authorized to repurchase up to $25.0 million of outstanding shares of common stock. Pursuant to the authorization, the Company was authorized to make repurchases in the open market, including under a Rule 10b5-1 plan, through privately negotiated transactions, or otherwise. Under this program, during the three and nine months ended September 30, 2025, the Company repurchased 255,833 shares and 905,786 shares of common stock at an aggregate fair value of $6.9 million and $25.0 million, respectively, reflecting an average price per share of $26.94 and $27.60 (excluding the cost of broker commissions), respectively. This share repurchase program is no longer in effect as the maximum dollar amount under this program was expended during the three months ended September 30, 2025 as referenced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presents information with respect to HealthStream's repurchases of common stock during the three months ended September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7"/>
        <w:gridCol w:w="60"/>
        <w:gridCol w:w="113"/>
        <w:gridCol w:w="1316"/>
        <w:gridCol w:w="60"/>
        <w:gridCol w:w="60"/>
        <w:gridCol w:w="258"/>
        <w:gridCol w:w="1001"/>
        <w:gridCol w:w="60"/>
        <w:gridCol w:w="60"/>
        <w:gridCol w:w="159"/>
        <w:gridCol w:w="2280"/>
        <w:gridCol w:w="60"/>
        <w:gridCol w:w="60"/>
        <w:gridCol w:w="1018"/>
        <w:gridCol w:w="2119"/>
        <w:gridCol w:w="64"/>
      </w:tblGrid>
      <w:tr>
        <w:trPr/>
        <w:tc>
          <w:tcPr>
            <w:tcW w:w="145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 Total number of shares (or units) purchased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 Average price paid per share (or unit)(1)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 Total number of shares (or units) purchased as part of publicly announced plans or programs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 Maximum number (or approximate dollar value) of shares (or units) that may yet be purchased under the plans or programs</w:t>
            </w:r>
          </w:p>
        </w:tc>
        <w:tc>
          <w:tcPr>
            <w:tcW w:w="64" w:type="dxa"/>
            <w:tcBorders/>
            <w:shd w:fill="FFFFFF" w:val="clear"/>
            <w:vAlign w:val="center"/>
          </w:tcPr>
          <w:p>
            <w:pPr>
              <w:pStyle w:val="TableContents"/>
              <w:bidi w:val="0"/>
              <w:spacing w:before="0" w:after="283"/>
              <w:jc w:val="left"/>
              <w:rPr/>
            </w:pPr>
            <w:r>
              <w:rPr/>
              <w:t> </w:t>
            </w:r>
          </w:p>
        </w:tc>
      </w:tr>
      <w:tr>
        <w:trPr/>
        <w:tc>
          <w:tcPr>
            <w:tcW w:w="14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Month #1 (July 1 - July 31)</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255,833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2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6,891,813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19"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r>
      <w:tr>
        <w:trPr/>
        <w:tc>
          <w:tcPr>
            <w:tcW w:w="14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Month #2 (August 1 - August 31)</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131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228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ind w:left="0" w:right="0" w:hanging="0"/>
              <w:jc w:val="left"/>
              <w:rPr/>
            </w:pPr>
            <w:r>
              <w:rPr/>
              <w:t> </w:t>
            </w:r>
          </w:p>
        </w:tc>
        <w:tc>
          <w:tcPr>
            <w:tcW w:w="2119" w:type="dxa"/>
            <w:tcBorders/>
            <w:shd w:fill="FFFFFF" w:val="cle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r>
      <w:tr>
        <w:trPr/>
        <w:tc>
          <w:tcPr>
            <w:tcW w:w="145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Month #3 (September 1 - September 30)</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r>
      <w:tr>
        <w:trPr/>
        <w:tc>
          <w:tcPr>
            <w:tcW w:w="145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6,891,813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(1) The weighted average price paid per share of common stock does not include the cost of broker commissions.</w:t>
      </w:r>
    </w:p>
    <w:p>
      <w:pPr>
        <w:pStyle w:val="TextBody"/>
        <w:bidi w:val="0"/>
        <w:spacing w:before="0" w:after="283"/>
        <w:jc w:val="left"/>
        <w:rPr/>
      </w:pPr>
      <w:r>
        <w:rPr/>
        <w:t xml:space="preserve">  </w:t>
      </w:r>
    </w:p>
    <w:p>
      <w:pPr>
        <w:pStyle w:val="TextBody"/>
        <w:bidi w:val="0"/>
        <w:spacing w:before="0" w:after="0"/>
        <w:ind w:left="0" w:right="0" w:hanging="0"/>
        <w:jc w:val="both"/>
        <w:rPr/>
      </w:pPr>
      <w:bookmarkStart w:id="16" w:name="Item_5_Other_Info"/>
      <w:bookmarkEnd w:id="16"/>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w:t>
      </w:r>
      <w:r>
        <w:rPr>
          <w:rFonts w:ascii="Times New Roman" w:hAnsi="Times New Roman"/>
          <w:b/>
          <w:i/>
          <w:caps w:val="false"/>
          <w:smallCaps w:val="false"/>
          <w:sz w:val="20"/>
        </w:rPr>
        <w:t>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None. Without limiting the generality of the foregoing,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director or officer of the Company adopted or terminated any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any “non-Rule </w:t>
      </w:r>
      <w:r>
        <w:rPr>
          <w:rStyle w:val="Emphasis"/>
          <w:rFonts w:ascii="Times New Roman" w:hAnsi="Times New Roman"/>
          <w:caps w:val="false"/>
          <w:smallCaps w:val="false"/>
          <w:sz w:val="20"/>
        </w:rPr>
        <w:t>10b</w:t>
      </w:r>
      <w:r>
        <w:rPr>
          <w:rFonts w:ascii="Times New Roman" w:hAnsi="Times New Roman"/>
          <w:caps w:val="false"/>
          <w:smallCaps w:val="false"/>
          <w:sz w:val="20"/>
        </w:rPr>
        <w:t>-</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trading arrangement,” as such terms are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 of Regulation S-K.</w:t>
      </w:r>
    </w:p>
    <w:p>
      <w:pPr>
        <w:pStyle w:val="TextBody"/>
        <w:bidi w:val="0"/>
        <w:spacing w:before="0" w:after="283"/>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7" w:name="exs"/>
      <w:bookmarkEnd w:id="17"/>
      <w:r>
        <w:rPr>
          <w:rFonts w:ascii="Times New Roman" w:hAnsi="Times New Roman"/>
          <w:b/>
          <w:caps w:val="false"/>
          <w:smallCaps w:val="false"/>
          <w:sz w:val="20"/>
        </w:rPr>
        <w:t xml:space="preserve">Item 6. </w:t>
      </w:r>
      <w:r>
        <w:rPr>
          <w:rFonts w:ascii="Times New Roman" w:hAnsi="Times New Roman"/>
          <w:b/>
          <w:i/>
          <w:caps w:val="false"/>
          <w:smallCaps w:val="false"/>
          <w:sz w:val="20"/>
        </w:rPr>
        <w:t xml:space="preserve">Exhibits </w:t>
      </w:r>
    </w:p>
    <w:p>
      <w:pPr>
        <w:pStyle w:val="TextBody"/>
        <w:bidi w:val="0"/>
        <w:spacing w:before="0" w:after="0"/>
        <w:ind w:left="0" w:right="0" w:hanging="0"/>
        <w:jc w:val="left"/>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60"/>
        <w:gridCol w:w="230"/>
        <w:gridCol w:w="71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7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1"/>
        <w:gridCol w:w="9444"/>
      </w:tblGrid>
      <w:tr>
        <w:trPr/>
        <w:tc>
          <w:tcPr>
            <w:tcW w:w="7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31.1</w:t>
            </w:r>
          </w:p>
        </w:tc>
        <w:tc>
          <w:tcPr>
            <w:tcW w:w="9444" w:type="dxa"/>
            <w:tcBorders/>
            <w:vAlign w:val="center"/>
          </w:tcPr>
          <w:p>
            <w:pPr>
              <w:pStyle w:val="TableContents"/>
              <w:bidi w:val="0"/>
              <w:spacing w:before="0" w:after="0"/>
              <w:ind w:left="0" w:right="0" w:hanging="0"/>
              <w:jc w:val="both"/>
              <w:rPr/>
            </w:pPr>
            <w:hyperlink w:anchor="ex_854732.htm">
              <w:r>
                <w:rPr>
                  <w:rStyle w:val="InternetLink"/>
                  <w:rFonts w:ascii="Times New Roman" w:hAnsi="Times New Roman"/>
                  <w:caps w:val="false"/>
                  <w:smallCaps w:val="false"/>
                  <w:sz w:val="20"/>
                </w:rPr>
                <w:t>Certification of the Chief Executive Officer Pursuant to Section 302 of the Sarbanes-Oxley Act of 2002</w:t>
              </w:r>
            </w:hyperlink>
          </w:p>
        </w:tc>
      </w:tr>
      <w:tr>
        <w:trPr/>
        <w:tc>
          <w:tcPr>
            <w:tcW w:w="7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31.2</w:t>
            </w:r>
          </w:p>
        </w:tc>
        <w:tc>
          <w:tcPr>
            <w:tcW w:w="9444" w:type="dxa"/>
            <w:tcBorders/>
            <w:vAlign w:val="center"/>
          </w:tcPr>
          <w:p>
            <w:pPr>
              <w:pStyle w:val="TableContents"/>
              <w:bidi w:val="0"/>
              <w:spacing w:before="0" w:after="0"/>
              <w:ind w:left="0" w:right="0" w:hanging="0"/>
              <w:jc w:val="both"/>
              <w:rPr/>
            </w:pPr>
            <w:hyperlink w:anchor="ex_854733.htm">
              <w:r>
                <w:rPr>
                  <w:rStyle w:val="InternetLink"/>
                  <w:rFonts w:ascii="Times New Roman" w:hAnsi="Times New Roman"/>
                  <w:caps w:val="false"/>
                  <w:smallCaps w:val="false"/>
                  <w:sz w:val="20"/>
                </w:rPr>
                <w:t>Certification of the Principal Financial Officer Pursuant to Section 302 of the Sarbanes-Oxley Act of 2002</w:t>
              </w:r>
            </w:hyperlink>
          </w:p>
        </w:tc>
      </w:tr>
      <w:tr>
        <w:trPr/>
        <w:tc>
          <w:tcPr>
            <w:tcW w:w="7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32.1</w:t>
            </w:r>
          </w:p>
        </w:tc>
        <w:tc>
          <w:tcPr>
            <w:tcW w:w="9444" w:type="dxa"/>
            <w:tcBorders/>
            <w:vAlign w:val="center"/>
          </w:tcPr>
          <w:p>
            <w:pPr>
              <w:pStyle w:val="TableContents"/>
              <w:bidi w:val="0"/>
              <w:spacing w:before="0" w:after="0"/>
              <w:ind w:left="0" w:right="0" w:hanging="0"/>
              <w:jc w:val="both"/>
              <w:rPr/>
            </w:pPr>
            <w:hyperlink w:anchor="ex_854734.htm">
              <w:r>
                <w:rPr>
                  <w:rStyle w:val="InternetLink"/>
                  <w:rFonts w:ascii="Times New Roman" w:hAnsi="Times New Roman"/>
                  <w:caps w:val="false"/>
                  <w:smallCaps w:val="false"/>
                  <w:sz w:val="20"/>
                </w:rPr>
                <w:t>Certification Pursuant to 18 U.S.C. Section 1350, as Adopted Pursuant to Section 906 of the Sarbanes-Oxley Act of 2002</w:t>
              </w:r>
            </w:hyperlink>
          </w:p>
        </w:tc>
      </w:tr>
      <w:tr>
        <w:trPr/>
        <w:tc>
          <w:tcPr>
            <w:tcW w:w="7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32.2</w:t>
            </w:r>
          </w:p>
        </w:tc>
        <w:tc>
          <w:tcPr>
            <w:tcW w:w="9444" w:type="dxa"/>
            <w:tcBorders/>
            <w:vAlign w:val="center"/>
          </w:tcPr>
          <w:p>
            <w:pPr>
              <w:pStyle w:val="TableContents"/>
              <w:bidi w:val="0"/>
              <w:spacing w:before="0" w:after="0"/>
              <w:ind w:left="0" w:right="0" w:hanging="0"/>
              <w:jc w:val="both"/>
              <w:rPr/>
            </w:pPr>
            <w:hyperlink w:anchor="ex_854735.htm">
              <w:r>
                <w:rPr>
                  <w:rStyle w:val="InternetLink"/>
                  <w:rFonts w:ascii="Times New Roman" w:hAnsi="Times New Roman"/>
                  <w:caps w:val="false"/>
                  <w:smallCaps w:val="false"/>
                  <w:sz w:val="20"/>
                </w:rPr>
                <w:t>Certification Pursuant to 18 U.S.C. Section 1350, as Adopted Pursuant to Section 906 of the Sarbanes-Oxley Act of 2002</w:t>
              </w:r>
            </w:hyperlink>
          </w:p>
        </w:tc>
      </w:tr>
      <w:tr>
        <w:trPr/>
        <w:tc>
          <w:tcPr>
            <w:tcW w:w="7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INS</w:t>
            </w:r>
          </w:p>
        </w:tc>
        <w:tc>
          <w:tcPr>
            <w:tcW w:w="94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Instance Document – The instant document does not appear in the Interactive Data File because its XBRL tags are embedded within the Inline XBRL document.</w:t>
            </w:r>
          </w:p>
        </w:tc>
      </w:tr>
      <w:tr>
        <w:trPr/>
        <w:tc>
          <w:tcPr>
            <w:tcW w:w="7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SCH</w:t>
            </w:r>
          </w:p>
        </w:tc>
        <w:tc>
          <w:tcPr>
            <w:tcW w:w="94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Schema</w:t>
            </w:r>
          </w:p>
        </w:tc>
      </w:tr>
      <w:tr>
        <w:trPr/>
        <w:tc>
          <w:tcPr>
            <w:tcW w:w="7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CAL</w:t>
            </w:r>
          </w:p>
        </w:tc>
        <w:tc>
          <w:tcPr>
            <w:tcW w:w="94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w:t>
            </w:r>
          </w:p>
        </w:tc>
      </w:tr>
      <w:tr>
        <w:trPr/>
        <w:tc>
          <w:tcPr>
            <w:tcW w:w="7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DEF</w:t>
            </w:r>
          </w:p>
        </w:tc>
        <w:tc>
          <w:tcPr>
            <w:tcW w:w="94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w:t>
            </w:r>
          </w:p>
        </w:tc>
      </w:tr>
      <w:tr>
        <w:trPr/>
        <w:tc>
          <w:tcPr>
            <w:tcW w:w="7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LAB</w:t>
            </w:r>
          </w:p>
        </w:tc>
        <w:tc>
          <w:tcPr>
            <w:tcW w:w="94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Label Linkbase</w:t>
            </w:r>
          </w:p>
        </w:tc>
      </w:tr>
      <w:tr>
        <w:trPr/>
        <w:tc>
          <w:tcPr>
            <w:tcW w:w="7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PRE</w:t>
            </w:r>
          </w:p>
        </w:tc>
        <w:tc>
          <w:tcPr>
            <w:tcW w:w="94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w:t>
            </w:r>
          </w:p>
        </w:tc>
      </w:tr>
      <w:tr>
        <w:trPr/>
        <w:tc>
          <w:tcPr>
            <w:tcW w:w="761" w:type="dxa"/>
            <w:tcBorders/>
            <w:vAlign w:val="center"/>
          </w:tcPr>
          <w:p>
            <w:pPr>
              <w:pStyle w:val="TableContents"/>
              <w:bidi w:val="0"/>
              <w:spacing w:before="0" w:after="283"/>
              <w:jc w:val="left"/>
              <w:rPr/>
            </w:pPr>
            <w:r>
              <w:rPr/>
              <w:t>104</w:t>
            </w:r>
          </w:p>
        </w:tc>
        <w:tc>
          <w:tcPr>
            <w:tcW w:w="9444" w:type="dxa"/>
            <w:tcBorders/>
            <w:vAlign w:val="center"/>
          </w:tcPr>
          <w:p>
            <w:pPr>
              <w:pStyle w:val="TableContents"/>
              <w:bidi w:val="0"/>
              <w:spacing w:before="0" w:after="283"/>
              <w:jc w:val="left"/>
              <w:rPr/>
            </w:pPr>
            <w:r>
              <w:rPr/>
              <w:t>The cover page from the Company’s Quarterly Report on Form 10-Q for the quarter ended September 30, 2025, has been formatted in Inline XBRL</w:t>
            </w:r>
          </w:p>
        </w:tc>
      </w:tr>
      <w:tr>
        <w:trPr/>
        <w:tc>
          <w:tcPr>
            <w:tcW w:w="761" w:type="dxa"/>
            <w:tcBorders/>
            <w:vAlign w:val="center"/>
          </w:tcPr>
          <w:p>
            <w:pPr>
              <w:pStyle w:val="TableContents"/>
              <w:bidi w:val="0"/>
              <w:spacing w:before="0" w:after="283"/>
              <w:jc w:val="left"/>
              <w:rPr/>
            </w:pPr>
            <w:r>
              <w:rPr/>
              <w:t>^</w:t>
            </w:r>
          </w:p>
        </w:tc>
        <w:tc>
          <w:tcPr>
            <w:tcW w:w="9444" w:type="dxa"/>
            <w:tcBorders/>
            <w:vAlign w:val="center"/>
          </w:tcPr>
          <w:p>
            <w:pPr>
              <w:pStyle w:val="TableContents"/>
              <w:bidi w:val="0"/>
              <w:spacing w:before="0" w:after="283"/>
              <w:jc w:val="left"/>
              <w:rPr/>
            </w:pPr>
            <w:r>
              <w:rPr/>
              <w:t>Management contract or compensatory plan or arrangement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8" w:name="sigs"/>
      <w:bookmarkEnd w:id="18"/>
      <w:r>
        <w:rPr>
          <w:rFonts w:ascii="Times New Roman" w:hAnsi="Times New Roman"/>
          <w:b/>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065" w:type="dxa"/>
        <w:jc w:val="left"/>
        <w:tblInd w:w="0" w:type="dxa"/>
        <w:tblLayout w:type="fixed"/>
        <w:tblCellMar>
          <w:top w:w="0" w:type="dxa"/>
          <w:left w:w="0" w:type="dxa"/>
          <w:bottom w:w="0" w:type="dxa"/>
          <w:right w:w="0" w:type="dxa"/>
        </w:tblCellMar>
      </w:tblPr>
      <w:tblGrid>
        <w:gridCol w:w="1805"/>
        <w:gridCol w:w="320"/>
        <w:gridCol w:w="60"/>
        <w:gridCol w:w="1880"/>
      </w:tblGrid>
      <w:tr>
        <w:trPr/>
        <w:tc>
          <w:tcPr>
            <w:tcW w:w="1805" w:type="dxa"/>
            <w:tcBorders/>
            <w:vAlign w:val="center"/>
          </w:tcPr>
          <w:p>
            <w:pPr>
              <w:pStyle w:val="TableContents"/>
              <w:bidi w:val="0"/>
              <w:spacing w:before="0" w:after="283"/>
              <w:jc w:val="left"/>
              <w:rPr/>
            </w:pPr>
            <w:r>
              <w:rPr/>
              <w:t> </w:t>
            </w:r>
          </w:p>
        </w:tc>
        <w:tc>
          <w:tcPr>
            <w:tcW w:w="2260" w:type="dxa"/>
            <w:gridSpan w:val="3"/>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 INC.</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November 6, 2025</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60" w:type="dxa"/>
            <w:tcBorders/>
            <w:vAlign w:val="center"/>
          </w:tcPr>
          <w:p>
            <w:pPr>
              <w:pStyle w:val="TableContents"/>
              <w:bidi w:val="0"/>
              <w:spacing w:before="0" w:after="283"/>
              <w:jc w:val="left"/>
              <w:rPr/>
            </w:pPr>
            <w:r>
              <w:rPr/>
              <w:t> </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Scott A. Roberts</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Scott A. Roberts</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22 </w:t>
      </w:r>
    </w:p>
    <w:p>
      <w:pPr>
        <w:pStyle w:val="TextBody"/>
        <w:bidi w:val="0"/>
        <w:spacing w:before="0" w:after="0"/>
        <w:ind w:left="0" w:right="0" w:hanging="0"/>
        <w:jc w:val="right"/>
        <w:rPr>
          <w:rFonts w:ascii="Times New Roman" w:hAnsi="Times New Roman"/>
          <w:caps w:val="false"/>
          <w:smallCaps w:val="false"/>
          <w:sz w:val="20"/>
        </w:rPr>
      </w:pPr>
      <w:bookmarkStart w:id="19" w:name="ex_854732.htm"/>
      <w:bookmarkStart w:id="20" w:name="ksex_854732"/>
      <w:bookmarkEnd w:id="19"/>
      <w:bookmarkEnd w:id="20"/>
      <w:r>
        <w:rPr>
          <w:rFonts w:ascii="Times New Roman" w:hAnsi="Times New Roman"/>
          <w:caps w:val="false"/>
          <w:smallCaps w:val="false"/>
          <w:sz w:val="20"/>
        </w:rPr>
        <w:t>EXHIBIT 31.1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Robert A. Frist, Jr.,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HealthStream,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045" w:type="dxa"/>
        <w:jc w:val="left"/>
        <w:tblInd w:w="0" w:type="dxa"/>
        <w:tblLayout w:type="fixed"/>
        <w:tblCellMar>
          <w:top w:w="0" w:type="dxa"/>
          <w:left w:w="0" w:type="dxa"/>
          <w:bottom w:w="28" w:type="dxa"/>
          <w:right w:w="0" w:type="dxa"/>
        </w:tblCellMar>
      </w:tblPr>
      <w:tblGrid>
        <w:gridCol w:w="2000"/>
        <w:gridCol w:w="60"/>
        <w:gridCol w:w="1985"/>
      </w:tblGrid>
      <w:tr>
        <w:trPr/>
        <w:tc>
          <w:tcPr>
            <w:tcW w:w="200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November 6, 2025</w:t>
            </w:r>
          </w:p>
        </w:tc>
        <w:tc>
          <w:tcPr>
            <w:tcW w:w="60" w:type="dxa"/>
            <w:tcBorders>
              <w:bottom w:val="single" w:sz="2" w:space="0" w:color="000000"/>
            </w:tcBorders>
            <w:vAlign w:val="center"/>
          </w:tcPr>
          <w:p>
            <w:pPr>
              <w:pStyle w:val="TableContents"/>
              <w:bidi w:val="0"/>
              <w:spacing w:before="0" w:after="283"/>
              <w:jc w:val="both"/>
              <w:rPr/>
            </w:pPr>
            <w:r>
              <w:rPr/>
              <w:t> </w:t>
            </w:r>
          </w:p>
        </w:tc>
        <w:tc>
          <w:tcPr>
            <w:tcW w:w="198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smallCaps/>
                <w:sz w:val="20"/>
              </w:rPr>
              <w:t>Robert A. Frist, Jr.</w:t>
            </w:r>
          </w:p>
        </w:tc>
      </w:tr>
      <w:tr>
        <w:trPr/>
        <w:tc>
          <w:tcPr>
            <w:tcW w:w="20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98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A. Frist, Jr.</w:t>
            </w:r>
          </w:p>
        </w:tc>
      </w:tr>
      <w:tr>
        <w:trPr/>
        <w:tc>
          <w:tcPr>
            <w:tcW w:w="20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98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1" w:name="ex_854733.htm"/>
      <w:bookmarkStart w:id="22" w:name="ksex_854733"/>
      <w:bookmarkEnd w:id="21"/>
      <w:bookmarkEnd w:id="22"/>
      <w:r>
        <w:rPr>
          <w:rFonts w:ascii="Times New Roman" w:hAnsi="Times New Roman"/>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Scott A. Roberts,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HealthStream,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940" w:type="dxa"/>
        <w:jc w:val="left"/>
        <w:tblInd w:w="0" w:type="dxa"/>
        <w:tblLayout w:type="fixed"/>
        <w:tblCellMar>
          <w:top w:w="0" w:type="dxa"/>
          <w:left w:w="0" w:type="dxa"/>
          <w:bottom w:w="28" w:type="dxa"/>
          <w:right w:w="0" w:type="dxa"/>
        </w:tblCellMar>
      </w:tblPr>
      <w:tblGrid>
        <w:gridCol w:w="2000"/>
        <w:gridCol w:w="60"/>
        <w:gridCol w:w="1880"/>
      </w:tblGrid>
      <w:tr>
        <w:trPr/>
        <w:tc>
          <w:tcPr>
            <w:tcW w:w="200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November 6, 2025</w:t>
            </w:r>
          </w:p>
        </w:tc>
        <w:tc>
          <w:tcPr>
            <w:tcW w:w="60" w:type="dxa"/>
            <w:tcBorders>
              <w:bottom w:val="single" w:sz="2" w:space="0" w:color="000000"/>
            </w:tcBorders>
            <w:vAlign w:val="center"/>
          </w:tcPr>
          <w:p>
            <w:pPr>
              <w:pStyle w:val="TableContents"/>
              <w:bidi w:val="0"/>
              <w:spacing w:before="0" w:after="283"/>
              <w:jc w:val="both"/>
              <w:rPr/>
            </w:pPr>
            <w:r>
              <w:rPr/>
              <w:t> </w:t>
            </w:r>
          </w:p>
        </w:tc>
        <w:tc>
          <w:tcPr>
            <w:tcW w:w="188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smallCaps/>
                <w:sz w:val="20"/>
              </w:rPr>
              <w:t>Scott A. Roberts</w:t>
            </w:r>
          </w:p>
        </w:tc>
      </w:tr>
      <w:tr>
        <w:trPr/>
        <w:tc>
          <w:tcPr>
            <w:tcW w:w="20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8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Scott A. Roberts</w:t>
            </w:r>
          </w:p>
        </w:tc>
      </w:tr>
      <w:tr>
        <w:trPr/>
        <w:tc>
          <w:tcPr>
            <w:tcW w:w="20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8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caps w:val="false"/>
          <w:smallCaps w:val="false"/>
          <w:sz w:val="20"/>
        </w:rPr>
      </w:pPr>
      <w:bookmarkStart w:id="23" w:name="ex_854734.htm"/>
      <w:bookmarkStart w:id="24" w:name="ksex_854734"/>
      <w:bookmarkEnd w:id="23"/>
      <w:bookmarkEnd w:id="24"/>
      <w:r>
        <w:rPr>
          <w:rFonts w:ascii="Times New Roman" w:hAnsi="Times New Roman"/>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of HealthStream, Inc. (the “Company”) on Form 10-Q for the period ending </w:t>
      </w:r>
      <w:bookmarkStart w:id="25" w:name="led176023F2021891631222411188"/>
      <w:bookmarkEnd w:id="25"/>
      <w:r>
        <w:rPr>
          <w:rFonts w:ascii="Times New Roman" w:hAnsi="Times New Roman"/>
          <w:caps w:val="false"/>
          <w:smallCaps w:val="false"/>
          <w:sz w:val="20"/>
        </w:rPr>
        <w:t>September 30, 2025, as filed with the Securities and Exchange Commission on the date hereof (the “Report”), Robert A. Frist, Jr., Chief Executive Officer of the Company, certifies,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28" w:type="dxa"/>
          <w:right w:w="0" w:type="dxa"/>
        </w:tblCellMar>
      </w:tblPr>
      <w:tblGrid>
        <w:gridCol w:w="1985"/>
      </w:tblGrid>
      <w:tr>
        <w:trPr/>
        <w:tc>
          <w:tcPr>
            <w:tcW w:w="198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smallCaps/>
                <w:sz w:val="20"/>
              </w:rPr>
              <w:t>Robert A. Frist, Jr.</w:t>
            </w:r>
          </w:p>
        </w:tc>
      </w:tr>
      <w:tr>
        <w:trPr/>
        <w:tc>
          <w:tcPr>
            <w:tcW w:w="198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A. Frist, Jr.</w:t>
            </w:r>
          </w:p>
        </w:tc>
      </w:tr>
      <w:tr>
        <w:trPr/>
        <w:tc>
          <w:tcPr>
            <w:tcW w:w="198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1985" w:type="dxa"/>
            <w:tcBorders/>
            <w:tcMar>
              <w:bottom w:w="0" w:type="dxa"/>
            </w:tcMar>
            <w:vAlign w:val="center"/>
          </w:tcPr>
          <w:p>
            <w:pPr>
              <w:pStyle w:val="TableContents"/>
              <w:bidi w:val="0"/>
              <w:spacing w:before="0" w:after="283"/>
              <w:jc w:val="left"/>
              <w:rPr/>
            </w:pPr>
            <w:r>
              <w:rPr/>
              <w:t>November 6,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caps w:val="false"/>
          <w:smallCaps w:val="false"/>
          <w:sz w:val="20"/>
        </w:rPr>
      </w:pPr>
      <w:bookmarkStart w:id="26" w:name="ex_854735.htm"/>
      <w:bookmarkStart w:id="27" w:name="ksex_854735"/>
      <w:bookmarkEnd w:id="26"/>
      <w:bookmarkEnd w:id="27"/>
      <w:r>
        <w:rPr>
          <w:rFonts w:ascii="Times New Roman" w:hAnsi="Times New Roman"/>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of HealthStream, Inc. (the “Company”) on Form 10-Q for the period ending </w:t>
      </w:r>
      <w:bookmarkStart w:id="28" w:name="led176021F2022271646689229750"/>
      <w:bookmarkEnd w:id="28"/>
      <w:r>
        <w:rPr>
          <w:rFonts w:ascii="Times New Roman" w:hAnsi="Times New Roman"/>
          <w:caps w:val="false"/>
          <w:smallCaps w:val="false"/>
          <w:sz w:val="20"/>
        </w:rPr>
        <w:t>September 30, 2025, as filed with the Securities and Exchange Commission on the date hereof (the “Report”), Scott A. Roberts, Chief Financial Officer of the Company, certifies,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880" w:type="dxa"/>
        <w:jc w:val="left"/>
        <w:tblInd w:w="0" w:type="dxa"/>
        <w:tblLayout w:type="fixed"/>
        <w:tblCellMar>
          <w:top w:w="0" w:type="dxa"/>
          <w:left w:w="0" w:type="dxa"/>
          <w:bottom w:w="28" w:type="dxa"/>
          <w:right w:w="0" w:type="dxa"/>
        </w:tblCellMar>
      </w:tblPr>
      <w:tblGrid>
        <w:gridCol w:w="1880"/>
      </w:tblGrid>
      <w:tr>
        <w:trPr/>
        <w:tc>
          <w:tcPr>
            <w:tcW w:w="188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smallCaps/>
                <w:sz w:val="20"/>
              </w:rPr>
              <w:t>Scott A. Roberts</w:t>
            </w:r>
          </w:p>
        </w:tc>
      </w:tr>
      <w:tr>
        <w:trPr/>
        <w:tc>
          <w:tcPr>
            <w:tcW w:w="18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Scott A. Roberts</w:t>
            </w:r>
          </w:p>
        </w:tc>
      </w:tr>
      <w:tr>
        <w:trPr/>
        <w:tc>
          <w:tcPr>
            <w:tcW w:w="18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880" w:type="dxa"/>
            <w:tcBorders/>
            <w:tcMar>
              <w:bottom w:w="0" w:type="dxa"/>
            </w:tcMar>
            <w:vAlign w:val="center"/>
          </w:tcPr>
          <w:p>
            <w:pPr>
              <w:pStyle w:val="TableContents"/>
              <w:bidi w:val="0"/>
              <w:spacing w:before="0" w:after="283"/>
              <w:jc w:val="left"/>
              <w:rPr/>
            </w:pPr>
            <w:r>
              <w:rPr/>
              <w:t>November 6,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14451</Words>
  <Characters>81137</Characters>
  <CharactersWithSpaces>96917</CharactersWithSpaces>
  <Paragraphs>4338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