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6">
            <w:col w:w="1620" w:space="300"/>
            <w:col w:w="700" w:space="720"/>
            <w:col w:w="1200" w:space="180"/>
            <w:col w:w="3420" w:space="720"/>
            <w:col w:w="1980" w:space="4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April 28, 2017, there were 31,882,227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98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9980" w:type="dxa"/>
            <w:vAlign w:val="bottom"/>
            <w:gridSpan w:val="15"/>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0" w:type="dxa"/>
            <w:vAlign w:val="bottom"/>
            <w:tcBorders>
              <w:top w:val="single" w:sz="8" w:color="0000EE"/>
            </w:tcBorders>
          </w:tcPr>
          <w:p>
            <w:pPr>
              <w:spacing w:after="0"/>
              <w:rPr>
                <w:sz w:val="17"/>
                <w:szCs w:val="17"/>
                <w:color w:val="auto"/>
              </w:rPr>
            </w:pPr>
          </w:p>
        </w:tc>
        <w:tc>
          <w:tcPr>
            <w:tcW w:w="840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2017 (Unaudited) and December 31, 2016</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Months ended March 31, 2017 and 2016</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0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(Unaudited)—Three Months ended March 31, 2017 and 2016</w:t>
              </w:r>
            </w:hyperlink>
          </w:p>
        </w:tc>
        <w:tc>
          <w:tcPr>
            <w:tcW w:w="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(Unaudited)—Three Months ended March 31, 2017</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(Unaudited)—Three Months ended March 31, 2017 and 2016</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280" w:type="dxa"/>
            <w:vAlign w:val="bottom"/>
            <w:tcBorders>
              <w:top w:val="single" w:sz="8" w:color="0000EE"/>
            </w:tcBorders>
            <w:gridSpan w:val="5"/>
          </w:tcPr>
          <w:p>
            <w:pPr>
              <w:spacing w:after="0"/>
              <w:rPr>
                <w:sz w:val="17"/>
                <w:szCs w:val="17"/>
                <w:color w:val="auto"/>
              </w:rPr>
            </w:pPr>
          </w:p>
        </w:tc>
        <w:tc>
          <w:tcPr>
            <w:tcW w:w="178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980" w:type="dxa"/>
            <w:vAlign w:val="bottom"/>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352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2580" w:type="dxa"/>
            <w:vAlign w:val="bottom"/>
            <w:tcBorders>
              <w:top w:val="single" w:sz="8" w:color="0000EE"/>
            </w:tcBorders>
          </w:tcPr>
          <w:p>
            <w:pPr>
              <w:spacing w:after="0"/>
              <w:rPr>
                <w:sz w:val="17"/>
                <w:szCs w:val="17"/>
                <w:color w:val="auto"/>
              </w:rPr>
            </w:pPr>
          </w:p>
        </w:tc>
        <w:tc>
          <w:tcPr>
            <w:tcW w:w="562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Part II.</w:t>
            </w:r>
          </w:p>
        </w:tc>
        <w:tc>
          <w:tcPr>
            <w:tcW w:w="9980" w:type="dxa"/>
            <w:vAlign w:val="bottom"/>
            <w:gridSpan w:val="1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866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8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Signature</w:t>
              </w:r>
            </w:hyperlink>
          </w:p>
        </w:tc>
        <w:tc>
          <w:tcPr>
            <w:tcW w:w="928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ind w:left="41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53,034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49,634</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62,265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53,540</w:t>
            </w:r>
          </w:p>
        </w:tc>
      </w:tr>
      <w:tr>
        <w:trPr>
          <w:trHeight w:val="202"/>
        </w:trPr>
        <w:tc>
          <w:tcPr>
            <w:tcW w:w="9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$956 and $863 at March 31, 2017 and December 31,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39,267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44,805</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receivable - unbilled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royalties, net of amortization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Other prepaid expenses and other current assets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184,034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177,437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10,494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10,245</w:t>
            </w: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 net of accumulated amortization of $34,045 and $31,787 at March 31, 2017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17,652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16,310</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109,765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109,765</w:t>
            </w: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Intangible assets, net of accumulated amortization of $18,846 and $16,445 at March 31, 2017 and December 31, 2016,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75,963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78,364</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Non-marketable equity investments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3,276</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401,824</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396,000</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Accrued royalties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12,137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13,161</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8,146</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Accrued compensation and related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72,306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68,542</w:t>
            </w: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98,128</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94,970</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5,968</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7,859</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280" w:type="dxa"/>
            <w:vAlign w:val="bottom"/>
          </w:tcPr>
          <w:p>
            <w:pPr>
              <w:ind w:left="360"/>
              <w:spacing w:after="0" w:line="201" w:lineRule="exact"/>
              <w:rPr>
                <w:sz w:val="20"/>
                <w:szCs w:val="20"/>
                <w:color w:val="auto"/>
              </w:rPr>
            </w:pPr>
            <w:r>
              <w:rPr>
                <w:rFonts w:ascii="Arial" w:cs="Arial" w:eastAsia="Arial" w:hAnsi="Arial"/>
                <w:sz w:val="18"/>
                <w:szCs w:val="18"/>
                <w:color w:val="auto"/>
                <w:w w:val="93"/>
              </w:rPr>
              <w:t>Common stock, no par value, 75,000 shares authorized; 31,840 and 31,748 shares issued and outstanding at March 31,</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80" w:type="dxa"/>
            <w:vAlign w:val="bottom"/>
          </w:tcPr>
          <w:p>
            <w:pPr>
              <w:ind w:left="540"/>
              <w:spacing w:after="0"/>
              <w:rPr>
                <w:sz w:val="20"/>
                <w:szCs w:val="20"/>
                <w:color w:val="auto"/>
              </w:rPr>
            </w:pPr>
            <w:r>
              <w:rPr>
                <w:rFonts w:ascii="Arial" w:cs="Arial" w:eastAsia="Arial" w:hAnsi="Arial"/>
                <w:sz w:val="18"/>
                <w:szCs w:val="18"/>
                <w:color w:val="auto"/>
              </w:rPr>
              <w:t>2017 and December 31, 2016, respectively</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280,986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280,813</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w:t>
            </w: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289,760</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286,108</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401,824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396,000</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Three Months Ended</w:t>
      </w:r>
    </w:p>
    <w:p>
      <w:pPr>
        <w:jc w:val="center"/>
        <w:ind w:left="9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59,870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26,276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10,834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58,037</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51,591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31,774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31,666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32,104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900"/>
        <w:spacing w:after="0"/>
        <w:rPr>
          <w:sz w:val="20"/>
          <w:szCs w:val="20"/>
          <w:color w:val="auto"/>
        </w:rPr>
      </w:pPr>
      <w:r>
        <w:rPr>
          <w:rFonts w:ascii="Arial" w:cs="Arial" w:eastAsia="Arial" w:hAnsi="Arial"/>
          <w:sz w:val="14"/>
          <w:szCs w:val="14"/>
          <w:b w:val="1"/>
          <w:bCs w:val="1"/>
          <w:color w:val="auto"/>
        </w:rPr>
        <w:t>Three Months Ended</w:t>
      </w:r>
    </w:p>
    <w:p>
      <w:pPr>
        <w:jc w:val="center"/>
        <w:ind w:left="99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marketable securities</w:t>
            </w:r>
          </w:p>
        </w:tc>
        <w:tc>
          <w:tcPr>
            <w:tcW w:w="4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Total other comprehensive income</w:t>
            </w:r>
          </w:p>
        </w:tc>
        <w:tc>
          <w:tcPr>
            <w:tcW w:w="3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1,557</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98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Common Stock</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31,748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$280,813</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$ 5,346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441</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w w:val="99"/>
              </w:rPr>
              <w:t>Common stock issued under stock plans, net of shares withheld for employee</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taxes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(268)</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31,840</w:t>
            </w:r>
          </w:p>
        </w:tc>
        <w:tc>
          <w:tcPr>
            <w:tcW w:w="1260" w:type="dxa"/>
            <w:vAlign w:val="bottom"/>
            <w:gridSpan w:val="3"/>
            <w:shd w:val="clear" w:color="auto" w:fill="CCEEFF"/>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280,986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$ 8,823</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based compensation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Loss on non-marketable equity investments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and unbilled receivables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Prepaid royalties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prepaid expenses and other current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Accrued royalties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long-lived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19,340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(12,859)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4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49,634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53,034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2017 are not necessarily indicative of the results that may be expected for the year ending December 31, 2017.</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2016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2016 (included in the Company’s Annual Report on Form 10-K, filed with the Securities and Exchange Commission on February 27,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Company has adopted the Financial Accounting Standards Board (“FASB”) Accounting Standards Update (“ASU”) ASU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 Share-Based Payment Accounting, </w:t>
      </w:r>
      <w:r>
        <w:rPr>
          <w:rFonts w:ascii="Arial" w:cs="Arial" w:eastAsia="Arial" w:hAnsi="Arial"/>
          <w:sz w:val="17"/>
          <w:szCs w:val="17"/>
          <w:color w:val="auto"/>
        </w:rPr>
        <w:t>effective January 1, 2017. As a result of the adoption, the Company recorded an adjustment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$2.2 million to recognize deferred tax assets associated with previous excess tax benefits on stock based compensation that had not been previously recognized because the related tax deduction had not reduced income taxes payable. The Company elected to continue to estimate expected forfeitures rather than account for them as they occur, and to prospectively reflect the presentation of excess tax benefits on the statement of cash flows as an operating activity. In addition, effective January 1, 2017, excess tax benefits or deficiencies from equity based awards is reflected in the statement of income as a component of the provision for income taxes.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simplifies the measurement of goodwill by eliminating Step 2 from the goodwill impairment test. With the elimination of Step 2, entities will measure goodwill for impairment by comparing the fair value of the reporting unit with its carrying amount. An impairment charge should be recognized for the amount by which the carrying amount exceeds the reporting units fair value, only to the extent of the carrying value of goodwill allocated to that reporting unit. The Company elected to early adopt ASU 2017-04 effective January 1, 2017 and is required to apply the new guidance on a prospective basis. The adoption is not expected to have a material effect on the Company’s consolidated financial statements. The Company anticipates the new guidance will make the goodwill impairment evaluation process more efficient and cost effective.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the Company currently anticipates adopting the standard using the modified retrospective approach effective January 1, 2018. The Company is in the process of implementing the standard, and has identified several key provisions that may result in changes to current accounting policies, systems and processes, and internal controls, including but not limited to the following: 1) Determining the relative selling price for software-as-a-service agreements, software licenses, software maintenance, and professional services in order to assign value to the separate performance obligations within a contract. Certain existing right to use arrangements are recognized over time because VSOE cannot be established, but may result in earlier revenue recognition under the new standard; 2) Capitalizing costs to acquire contracts, such as sales commissions, is not a current accounting policy; therefore we expect historical sales commissions, which have been expensed as incurred, will need to be evaluated for capitalization; 3) Ensuring the Company’s financial systems can record, calculate, summarize, and report the necessary information required by the standard, which will require additional investments in technology and resources. The Company is not currently able to quantify the financial impact of the Company’s adoption of this accounting standard on its future consolidated financial statements, but does anticipate adjustments to retained earnings upon adoption.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 (continued)</w:t>
      </w:r>
    </w:p>
    <w:p>
      <w:pPr>
        <w:spacing w:after="0" w:line="1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determine the method of adoption and to assess the impact on its future consolidated financial statements. The standard will be effective for the first interim period within annual reporting periods beginning after December 15, 2018, and early adoption is permitted.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March 2016, the FASB issued ASU 2016-01, </w:t>
      </w:r>
      <w:r>
        <w:rPr>
          <w:rFonts w:ascii="Arial" w:cs="Arial" w:eastAsia="Arial" w:hAnsi="Arial"/>
          <w:sz w:val="17"/>
          <w:szCs w:val="17"/>
          <w:i w:val="1"/>
          <w:iCs w:val="1"/>
          <w:color w:val="auto"/>
        </w:rPr>
        <w:t>Financial Instruments – Overall (Sub Topic 825-10)</w:t>
      </w:r>
      <w:r>
        <w:rPr>
          <w:rFonts w:ascii="Arial" w:cs="Arial" w:eastAsia="Arial" w:hAnsi="Arial"/>
          <w:sz w:val="17"/>
          <w:szCs w:val="17"/>
          <w:color w:val="auto"/>
        </w:rPr>
        <w:t>, which addresses certain aspects of the recognition, measurement, presentation, and disclosure of financial instruments. The guidance will, among other things, require equity method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is currently reviewing this standard to determine the method of adoption and to assess the impact on its future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three months ended March 31, 2017 and 2016, the Company recorded a provision for income taxes of approximately $678,000 and $1.0 million, respectively. The Company’s effective tax rate for the three months ended March 31, 2017 and 2016 was 34.5% and 40.1%, respectively. During the three months ended March 31, 2017, the Company recorded excess tax benefits of approximately $57,000 as a component of the provision for income taxes. The Company’s effective tax rate primarily reflects the statutory corporate income tax rate, the net effect of state taxes, and the effect of various permanent tax differences.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has stock awards outstanding under three stock incentive plans, the Company’s 2016 Omnibus Incentive Plan, the 2010 Stock Incentive Plan, and the 2000 Stock Incentive Plan, as amended. The Company accounts for its stock based compensation plans using the fair-value based method for costs related to share-based payments, including stock options and restricted share units (RSUs). During the three months ended March 31, 2017, the Company issued 86,727 RSUs, subject to service-based vesting, with a weighted average grant date fair value of $23.54 per share, measured based on the closing fair market value of the Company’s stock on the date of grant. During the three months ended March 31, 2016, the Company issued 103,210 RSUs, subject to service-based vesting, with a weighted average grant date fair value of $20.20 per share, measured based on the closing fair market value of the Company’s stock on the date of grant.</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stock based compensation expense recorded for the three months ended March 31, 2017 and 2016, which is recorded in the condensed consolidated statements of income, is as follows (in thousands):</w:t>
      </w:r>
    </w:p>
    <w:p>
      <w:pPr>
        <w:spacing w:after="0" w:line="193" w:lineRule="exact"/>
        <w:rPr>
          <w:sz w:val="20"/>
          <w:szCs w:val="20"/>
          <w:color w:val="auto"/>
        </w:rPr>
      </w:pPr>
    </w:p>
    <w:p>
      <w:pPr>
        <w:jc w:val="center"/>
        <w:ind w:left="7100"/>
        <w:spacing w:after="0"/>
        <w:rPr>
          <w:sz w:val="20"/>
          <w:szCs w:val="20"/>
          <w:color w:val="auto"/>
        </w:rPr>
      </w:pPr>
      <w:r>
        <w:rPr>
          <w:rFonts w:ascii="Arial" w:cs="Arial" w:eastAsia="Arial" w:hAnsi="Arial"/>
          <w:sz w:val="14"/>
          <w:szCs w:val="14"/>
          <w:color w:val="auto"/>
        </w:rPr>
        <w:t>Three Months Ended</w:t>
      </w:r>
    </w:p>
    <w:p>
      <w:pPr>
        <w:jc w:val="center"/>
        <w:ind w:left="7100"/>
        <w:spacing w:after="0"/>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56"/>
        </w:trPr>
        <w:tc>
          <w:tcPr>
            <w:tcW w:w="4280" w:type="dxa"/>
            <w:vAlign w:val="bottom"/>
            <w:tcBorders>
              <w:bottom w:val="single" w:sz="8" w:color="CCEEFF"/>
            </w:tcBorders>
          </w:tcPr>
          <w:p>
            <w:pPr>
              <w:spacing w:after="0"/>
              <w:rPr>
                <w:sz w:val="13"/>
                <w:szCs w:val="13"/>
                <w:color w:val="auto"/>
              </w:rPr>
            </w:pPr>
          </w:p>
        </w:tc>
        <w:tc>
          <w:tcPr>
            <w:tcW w:w="28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3"/>
              <w:spacing w:after="0" w:line="157" w:lineRule="exact"/>
              <w:rPr>
                <w:sz w:val="20"/>
                <w:szCs w:val="20"/>
                <w:color w:val="auto"/>
              </w:rPr>
            </w:pPr>
            <w:r>
              <w:rPr>
                <w:rFonts w:ascii="Arial" w:cs="Arial" w:eastAsia="Arial" w:hAnsi="Arial"/>
                <w:sz w:val="14"/>
                <w:szCs w:val="14"/>
                <w:color w:val="auto"/>
                <w:w w:val="89"/>
              </w:rPr>
              <w:t>2017</w:t>
            </w: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3"/>
              <w:spacing w:after="0" w:line="157" w:lineRule="exact"/>
              <w:rPr>
                <w:sz w:val="20"/>
                <w:szCs w:val="20"/>
                <w:color w:val="auto"/>
              </w:rPr>
            </w:pPr>
            <w:r>
              <w:rPr>
                <w:rFonts w:ascii="Arial" w:cs="Arial" w:eastAsia="Arial" w:hAnsi="Arial"/>
                <w:sz w:val="14"/>
                <w:szCs w:val="14"/>
                <w:color w:val="auto"/>
                <w:w w:val="89"/>
              </w:rPr>
              <w:t>2016</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0"/>
              </w:rPr>
              <w:t>Cost of revenues (excluding depreciation and amortization)</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Product development</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60" w:type="dxa"/>
            <w:vAlign w:val="bottom"/>
            <w:vMerge w:val="restart"/>
          </w:tcPr>
          <w:p>
            <w:pPr>
              <w:jc w:val="right"/>
              <w:ind w:right="2670"/>
              <w:spacing w:after="0"/>
              <w:rPr>
                <w:sz w:val="20"/>
                <w:szCs w:val="20"/>
                <w:color w:val="auto"/>
              </w:rPr>
            </w:pPr>
            <w:r>
              <w:rPr>
                <w:rFonts w:ascii="Arial" w:cs="Arial" w:eastAsia="Arial" w:hAnsi="Arial"/>
                <w:sz w:val="18"/>
                <w:szCs w:val="18"/>
                <w:color w:val="auto"/>
                <w:w w:val="79"/>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143,000 and 85,000 for the three months ended March 31, 2017 and 2016, respectively.</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 2017 and 2016 (in thousands, except per share data):</w:t>
      </w:r>
    </w:p>
    <w:p>
      <w:pPr>
        <w:spacing w:after="0" w:line="193" w:lineRule="exact"/>
        <w:rPr>
          <w:sz w:val="20"/>
          <w:szCs w:val="20"/>
          <w:color w:val="auto"/>
        </w:rPr>
      </w:pPr>
    </w:p>
    <w:p>
      <w:pPr>
        <w:jc w:val="center"/>
        <w:ind w:left="6900"/>
        <w:spacing w:after="0"/>
        <w:rPr>
          <w:sz w:val="20"/>
          <w:szCs w:val="20"/>
          <w:color w:val="auto"/>
        </w:rPr>
      </w:pPr>
      <w:r>
        <w:rPr>
          <w:rFonts w:ascii="Arial" w:cs="Arial" w:eastAsia="Arial" w:hAnsi="Arial"/>
          <w:sz w:val="14"/>
          <w:szCs w:val="14"/>
          <w:color w:val="auto"/>
        </w:rPr>
        <w:t>Three Months Ended</w:t>
      </w:r>
    </w:p>
    <w:p>
      <w:pPr>
        <w:jc w:val="center"/>
        <w:ind w:left="69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1,285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31,774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32,104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March 31, 2017 and December 31, 2016,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color w:val="auto"/>
              </w:rPr>
              <w:t>March 31, 2017</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jc w:val="center"/>
              <w:ind w:right="220"/>
              <w:spacing w:after="0" w:line="123" w:lineRule="exact"/>
              <w:rPr>
                <w:sz w:val="20"/>
                <w:szCs w:val="20"/>
                <w:color w:val="auto"/>
              </w:rPr>
            </w:pPr>
            <w:r>
              <w:rPr>
                <w:rFonts w:ascii="Arial" w:cs="Arial" w:eastAsia="Arial" w:hAnsi="Arial"/>
                <w:sz w:val="14"/>
                <w:szCs w:val="14"/>
                <w:color w:val="auto"/>
                <w:w w:val="95"/>
              </w:rPr>
              <w:t>Adjusted</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4"/>
          </w:tcPr>
          <w:p>
            <w:pPr>
              <w:ind w:left="20"/>
              <w:spacing w:after="0" w:line="123" w:lineRule="exact"/>
              <w:rPr>
                <w:sz w:val="20"/>
                <w:szCs w:val="20"/>
                <w:color w:val="auto"/>
              </w:rPr>
            </w:pPr>
            <w:r>
              <w:rPr>
                <w:rFonts w:ascii="Arial" w:cs="Arial" w:eastAsia="Arial" w:hAnsi="Arial"/>
                <w:sz w:val="14"/>
                <w:szCs w:val="14"/>
                <w:color w:val="auto"/>
              </w:rPr>
              <w:t>Unrealized</w:t>
            </w:r>
          </w:p>
        </w:tc>
        <w:tc>
          <w:tcPr>
            <w:tcW w:w="20" w:type="dxa"/>
            <w:vAlign w:val="bottom"/>
          </w:tcPr>
          <w:p>
            <w:pPr>
              <w:spacing w:after="0"/>
              <w:rPr>
                <w:sz w:val="10"/>
                <w:szCs w:val="10"/>
                <w:color w:val="auto"/>
              </w:rPr>
            </w:pPr>
          </w:p>
        </w:tc>
        <w:tc>
          <w:tcPr>
            <w:tcW w:w="1180" w:type="dxa"/>
            <w:vAlign w:val="bottom"/>
            <w:gridSpan w:val="4"/>
          </w:tcPr>
          <w:p>
            <w:pPr>
              <w:jc w:val="center"/>
              <w:ind w:right="480"/>
              <w:spacing w:after="0" w:line="123" w:lineRule="exact"/>
              <w:rPr>
                <w:sz w:val="20"/>
                <w:szCs w:val="20"/>
                <w:color w:val="auto"/>
              </w:rPr>
            </w:pPr>
            <w:r>
              <w:rPr>
                <w:rFonts w:ascii="Arial" w:cs="Arial" w:eastAsia="Arial" w:hAnsi="Arial"/>
                <w:sz w:val="14"/>
                <w:szCs w:val="14"/>
                <w:color w:val="auto"/>
                <w:w w:val="92"/>
              </w:rPr>
              <w:t>Unrealized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4"/>
                <w:szCs w:val="14"/>
                <w:color w:val="auto"/>
                <w:w w:val="90"/>
              </w:rPr>
              <w:t>Cost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4"/>
                <w:szCs w:val="14"/>
                <w:color w:val="auto"/>
                <w:w w:val="98"/>
              </w:rPr>
              <w:t>Gains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580"/>
              <w:spacing w:after="0"/>
              <w:rPr>
                <w:sz w:val="20"/>
                <w:szCs w:val="20"/>
                <w:color w:val="auto"/>
              </w:rPr>
            </w:pPr>
            <w:r>
              <w:rPr>
                <w:rFonts w:ascii="Arial" w:cs="Arial" w:eastAsia="Arial" w:hAnsi="Arial"/>
                <w:sz w:val="14"/>
                <w:szCs w:val="14"/>
                <w:color w:val="auto"/>
                <w:w w:val="90"/>
              </w:rPr>
              <w:t>Losses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Fair Value</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860" w:type="dxa"/>
            <w:vAlign w:val="bottom"/>
            <w:gridSpan w:val="5"/>
          </w:tcPr>
          <w:p>
            <w:pPr>
              <w:jc w:val="right"/>
              <w:ind w:right="220"/>
              <w:spacing w:after="0"/>
              <w:rPr>
                <w:sz w:val="20"/>
                <w:szCs w:val="20"/>
                <w:color w:val="auto"/>
              </w:rPr>
            </w:pPr>
            <w:r>
              <w:rPr>
                <w:rFonts w:ascii="Arial" w:cs="Arial" w:eastAsia="Arial" w:hAnsi="Arial"/>
                <w:sz w:val="18"/>
                <w:szCs w:val="18"/>
                <w:color w:val="auto"/>
                <w:w w:val="95"/>
              </w:rPr>
              <w:t>$57,714</w:t>
            </w:r>
          </w:p>
        </w:tc>
        <w:tc>
          <w:tcPr>
            <w:tcW w:w="380" w:type="dxa"/>
            <w:vAlign w:val="bottom"/>
            <w:gridSpan w:val="3"/>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(48)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$57,667</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8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4,598</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62,314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62,265</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color w:val="auto"/>
              </w:rPr>
              <w:t>December 31, 2016</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6400" w:type="dxa"/>
            <w:vAlign w:val="bottom"/>
          </w:tcPr>
          <w:p>
            <w:pPr>
              <w:spacing w:after="0"/>
              <w:rPr>
                <w:sz w:val="10"/>
                <w:szCs w:val="10"/>
                <w:color w:val="auto"/>
              </w:rPr>
            </w:pPr>
          </w:p>
        </w:tc>
        <w:tc>
          <w:tcPr>
            <w:tcW w:w="860" w:type="dxa"/>
            <w:vAlign w:val="bottom"/>
            <w:gridSpan w:val="5"/>
          </w:tcPr>
          <w:p>
            <w:pPr>
              <w:jc w:val="right"/>
              <w:ind w:right="300"/>
              <w:spacing w:after="0" w:line="123" w:lineRule="exact"/>
              <w:rPr>
                <w:sz w:val="20"/>
                <w:szCs w:val="20"/>
                <w:color w:val="auto"/>
              </w:rPr>
            </w:pPr>
            <w:r>
              <w:rPr>
                <w:rFonts w:ascii="Arial" w:cs="Arial" w:eastAsia="Arial" w:hAnsi="Arial"/>
                <w:sz w:val="14"/>
                <w:szCs w:val="14"/>
                <w:color w:val="auto"/>
                <w:w w:val="99"/>
              </w:rPr>
              <w:t>Adjusted</w:t>
            </w:r>
          </w:p>
        </w:tc>
        <w:tc>
          <w:tcPr>
            <w:tcW w:w="240" w:type="dxa"/>
            <w:vAlign w:val="bottom"/>
          </w:tcPr>
          <w:p>
            <w:pPr>
              <w:spacing w:after="0"/>
              <w:rPr>
                <w:sz w:val="10"/>
                <w:szCs w:val="10"/>
                <w:color w:val="auto"/>
              </w:rPr>
            </w:pPr>
          </w:p>
        </w:tc>
        <w:tc>
          <w:tcPr>
            <w:tcW w:w="1160" w:type="dxa"/>
            <w:vAlign w:val="bottom"/>
            <w:gridSpan w:val="5"/>
          </w:tcPr>
          <w:p>
            <w:pPr>
              <w:spacing w:after="0" w:line="123" w:lineRule="exact"/>
              <w:rPr>
                <w:sz w:val="20"/>
                <w:szCs w:val="20"/>
                <w:color w:val="auto"/>
              </w:rPr>
            </w:pPr>
            <w:r>
              <w:rPr>
                <w:rFonts w:ascii="Arial" w:cs="Arial" w:eastAsia="Arial" w:hAnsi="Arial"/>
                <w:sz w:val="14"/>
                <w:szCs w:val="14"/>
                <w:color w:val="auto"/>
              </w:rPr>
              <w:t>Unrealized</w:t>
            </w:r>
          </w:p>
        </w:tc>
        <w:tc>
          <w:tcPr>
            <w:tcW w:w="1200" w:type="dxa"/>
            <w:vAlign w:val="bottom"/>
            <w:gridSpan w:val="5"/>
          </w:tcPr>
          <w:p>
            <w:pPr>
              <w:jc w:val="center"/>
              <w:ind w:right="500"/>
              <w:spacing w:after="0" w:line="123" w:lineRule="exact"/>
              <w:rPr>
                <w:sz w:val="20"/>
                <w:szCs w:val="20"/>
                <w:color w:val="auto"/>
              </w:rPr>
            </w:pPr>
            <w:r>
              <w:rPr>
                <w:rFonts w:ascii="Arial" w:cs="Arial" w:eastAsia="Arial" w:hAnsi="Arial"/>
                <w:sz w:val="14"/>
                <w:szCs w:val="14"/>
                <w:color w:val="auto"/>
                <w:w w:val="92"/>
              </w:rPr>
              <w:t>Unrealized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4"/>
                <w:szCs w:val="14"/>
                <w:color w:val="auto"/>
              </w:rPr>
              <w:t>Cost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680"/>
              <w:spacing w:after="0"/>
              <w:rPr>
                <w:sz w:val="20"/>
                <w:szCs w:val="20"/>
                <w:color w:val="auto"/>
              </w:rPr>
            </w:pPr>
            <w:r>
              <w:rPr>
                <w:rFonts w:ascii="Arial" w:cs="Arial" w:eastAsia="Arial" w:hAnsi="Arial"/>
                <w:sz w:val="14"/>
                <w:szCs w:val="14"/>
                <w:color w:val="auto"/>
                <w:w w:val="87"/>
              </w:rPr>
              <w:t>Gains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600"/>
              <w:spacing w:after="0"/>
              <w:rPr>
                <w:sz w:val="20"/>
                <w:szCs w:val="20"/>
                <w:color w:val="auto"/>
              </w:rPr>
            </w:pPr>
            <w:r>
              <w:rPr>
                <w:rFonts w:ascii="Arial" w:cs="Arial" w:eastAsia="Arial" w:hAnsi="Arial"/>
                <w:sz w:val="14"/>
                <w:szCs w:val="14"/>
                <w:color w:val="auto"/>
                <w:w w:val="85"/>
              </w:rPr>
              <w:t>Losses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Fair Value</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$44,486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$44,436</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9,104</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53,591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80" w:type="dxa"/>
            <w:vAlign w:val="bottom"/>
            <w:gridSpan w:val="2"/>
          </w:tcPr>
          <w:p>
            <w:pPr>
              <w:jc w:val="right"/>
              <w:ind w:right="44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53,540</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March 31, 2017, the Company does not consider any of its marketable securities to be other than temporarily impaired. During the three months ended March 31, 2017 and 2016,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Morrisey Associates, Inc.</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August 8, 2016, Echo, Inc. (“Echo”), a wholly owned subsidiary of the Company, acquired all of the outstanding stock of Morrisey Associates, Inc. (“MAI”), a Chicago, Illinois based company that provides credentialing and privileging software to healthcare organizations. The acquisition of MAI allows the Company to expand its credentialing and privileging product offerings and solutions to healthcare organizations. The consideration paid for MAI consisted of approximately $48.0 million in cash, which the Company funded with cash on hand, and was not subject to any post-closing working capital or similar adjustment. The Company incurred approximately $953,000 in transaction costs, all of which were incurred during the year ended December 31, 2016. The transaction costs were recorded in other general and administrative expenses in the condensed consolidated statements of income. The results of operations for MAI have been included in the Company’s consolidated financial statements from the date of acquisition, and are also included in the HealthStream Provider Solutions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held in escrow</w:t>
            </w:r>
          </w:p>
        </w:tc>
        <w:tc>
          <w:tcPr>
            <w:tcW w:w="2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consideration paid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Prepaid royalties and other prepaid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Deferred tax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20,467</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Intangible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27,400</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(1,031)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Deferred revenue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(4,007)</w:t>
            </w: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48,000</w:t>
            </w:r>
          </w:p>
        </w:tc>
        <w:tc>
          <w:tcPr>
            <w:tcW w:w="12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excess purchase price over the fair values of net tangible and intangible assets was recorded as goodwill. The fair values of tangible and identifiable intangible assets, deferred revenue, and other liabilities assumed were based on management’s estimates and assumptions. The goodwill balance was primarily attributed to the assembled workforce, additional market opportunities from offering MAI’s products, and expected synergies from integrating MAI with other products or other combined functional areas within the Company. The goodwill balance will be deductible for U.S. income tax purposes. The net tangible assets include deferred revenue, which was adjusted down from a book value at the acquisition date of $8.8 million to an estimated fair value of $4.0 million. The $4.8 million write-down of deferred revenue will result in lower revenues than would have otherwise been recognized for such services.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and their estimated useful lives as of the acquisition date (in thousands):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$ 21,400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Developed technology</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4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3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$ 27,400</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160" w:type="dxa"/>
            <w:vAlign w:val="bottom"/>
            <w:vMerge w:val="restart"/>
          </w:tcPr>
          <w:p>
            <w:pPr>
              <w:jc w:val="right"/>
              <w:ind w:right="2474"/>
              <w:spacing w:after="0"/>
              <w:rPr>
                <w:sz w:val="20"/>
                <w:szCs w:val="20"/>
                <w:color w:val="auto"/>
              </w:rPr>
            </w:pPr>
            <w:r>
              <w:rPr>
                <w:rFonts w:ascii="Arial" w:cs="Arial" w:eastAsia="Arial" w:hAnsi="Arial"/>
                <w:sz w:val="18"/>
                <w:szCs w:val="18"/>
                <w:color w:val="auto"/>
              </w:rPr>
              <w:t>9</w:t>
            </w: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 (continued)</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of the Company and MAI as though the companies were combined as of January 1, 2015 (in thousands, except per share data):</w:t>
      </w:r>
    </w:p>
    <w:p>
      <w:pPr>
        <w:spacing w:after="0" w:line="193" w:lineRule="exact"/>
        <w:rPr>
          <w:sz w:val="20"/>
          <w:szCs w:val="20"/>
          <w:color w:val="auto"/>
        </w:rPr>
      </w:pPr>
    </w:p>
    <w:p>
      <w:pPr>
        <w:jc w:val="center"/>
        <w:ind w:left="7000"/>
        <w:spacing w:after="0"/>
        <w:rPr>
          <w:sz w:val="20"/>
          <w:szCs w:val="20"/>
          <w:color w:val="auto"/>
        </w:rPr>
      </w:pPr>
      <w:r>
        <w:rPr>
          <w:rFonts w:ascii="Arial" w:cs="Arial" w:eastAsia="Arial" w:hAnsi="Arial"/>
          <w:sz w:val="14"/>
          <w:szCs w:val="14"/>
          <w:color w:val="auto"/>
        </w:rPr>
        <w:t>Three Months Ended</w:t>
      </w:r>
    </w:p>
    <w:p>
      <w:pPr>
        <w:jc w:val="center"/>
        <w:ind w:left="70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60,585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57,485</w:t>
            </w:r>
          </w:p>
        </w:tc>
        <w:tc>
          <w:tcPr>
            <w:tcW w:w="60" w:type="dxa"/>
            <w:vAlign w:val="bottom"/>
            <w:shd w:val="clear" w:color="auto" w:fill="CCEEFF"/>
          </w:tcPr>
          <w:p>
            <w:pPr>
              <w:spacing w:after="0"/>
              <w:rPr>
                <w:sz w:val="18"/>
                <w:szCs w:val="18"/>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3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These unaudited pro forma combined results of operations include certain adjustments arising from the acquisition such as adjustment for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unaudited pro forma financial information for the three months ended March 31, 2017 and 2016 combines the historical results of the Company and MAI for the three months ended March 31, 2017 and 2016, taking into account the pro forma adjustments listed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and enrollment products and services (HealthStream Provider Solutions).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months ended March 31, 2017 and 2016 (in thousands).</w:t>
      </w:r>
    </w:p>
    <w:p>
      <w:pPr>
        <w:spacing w:after="0" w:line="210" w:lineRule="exact"/>
        <w:rPr>
          <w:sz w:val="20"/>
          <w:szCs w:val="20"/>
          <w:color w:val="auto"/>
        </w:rPr>
      </w:pPr>
    </w:p>
    <w:p>
      <w:pPr>
        <w:jc w:val="center"/>
        <w:ind w:left="7000"/>
        <w:spacing w:after="0"/>
        <w:rPr>
          <w:sz w:val="20"/>
          <w:szCs w:val="20"/>
          <w:color w:val="auto"/>
        </w:rPr>
      </w:pPr>
      <w:r>
        <w:rPr>
          <w:rFonts w:ascii="Arial" w:cs="Arial" w:eastAsia="Arial" w:hAnsi="Arial"/>
          <w:sz w:val="14"/>
          <w:szCs w:val="14"/>
          <w:color w:val="auto"/>
        </w:rPr>
        <w:t>Three Months Ended</w:t>
      </w:r>
    </w:p>
    <w:p>
      <w:pPr>
        <w:jc w:val="center"/>
        <w:ind w:left="70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33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2017</w:t>
            </w:r>
          </w:p>
        </w:tc>
        <w:tc>
          <w:tcPr>
            <w:tcW w:w="92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3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4320" w:type="dxa"/>
            <w:vAlign w:val="bottom"/>
            <w:gridSpan w:val="4"/>
          </w:tcPr>
          <w:p>
            <w:pPr>
              <w:jc w:val="right"/>
              <w:ind w:right="20"/>
              <w:spacing w:after="0"/>
              <w:rPr>
                <w:sz w:val="20"/>
                <w:szCs w:val="20"/>
                <w:color w:val="auto"/>
              </w:rPr>
            </w:pPr>
            <w:r>
              <w:rPr>
                <w:rFonts w:ascii="Arial" w:cs="Arial" w:eastAsia="Arial" w:hAnsi="Arial"/>
                <w:sz w:val="18"/>
                <w:szCs w:val="18"/>
                <w:color w:val="auto"/>
              </w:rPr>
              <w:t>$43,701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$41,316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4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7,903</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color w:val="auto"/>
              </w:rPr>
              <w:t>Provider</w:t>
            </w:r>
          </w:p>
        </w:tc>
        <w:tc>
          <w:tcPr>
            <w:tcW w:w="372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8,266</w:t>
            </w:r>
          </w:p>
        </w:tc>
        <w:tc>
          <w:tcPr>
            <w:tcW w:w="38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4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59,870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3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7"/>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7"/>
          </w:tcPr>
          <w:p>
            <w:pPr>
              <w:jc w:val="center"/>
              <w:ind w:right="280"/>
              <w:spacing w:after="0"/>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64"/>
              <w:spacing w:after="0" w:line="142" w:lineRule="exact"/>
              <w:rPr>
                <w:sz w:val="20"/>
                <w:szCs w:val="20"/>
                <w:color w:val="auto"/>
              </w:rPr>
            </w:pPr>
            <w:r>
              <w:rPr>
                <w:rFonts w:ascii="Arial" w:cs="Arial" w:eastAsia="Arial" w:hAnsi="Arial"/>
                <w:sz w:val="14"/>
                <w:szCs w:val="14"/>
                <w:color w:val="auto"/>
              </w:rPr>
              <w:t>2017</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3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4120" w:type="dxa"/>
            <w:vAlign w:val="bottom"/>
            <w:gridSpan w:val="3"/>
          </w:tcPr>
          <w:p>
            <w:pPr>
              <w:jc w:val="right"/>
              <w:spacing w:after="0"/>
              <w:rPr>
                <w:sz w:val="20"/>
                <w:szCs w:val="20"/>
                <w:color w:val="auto"/>
              </w:rPr>
            </w:pPr>
            <w:r>
              <w:rPr>
                <w:rFonts w:ascii="Arial" w:cs="Arial" w:eastAsia="Arial" w:hAnsi="Arial"/>
                <w:sz w:val="18"/>
                <w:szCs w:val="18"/>
                <w:color w:val="auto"/>
              </w:rPr>
              <w:t>$ 8,745</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$10,405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4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Provider</w:t>
            </w:r>
          </w:p>
        </w:tc>
        <w:tc>
          <w:tcPr>
            <w:tcW w:w="4320" w:type="dxa"/>
            <w:vAlign w:val="bottom"/>
            <w:gridSpan w:val="4"/>
          </w:tcPr>
          <w:p>
            <w:pPr>
              <w:jc w:val="right"/>
              <w:ind w:right="140"/>
              <w:spacing w:after="0"/>
              <w:rPr>
                <w:sz w:val="20"/>
                <w:szCs w:val="20"/>
                <w:color w:val="auto"/>
              </w:rPr>
            </w:pPr>
            <w:r>
              <w:rPr>
                <w:rFonts w:ascii="Arial" w:cs="Arial" w:eastAsia="Arial" w:hAnsi="Arial"/>
                <w:sz w:val="18"/>
                <w:szCs w:val="18"/>
                <w:color w:val="auto"/>
              </w:rPr>
              <w:t>(601)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4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(6,054)</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720"/>
              <w:spacing w:after="0"/>
              <w:rPr>
                <w:sz w:val="20"/>
                <w:szCs w:val="20"/>
                <w:color w:val="auto"/>
              </w:rPr>
            </w:pPr>
            <w:r>
              <w:rPr>
                <w:rFonts w:ascii="Arial" w:cs="Arial" w:eastAsia="Arial" w:hAnsi="Arial"/>
                <w:sz w:val="18"/>
                <w:szCs w:val="18"/>
                <w:color w:val="auto"/>
              </w:rPr>
              <w:t>Total operating income</w:t>
            </w:r>
          </w:p>
        </w:tc>
        <w:tc>
          <w:tcPr>
            <w:tcW w:w="35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$ 1,833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$ 2,487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560" w:type="dxa"/>
            <w:vAlign w:val="bottom"/>
            <w:vMerge w:val="restart"/>
          </w:tcPr>
          <w:p>
            <w:pPr>
              <w:jc w:val="right"/>
              <w:ind w:right="237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 (continued)</w:t>
      </w:r>
    </w:p>
    <w:p>
      <w:pPr>
        <w:spacing w:after="0" w:line="14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6"/>
              </w:rPr>
              <w:t>March 31,</w:t>
            </w:r>
          </w:p>
        </w:tc>
        <w:tc>
          <w:tcPr>
            <w:tcW w:w="1340" w:type="dxa"/>
            <w:vAlign w:val="bottom"/>
            <w:gridSpan w:val="4"/>
          </w:tcPr>
          <w:p>
            <w:pPr>
              <w:ind w:left="460"/>
              <w:spacing w:after="0"/>
              <w:rPr>
                <w:sz w:val="20"/>
                <w:szCs w:val="20"/>
                <w:color w:val="auto"/>
              </w:rPr>
            </w:pPr>
            <w:r>
              <w:rPr>
                <w:rFonts w:ascii="Arial" w:cs="Arial" w:eastAsia="Arial" w:hAnsi="Arial"/>
                <w:sz w:val="14"/>
                <w:szCs w:val="14"/>
                <w:color w:val="auto"/>
                <w:w w:val="97"/>
              </w:rPr>
              <w:t>December 31,</w:t>
            </w:r>
          </w:p>
        </w:tc>
      </w:tr>
      <w:tr>
        <w:trPr>
          <w:trHeight w:val="167"/>
        </w:trPr>
        <w:tc>
          <w:tcPr>
            <w:tcW w:w="6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95,028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96,323</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35,988</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Provider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152,548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155,011</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120,727</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108,678</w:t>
            </w:r>
          </w:p>
        </w:tc>
        <w:tc>
          <w:tcPr>
            <w:tcW w:w="60" w:type="dxa"/>
            <w:vAlign w:val="bottom"/>
            <w:shd w:val="clear" w:color="auto" w:fill="CCEEFF"/>
          </w:tcPr>
          <w:p>
            <w:pPr>
              <w:spacing w:after="0"/>
              <w:rPr>
                <w:sz w:val="18"/>
                <w:szCs w:val="18"/>
                <w:color w:val="auto"/>
              </w:rPr>
            </w:pPr>
          </w:p>
        </w:tc>
      </w:tr>
      <w:tr>
        <w:trPr>
          <w:trHeight w:val="223"/>
        </w:trPr>
        <w:tc>
          <w:tcPr>
            <w:tcW w:w="66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401,824</w:t>
            </w:r>
          </w:p>
        </w:tc>
        <w:tc>
          <w:tcPr>
            <w:tcW w:w="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396,000</w:t>
            </w:r>
          </w:p>
        </w:tc>
        <w:tc>
          <w:tcPr>
            <w:tcW w:w="6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86"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2017, the Company was in material compliance with all covenants. There were no balances outstanding on the Revolving Credit Facility as of or during the three months ended March 31,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8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2016, appearing in our Annual Report on Form 10-K that was filed with the Securities and Exchange Commission (“SEC”) on February 27, 2017, (the “2016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2016 Form 10-K and the information regarding forward-looking statements and other disclosures in our 2016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HealthStream provides workforce, patient experience,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first quarter of 2017 include:</w:t>
      </w:r>
    </w:p>
    <w:p>
      <w:pPr>
        <w:spacing w:after="0" w:line="13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$59.9 million in the first quarter of 2017, up 11% from $54.1 million in the first quarter of 2016</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$1.8 million in the first quarter of 2017, compared to $2.5 million in the first quarter of 2016</w:t>
      </w:r>
    </w:p>
    <w:p>
      <w:pPr>
        <w:spacing w:after="0" w:line="130" w:lineRule="exact"/>
        <w:rPr>
          <w:rFonts w:ascii="Arial" w:cs="Arial" w:eastAsia="Arial" w:hAnsi="Arial"/>
          <w:sz w:val="18"/>
          <w:szCs w:val="18"/>
          <w:color w:val="auto"/>
        </w:rPr>
      </w:pPr>
    </w:p>
    <w:p>
      <w:pPr>
        <w:ind w:left="440" w:right="10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$1.3 million in the first quarter of 2017, compared to $1.5 million in the first quarter of 2016, and earnings per share (EPS) of $0.04 per share (diluted) in the first quarter of 2017, compared to $0.05 per share (diluted) in the first quarter of 2016</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$8.7 million in the first quarter of 2017, compared to $8.1 million in the first quarter of 2016</w:t>
      </w:r>
    </w:p>
    <w:p>
      <w:pPr>
        <w:spacing w:after="0" w:line="252" w:lineRule="exact"/>
        <w:rPr>
          <w:rFonts w:ascii="Arial" w:cs="Arial" w:eastAsia="Arial" w:hAnsi="Arial"/>
          <w:sz w:val="18"/>
          <w:szCs w:val="18"/>
          <w:color w:val="auto"/>
        </w:rPr>
      </w:pPr>
    </w:p>
    <w:p>
      <w:pPr>
        <w:ind w:left="900" w:right="360" w:hanging="446"/>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Adjusted EBITDA is a non-GAAP financial measure. A reconciliation of adjusted EBITDA to net income, and disclosure regarding why we believe that Adjusted EBITDA provides useful information to investors is included later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acquired Morrisey Associates, Inc. (“MAI”), a Chicago, Illinois based company which provides credentialing and privileging software to healthcare professionals, in August 2016. The results of operations for MAI have been included in our condensed consolidated financial statements from the date of acquisition, and are also included in the HealthStream Provider Solutions segment. The purchase price for MAI was approximately $48 million, payable in cash at closing. For additional information regarding this business combination, please see Note 7 in the Notes to Condensed Consolidated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2016 Form 10-K, which contains additional information regarding our accounting policies and other disclosures required by US GAAP. There have been no changes in our critical accounting policies and estimates from those reported in our 2016 Form 10-K.</w:t>
      </w:r>
    </w:p>
    <w:p>
      <w:pPr>
        <w:spacing w:after="0" w:line="15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addition, Note 2 in the Notes to Condensed Consolidated Financial Statements summarizes new accounting guidance issued by FASB that has been recently adopted by the Company, or not yet adopted by the Company, and our evaluation of such accounting guidance and the anticipated impact of such guidance (if known) on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Compared to Three Months Ended March 31, 2016</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$5.8 million, or 11%, to $59.9 million for the three months ended March 31, 2017 from $54.1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2016. A comparison of revenues by business segment is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w w:val="95"/>
              </w:rPr>
              <w:t>Three Months Ended March 31,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4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2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1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Workforce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$43,701</w:t>
            </w:r>
          </w:p>
        </w:tc>
        <w:tc>
          <w:tcPr>
            <w:tcW w:w="1920" w:type="dxa"/>
            <w:vAlign w:val="bottom"/>
            <w:gridSpan w:val="3"/>
          </w:tcPr>
          <w:p>
            <w:pPr>
              <w:jc w:val="right"/>
              <w:ind w:right="660"/>
              <w:spacing w:after="0"/>
              <w:rPr>
                <w:sz w:val="20"/>
                <w:szCs w:val="20"/>
                <w:color w:val="auto"/>
              </w:rPr>
            </w:pPr>
            <w:r>
              <w:rPr>
                <w:rFonts w:ascii="Arial" w:cs="Arial" w:eastAsia="Arial" w:hAnsi="Arial"/>
                <w:sz w:val="18"/>
                <w:szCs w:val="18"/>
                <w:color w:val="auto"/>
              </w:rPr>
              <w:t>$41,316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9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7,964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color w:val="auto"/>
              </w:rPr>
              <w:t>Provider</w:t>
            </w:r>
          </w:p>
        </w:tc>
        <w:tc>
          <w:tcPr>
            <w:tcW w:w="18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6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6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59,870</w:t>
            </w:r>
          </w:p>
        </w:tc>
        <w:tc>
          <w:tcPr>
            <w:tcW w:w="19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54,078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3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w:t>
            </w:r>
          </w:p>
        </w:tc>
        <w:tc>
          <w:tcPr>
            <w:tcW w:w="224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76%</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Patient Experience</w:t>
            </w:r>
          </w:p>
        </w:tc>
        <w:tc>
          <w:tcPr>
            <w:tcW w:w="322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2240" w:type="dxa"/>
            <w:vAlign w:val="bottom"/>
          </w:tcPr>
          <w:p>
            <w:pPr>
              <w:jc w:val="right"/>
              <w:ind w:right="1370"/>
              <w:spacing w:after="0"/>
              <w:rPr>
                <w:sz w:val="20"/>
                <w:szCs w:val="20"/>
                <w:color w:val="auto"/>
              </w:rPr>
            </w:pPr>
            <w:r>
              <w:rPr>
                <w:rFonts w:ascii="Arial" w:cs="Arial" w:eastAsia="Arial" w:hAnsi="Arial"/>
                <w:sz w:val="18"/>
                <w:szCs w:val="18"/>
                <w:color w:val="auto"/>
              </w:rPr>
              <w:t>15%</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c>
          <w:tcPr>
            <w:tcW w:w="224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Revenues for HealthStream Workforce Solutions increased approximately $2.4 million, or 6%, over the first quarter of 2016. Revenues from our subscription-based workforce products increased approximately $2.3 million, or 6%, over the prior year first quarter due to a higher number of subscribers and more courseware consumption by subscribers. This revenue growth was partially offset by a decline in revenues from ICD-10 readiness training products, which approximated $0.5 million for the first quarter of 2017, compared to $3.9 million for the first quarter of 2016. Our Workforce Solutions annualized revenue per implemented subscriber metric increased by 4%, to $37.68 per subscriber for the first quarter of 2017 compared to $36.27 per subscriber for the first quarter of 2016. Our implemented subscriber base increased by 3% over the prior year first quarter to 4.47 million implemented subscribers at March 31,</w:t>
      </w:r>
    </w:p>
    <w:p>
      <w:pPr>
        <w:spacing w:after="0" w:line="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2017 compared to 4.33 million implemented subscribers at March 31, 2016. Additionally, we had a 3% increase in total subscribers over the prior year first quarter, with 4.57 million total subscribers at March 31, 2017 compared to 4.46 million total subscribers at March 31, 2016.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for HealthStream Patient Experience Solutions decreased by $61,000, or 1%, compared to the first quarter of 2016. Revenues from Patient Insights™ surveys, our survey research product that generates recurring revenues were comparable between periods. Revenues from these products were impacted by increased adoption of our e-survey products and lower volumes of phone based surveys. Our e-survey products have both lower revenue and cost per survey than our traditional phone survey products. Revenues from other products, including surveys conducted on annual or bi-annual cycles and consulting/coaching services, collectively decreased modestly compared to the prior year first quarter due to the timing of engagements compared to the prior year period.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Revenues for HealthStream Provider Solutions increased approximately $3.5 million, or 72%, over the first quarter of 2016. Approximately $2.3 million of the increase resulted from the MAI acquisition which was consummated on August 8, 2016.</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$3.4 million, or 15%, to $26.3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2017 from $22.9 million for the three months ended March 31, 2016. Cost of revenues as a percentage of revenues was 44% and 42% of revenues for the three months ended March 31, 2017 and 2016, respectively. Cost of revenues for HealthStream Workforce Solutions increased approximately $2.2 million to $18.4 million and approximated 42% and 39% of revenues for HealthStream Workforce Solutions for the three months ended March 31, 2017 and 2016, respectively. The increase in amount and as a percentage of revenues is primarily associated with increased royalties paid by us resulting from growth in courseware subscription revenues and additions to personnel over the prior year period. Cost of revenues for HealthStream Patient Experience Solutions decreased approximately $424,000 to $5.1 million and approximated 65% and 70% of revenues for HealthStream Patient Experience Solutions for the three months ended March 31, 2017 and 2016, respectively. The decrease in both amount and as a percentage of revenue is primarily the result of lower costs associated with declines in phone based survey volume compared to the prior year first quarter. Cost of revenues for HealthStream Provider Solutions increased approximately $1.6 million to $2.8 million and approximated 33% and 24% of HealthStream Provider Solutions revenues for the three months ended March 31, 2017 and 2016, respectively. The increase in both amount and as a percentage of revenue is primarily associated with the MAI business and additions to personnel over the prior year period.</w:t>
      </w:r>
    </w:p>
    <w:p>
      <w:pPr>
        <w:spacing w:after="0" w:line="1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decreased approximately $419,000, or 6%, to $6.6 million for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$7.0 million for the three months ended March 31, 2016. Product development expenses as a percentage of revenues were 11% and 13% of revenues for the three months ended March 31, 2017 and 2016, respectively.</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Product development expenses for HealthStream Workforce Solutions decreased approximately $242,000 and approximated 11% and 12% of revenues for HealthStream Workforce Solutions for the three months ended March 31, 2017 and 2016, respectively. The decrease in both amount and as a percentage of revenues is primarily due to lower outsourced labor expenses. Product development expenses for HealthStream Patient Experience Solutions decreased approximately $362,000 and approximated 10% and 15% of revenues for HealthStream Patient Experience Solutions for the three months ended March 31, 2017 and 2016, respectively. The decrease in both amount and as a percentage of revenue is primarily due to lower personnel expenses and outsourced labor expenses. Product development expenses for HealthStream Provider Solutions increased approximately $186,000 and approximated 13% and 19% of revenues for HealthStream Provider Solutions for the three months ended March 31, 2017 and 2016, respectively. The increase in amount is primarily associated with additions to personnel over the prior year period.</w:t>
      </w:r>
    </w:p>
    <w:p>
      <w:pPr>
        <w:spacing w:after="0" w:line="1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$2.3 million, or 27%, to $10.8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2017 from $8.5 million for the three months ended March 31, 2016. Sales and marketing expenses were 18% and 16% of revenues for the three months ended March 31, 2017 and 2016, respectively.</w:t>
      </w:r>
    </w:p>
    <w:p>
      <w:pPr>
        <w:spacing w:after="0" w:line="18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Sales and marketing expenses for HealthStream Workforce Solutions increased approximately $1.2 million and approximated 17% and 16% of revenues for HealthStream Workforce Solutions for the three months ended March 31, 2017 and 2016, respectively. The increase in amount and as a percentage of revenues is primarily due to additions to personnel and higher sales commissions. Sales and marketing expenses for HealthStream Patient Experience Solutions increased approximately $327,000, and approximated 16% and 12% of revenues for HealthStream Patient Experience Solutions for the three months ended March 31, 2017 and 2016, respectively. The increase in both amount and as a percentage of revenues is primarily due to higher sales commissions and marketing expenses. Sales and marketing expenses for HealthStream Provider Solutions increased approximately $684,000, and approximated 20% of revenues for HealthStream Provider Solutions for both the three months ended March 31, 2017 and 2016 respectively. The increase in amount is primarily associated with additions to personnel, higher sales commissions, and increased marketing expenses.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approximately $37,000 to $7.9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2017 from $8.0 million for the three months ended March 31, 2016. Other general and administrative expenses as a percentage of revenues were 13% and 15% of revenues for the three months ended March 31, 2017 and 2016,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Other general and administrative expenses for HealthStream Workforce Solutions increased approximately $508,000 and approximated 4% and 3% of HealthStream Workforce Solutions revenues for the three months ended March 31, 2017 and 2016, respectively. The increase in amount and as a percentage of revenues is primarily due to higher facility costs and increases in other general expenses. Other general and administrative expenses for HealthStream Patient Experience Solutions decreased approximately $8,000 compared to the prior year first quarter and approximated 8% of HealhtStream Patient Experience Solutions revenues for both the three months ended March 31, 2017 and 2016. Other general and administrative expenses for HealthStream Provider Solutions increased approximately $638,000 and approximated 17% and 16% of HealthStream Provider Solutions revenues for the three months ended March 31, 2017 and 2016, respectively. The increase in amount and as a percentage of revenues is primarily associated with the MAI business and bad debt expense. The unallocated corporate portion of other general and administrative expenses decreased approximately $1.2 million compared to the prior year first quarter primarily due to lower professional services associated with the implementation of a new financial systems platform during the prior year period, and reductions of other general expenses.</w:t>
      </w:r>
    </w:p>
    <w:p>
      <w:pPr>
        <w:spacing w:after="0" w:line="178"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$1.3 million, or 24%, to $6.4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2017 from $5.1 million for the three months ended March 31, 2016. The increase primarily resulted from amortization of capitalized software development, amortization of intangible assets from the MAI acquisition, and depreciation expense associated with capital expenditures.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$130,000 for the three months ended March 31, 2017 compared to $18,000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This increase is primarily a result of interest income from investments in marketable securities.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$0.7 million for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for the three months ended March 31, 2016. The Company’s effective tax rate was 35% for the three months ended March 31, 2017 compared to 40% for the three months ended March 31, 2016. The decrease in the effective tax rate was influenced by lower state taxes, research and development tax credits, and excess tax benefits from stock-based awards.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approximately $0.2 million, or 14%, to $1.3 million for the three months ended March 31, 2017 from $1.5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2016. Earnings per diluted share were $0.04 and $0.05 per share for the three months ended March 31, 2017 and 2016, respectively.</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Adjusted EBITDA (which we define as net income before interest, income taxes, stock based compensation, and depreciation and amortization) increased by 7% to approximately $8.7 million for the three months ended March 31, 2017 compared to $8.1 million for the three months ended March 31, 2016. See Reconciliation of Non-GAAP Financial Measures below for our reconciliation of this calculation to measures under US GAAP.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and provides useful information to investors because adjusted EBITDA reflects net income adjusted for certain non-cash and non-operating items. We believe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recent years, including the August 2016 acquisition of Morrisey Associates, Inc., the Company has acquired businesses whose net tangible assets include deferred revenue. In accordance with GAAP reporting requirements, following the completion of any such acquisition, the Company may record a write-down of deferred revenue to fair value as defined in GAAP. If the Company is required to record a write-down of deferred revenue, it may result in lower recognized revenue, operating income, and net income in subsequent periods.</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therewith, this report presents below non-GAAP operating income and non-GAAP net income, which in each such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revenues (and, thus, our GAAP operating income and net income)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188" w:lineRule="exact"/>
        <w:rPr>
          <w:sz w:val="20"/>
          <w:szCs w:val="20"/>
          <w:color w:val="auto"/>
        </w:rPr>
      </w:pPr>
    </w:p>
    <w:p>
      <w:pPr>
        <w:jc w:val="center"/>
        <w:ind w:left="7020"/>
        <w:spacing w:after="0"/>
        <w:rPr>
          <w:sz w:val="20"/>
          <w:szCs w:val="20"/>
          <w:color w:val="auto"/>
        </w:rPr>
      </w:pPr>
      <w:r>
        <w:rPr>
          <w:rFonts w:ascii="Arial" w:cs="Arial" w:eastAsia="Arial" w:hAnsi="Arial"/>
          <w:sz w:val="14"/>
          <w:szCs w:val="14"/>
          <w:color w:val="auto"/>
        </w:rPr>
        <w:t>Three Months Ended</w:t>
      </w:r>
    </w:p>
    <w:p>
      <w:pPr>
        <w:jc w:val="center"/>
        <w:ind w:left="702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2017</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 income</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(160)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Income tax provision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8,657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GAAP operating income</w:t>
            </w:r>
          </w:p>
        </w:tc>
        <w:tc>
          <w:tcPr>
            <w:tcW w:w="1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1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provided by operating activities increased by $10.8 million, or 189%, to $16.5 million during the three months ended March 31, 2017 from $5.7 million during the three months ended March 31, 2016. The number of days sales outstanding (DSO) was 63 days for the first quarter of 2017 compared to 58 days for the first quarter of 2016. The increase in DSO primarily relates to higher accounts receivable balances and slower collections in the Provider Solutions segment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Net cash used in investing activities was approximately $12.9 million and $4.7 million for the three months ended March 31, 2017 and 2016, respectively. During the three months ended March 31, 2017, the Company purchased $1.0 million of property and equipment, spent $3.0 million for capitalized software development, and invested $28.2 million in marketable securities. These uses of cash were partially offset by maturities of marketable securities of $19.3 million. During the three months ended March 31, 2016, the Company purchased $2.7 million of property and equipment, spent $2.0 million for capitalized software development, and invested $41.9 million in marketable securities. These uses of cash were partially offset by maturities of marketable securities of $41.0 million and proceeds of $975,000 from the sale of long-lived assets.</w:t>
      </w:r>
    </w:p>
    <w:p>
      <w:pPr>
        <w:spacing w:after="0" w:line="17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Net cash used in financing activities was approximately $268,000 and $233,000 for the three months ended March 31, 2017 and 2016, respectively. The primary sources of cash from financing activities for both 2017 and 2016 resulted from the exercise of employee stock options. The primary uses of cash for both 2017 and 2016 resulted from the payment of employee payroll taxes in relation to the vesting of RSUs. The Company net-share settled the employee RSUs by withholding shares with value equivalent to the employee’s minimum statutory obligation for the applicable income and other employment taxes.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balance sheet reflects positive working capital of $85.9 million at March 31, 2017 compared to $82.5 million at December 31, 2016. The Company’s primary source of liquidity is $115.3 million of cash and cash equivalents and marketable securities. The Company also has a $50.0 million revolving credit facility, all of which was available for additional borrowing at March 31, 2017.</w:t>
      </w:r>
    </w:p>
    <w:p>
      <w:pPr>
        <w:spacing w:after="0" w:line="18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March 31, 2017, we were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exposed to market risk from changes in interest rates. We do not have any foreign currency exchange rate risk or commodity price risk. As of March 31, 2017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$115.3 million at March 31, 2017. Assuming a hypothetical 10% decrease in interest rates for invested balances, interest income from cash and investments would decrease on an annualized basis by approximately $90,000.</w:t>
      </w:r>
    </w:p>
    <w:p>
      <w:pPr>
        <w:spacing w:after="0" w:line="17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first quarter of 2017 that has materially affected, or that is reasonably likely to materially affect, HealthStream’s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10.1^ – Form of HealthStream, Inc. Restricted Share Unit Agreement (Officers) under 2016 Omnibus Incentive Plan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10.2^ – Form of HealthStream, Inc. Restricted Share Unit Agreement (Non-Employee Director) under 2016 Omnibus Incentive Plan</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INS – XBRL Instance Document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SCH – XBRL Taxonomy Extension Schema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CAL – XBRL Taxonomy Extension Calculation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DEF – XBRL Taxonomy Extension Definition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LAB – XBRL Taxonomy Extension Label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PRE – XBRL Taxonomy Extension Presentation Linkbase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4980" w:type="dxa"/>
            <w:vAlign w:val="bottom"/>
          </w:tcPr>
          <w:p>
            <w:pPr>
              <w:ind w:left="2480"/>
              <w:spacing w:after="0"/>
              <w:rPr>
                <w:sz w:val="20"/>
                <w:szCs w:val="20"/>
                <w:color w:val="auto"/>
              </w:rPr>
            </w:pPr>
            <w:r>
              <w:rPr>
                <w:rFonts w:ascii="Arial" w:cs="Arial" w:eastAsia="Arial" w:hAnsi="Arial"/>
                <w:sz w:val="18"/>
                <w:szCs w:val="18"/>
                <w:color w:val="auto"/>
              </w:rPr>
              <w:t>HEALTHSTREAM,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May 1, 2017</w:t>
            </w:r>
          </w:p>
        </w:tc>
        <w:tc>
          <w:tcPr>
            <w:tcW w:w="4980" w:type="dxa"/>
            <w:vAlign w:val="bottom"/>
          </w:tcPr>
          <w:p>
            <w:pPr>
              <w:ind w:left="2480"/>
              <w:spacing w:after="0"/>
              <w:rPr>
                <w:sz w:val="20"/>
                <w:szCs w:val="20"/>
                <w:color w:val="auto"/>
              </w:rPr>
            </w:pPr>
            <w:r>
              <w:rPr>
                <w:rFonts w:ascii="Arial" w:cs="Arial" w:eastAsia="Arial" w:hAnsi="Arial"/>
                <w:sz w:val="18"/>
                <w:szCs w:val="18"/>
                <w:color w:val="auto"/>
                <w:w w:val="96"/>
              </w:rPr>
              <w:t>By:  /</w:t>
            </w:r>
            <w:r>
              <w:rPr>
                <w:rFonts w:ascii="Arial" w:cs="Arial" w:eastAsia="Arial" w:hAnsi="Arial"/>
                <w:sz w:val="15"/>
                <w:szCs w:val="15"/>
                <w:color w:val="auto"/>
                <w:w w:val="96"/>
              </w:rPr>
              <w:t>S</w:t>
            </w:r>
            <w:r>
              <w:rPr>
                <w:rFonts w:ascii="Arial" w:cs="Arial" w:eastAsia="Arial" w:hAnsi="Arial"/>
                <w:sz w:val="18"/>
                <w:szCs w:val="18"/>
                <w:color w:val="auto"/>
                <w:w w:val="96"/>
              </w:rPr>
              <w:t>/ G</w:t>
            </w:r>
            <w:r>
              <w:rPr>
                <w:rFonts w:ascii="Arial" w:cs="Arial" w:eastAsia="Arial" w:hAnsi="Arial"/>
                <w:sz w:val="15"/>
                <w:szCs w:val="15"/>
                <w:color w:val="auto"/>
                <w:w w:val="96"/>
              </w:rPr>
              <w:t>ERARD</w:t>
            </w:r>
            <w:r>
              <w:rPr>
                <w:rFonts w:ascii="Arial" w:cs="Arial" w:eastAsia="Arial" w:hAnsi="Arial"/>
                <w:sz w:val="18"/>
                <w:szCs w:val="18"/>
                <w:color w:val="auto"/>
                <w:w w:val="96"/>
              </w:rPr>
              <w:t xml:space="preserve"> M. H</w:t>
            </w:r>
            <w:r>
              <w:rPr>
                <w:rFonts w:ascii="Arial" w:cs="Arial" w:eastAsia="Arial" w:hAnsi="Arial"/>
                <w:sz w:val="15"/>
                <w:szCs w:val="15"/>
                <w:color w:val="auto"/>
                <w:w w:val="96"/>
              </w:rPr>
              <w:t>AYDEN</w:t>
            </w:r>
            <w:r>
              <w:rPr>
                <w:rFonts w:ascii="Arial" w:cs="Arial" w:eastAsia="Arial" w:hAnsi="Arial"/>
                <w:sz w:val="18"/>
                <w:szCs w:val="18"/>
                <w:color w:val="auto"/>
                <w:w w:val="96"/>
              </w:rPr>
              <w:t>, J</w:t>
            </w:r>
            <w:r>
              <w:rPr>
                <w:rFonts w:ascii="Arial" w:cs="Arial" w:eastAsia="Arial" w:hAnsi="Arial"/>
                <w:sz w:val="15"/>
                <w:szCs w:val="15"/>
                <w:color w:val="auto"/>
                <w:w w:val="96"/>
              </w:rPr>
              <w:t>R</w:t>
            </w:r>
            <w:r>
              <w:rPr>
                <w:rFonts w:ascii="Arial" w:cs="Arial" w:eastAsia="Arial" w:hAnsi="Arial"/>
                <w:sz w:val="18"/>
                <w:szCs w:val="18"/>
                <w:color w:val="auto"/>
                <w:w w:val="96"/>
              </w:rPr>
              <w:t>.</w:t>
            </w:r>
          </w:p>
        </w:tc>
      </w:tr>
    </w:tbl>
    <w:p>
      <w:pPr>
        <w:ind w:left="6280"/>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00"/>
          </w:cols>
          <w:pgMar w:left="240" w:top="459" w:right="8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8980" w:type="dxa"/>
            <w:vAlign w:val="bottom"/>
          </w:tcPr>
          <w:p>
            <w:pPr>
              <w:spacing w:after="0"/>
              <w:rPr>
                <w:sz w:val="17"/>
                <w:szCs w:val="17"/>
                <w:color w:val="auto"/>
              </w:rPr>
            </w:pPr>
          </w:p>
        </w:tc>
      </w:tr>
      <w:tr>
        <w:trPr>
          <w:trHeight w:val="534"/>
        </w:trPr>
        <w:tc>
          <w:tcPr>
            <w:tcW w:w="4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Pr>
          <w:p>
            <w:pPr>
              <w:ind w:left="3340"/>
              <w:spacing w:after="0"/>
              <w:rPr>
                <w:sz w:val="20"/>
                <w:szCs w:val="20"/>
                <w:color w:val="auto"/>
              </w:rPr>
            </w:pPr>
            <w:r>
              <w:rPr>
                <w:rFonts w:ascii="Arial" w:cs="Arial" w:eastAsia="Arial" w:hAnsi="Arial"/>
                <w:sz w:val="18"/>
                <w:szCs w:val="18"/>
                <w:b w:val="1"/>
                <w:bCs w:val="1"/>
                <w:color w:val="auto"/>
              </w:rPr>
              <w:t>HEALTHSTREAM, INC.</w:t>
            </w:r>
          </w:p>
        </w:tc>
      </w:tr>
      <w:tr>
        <w:trPr>
          <w:trHeight w:val="324"/>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136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Form of HealthStream, Inc. Restricted Share Unit Agreement (Officers) under 2016 Omnibus Incentive Plan</w:t>
            </w:r>
          </w:p>
        </w:tc>
      </w:tr>
      <w:tr>
        <w:trPr>
          <w:trHeight w:val="324"/>
        </w:trPr>
        <w:tc>
          <w:tcPr>
            <w:tcW w:w="136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1"/>
              </w:rPr>
              <w:t>Form of HealthStream, Inc. Restricted Share Unit Agreement (Non-Employee Director) under 2016 Omnibus Incentive Plan</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32.2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101.1 INS</w:t>
            </w:r>
          </w:p>
        </w:tc>
        <w:tc>
          <w:tcPr>
            <w:tcW w:w="89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101.1 SCH</w:t>
            </w:r>
          </w:p>
        </w:tc>
        <w:tc>
          <w:tcPr>
            <w:tcW w:w="898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CAL</w:t>
            </w:r>
          </w:p>
        </w:tc>
        <w:tc>
          <w:tcPr>
            <w:tcW w:w="898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DEF</w:t>
            </w:r>
          </w:p>
        </w:tc>
        <w:tc>
          <w:tcPr>
            <w:tcW w:w="898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101.1 LAB</w:t>
            </w:r>
          </w:p>
        </w:tc>
        <w:tc>
          <w:tcPr>
            <w:tcW w:w="898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PRE</w:t>
            </w:r>
          </w:p>
        </w:tc>
        <w:tc>
          <w:tcPr>
            <w:tcW w:w="898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0360"/>
          </w:cols>
          <w:pgMar w:left="240" w:top="446" w:right="12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This RESTRICTED SHARE UNIT AGREEMENT (this “Agreement”) is made and entered into as of the [•] day of [•] (the “Grant Date”), between HealthStream, Inc., a Tennessee corporation (together with its Subsidiaries and Affiliates, the “Company”), and [•] (the “Grantee”). Capitalized terms not otherwise defined herein shall have the meaning ascribed to such terms in the HealthStream, Inc. 2016 Omnibus Incentive Plan (the “Plan”).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WHEREAS, the Compensation Committee of the Board of Directors of the Company, including any subcommittee formed pursuant to Section 3.3 of the Plan (the “Committee”) has determined that it would be to the advantage and best interest of the Company and its shareholders to grant an award of the Restricted Share Units provided for herein to the Grantee as an incentive for increased efforts during his or her term of service or employment with the Company or its Subsidiaries or Affiliates, and has advised the Company thereof and instructed the undersigned officers to award said Restricted Share Units;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900" w:type="dxa"/>
            <w:vAlign w:val="bottom"/>
            <w:gridSpan w:val="3"/>
          </w:tcPr>
          <w:p>
            <w:pPr>
              <w:ind w:left="800"/>
              <w:spacing w:after="0"/>
              <w:rPr>
                <w:sz w:val="20"/>
                <w:szCs w:val="20"/>
                <w:color w:val="auto"/>
              </w:rPr>
            </w:pPr>
            <w:r>
              <w:rPr>
                <w:rFonts w:ascii="Arial" w:cs="Arial" w:eastAsia="Arial" w:hAnsi="Arial"/>
                <w:sz w:val="18"/>
                <w:szCs w:val="18"/>
                <w:b w:val="1"/>
                <w:bCs w:val="1"/>
                <w:color w:val="auto"/>
              </w:rPr>
              <w:t>RESTRICTED SHARE UNIT GRANT</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0" w:type="dxa"/>
            <w:vAlign w:val="bottom"/>
            <w:vMerge w:val="restart"/>
          </w:tcPr>
          <w:p>
            <w:pPr>
              <w:spacing w:after="0"/>
              <w:rPr>
                <w:sz w:val="22"/>
                <w:szCs w:val="22"/>
                <w:color w:val="auto"/>
              </w:rPr>
            </w:pPr>
          </w:p>
        </w:tc>
        <w:tc>
          <w:tcPr>
            <w:tcW w:w="1200" w:type="dxa"/>
            <w:vAlign w:val="bottom"/>
            <w:vMerge w:val="restart"/>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20" w:type="dxa"/>
            <w:vAlign w:val="bottom"/>
            <w:tcBorders>
              <w:top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Grantee:</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60" w:type="dxa"/>
            <w:vAlign w:val="bottom"/>
            <w:gridSpan w:val="4"/>
          </w:tcPr>
          <w:p>
            <w:pPr>
              <w:spacing w:after="0"/>
              <w:rPr>
                <w:sz w:val="20"/>
                <w:szCs w:val="20"/>
                <w:color w:val="auto"/>
              </w:rPr>
            </w:pPr>
            <w:r>
              <w:rPr>
                <w:rFonts w:ascii="Arial" w:cs="Arial" w:eastAsia="Arial" w:hAnsi="Arial"/>
                <w:sz w:val="18"/>
                <w:szCs w:val="18"/>
                <w:color w:val="auto"/>
              </w:rPr>
              <w:t>Aggregate number of Restricted Share Units</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Granted hereunder:</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60" w:type="dxa"/>
            <w:vAlign w:val="bottom"/>
            <w:gridSpan w:val="4"/>
          </w:tcPr>
          <w:p>
            <w:pPr>
              <w:spacing w:after="0"/>
              <w:rPr>
                <w:sz w:val="20"/>
                <w:szCs w:val="20"/>
                <w:color w:val="auto"/>
              </w:rPr>
            </w:pPr>
            <w:r>
              <w:rPr>
                <w:rFonts w:ascii="Arial" w:cs="Arial" w:eastAsia="Arial" w:hAnsi="Arial"/>
                <w:sz w:val="18"/>
                <w:szCs w:val="18"/>
                <w:color w:val="auto"/>
              </w:rPr>
              <w:t>Grant Date:</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7840" w:type="dxa"/>
            <w:vAlign w:val="bottom"/>
            <w:gridSpan w:val="6"/>
          </w:tcPr>
          <w:p>
            <w:pPr>
              <w:spacing w:after="0"/>
              <w:rPr>
                <w:sz w:val="20"/>
                <w:szCs w:val="20"/>
                <w:color w:val="auto"/>
              </w:rPr>
            </w:pPr>
            <w:r>
              <w:rPr>
                <w:rFonts w:ascii="Arial" w:cs="Arial" w:eastAsia="Arial" w:hAnsi="Arial"/>
                <w:sz w:val="18"/>
                <w:szCs w:val="18"/>
                <w:color w:val="auto"/>
              </w:rPr>
              <w:t>1. Grant of Restricted Share Unit Award.</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1.1 The Company hereby grants to the Grantee the award (“Award”) of Restricted Share Units (“RSUs”) set forth above on the terms and conditions set forth in this Agreement and as otherwise provided in the Plan. Each RSU shall have a value equal to the Fair Market Value of one Share. A bookkeeping account will be maintained by the Company to keep track of the RSUs.</w:t>
      </w:r>
    </w:p>
    <w:p>
      <w:pPr>
        <w:spacing w:after="0" w:line="181"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ectPr>
          <w:pgSz w:w="11900" w:h="16838" w:orient="portrait"/>
          <w:cols w:equalWidth="0" w:num="1">
            <w:col w:w="11420"/>
          </w:cols>
          <w:pgMar w:left="240" w:top="121" w:right="239" w:bottom="1440" w:gutter="0" w:footer="0" w:header="0"/>
        </w:sectPr>
      </w:pPr>
    </w:p>
    <w:bookmarkStart w:id="23" w:name="page24"/>
    <w:bookmarkEnd w:id="23"/>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Award may not be assigned, alienated, pledged, attached, sold or otherwise transferred or encumbered by Grantee other than by will or the laws of descent and distribution.</w:t>
      </w:r>
    </w:p>
    <w:p>
      <w:pPr>
        <w:spacing w:after="0" w:line="170"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the RSUs subject to this Award shall vest as follows:</w:t>
      </w:r>
    </w:p>
    <w:p>
      <w:pPr>
        <w:spacing w:after="0" w:line="117" w:lineRule="exact"/>
        <w:rPr>
          <w:sz w:val="20"/>
          <w:szCs w:val="20"/>
          <w:color w:val="auto"/>
        </w:rPr>
      </w:pPr>
    </w:p>
    <w:p>
      <w:pPr>
        <w:ind w:left="1560" w:hanging="219"/>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 of the RSUs shall vest on the first anniversary of the Grant Date;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20% of the RSUs shall vest on the second anniversary of the Grant Date;</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30% of the RSUs shall vest on the third anniversary of the Grant Date; and</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remaining 35% of the RSUs shall vest on the fourth anniversary of the Grant Date.</w:t>
      </w:r>
    </w:p>
    <w:p>
      <w:pPr>
        <w:spacing w:after="0" w:line="22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Change in Control</w:t>
      </w:r>
      <w:r>
        <w:rPr>
          <w:rFonts w:ascii="Arial" w:cs="Arial" w:eastAsia="Arial" w:hAnsi="Arial"/>
          <w:sz w:val="17"/>
          <w:szCs w:val="17"/>
          <w:color w:val="auto"/>
        </w:rPr>
        <w:t>. Notwithstanding the foregoing, upon the occurrence of a Change in Control, this Award shall become vested immediately prior to a Change in Control as to 100% of the RSUs (but only to the extent such Award has not otherwise terminated or become vested).</w:t>
      </w:r>
    </w:p>
    <w:p>
      <w:pPr>
        <w:spacing w:after="0" w:line="14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Grantee shall be entitled to settlement of the RSUs subject to this Award at the time that such RSUs vest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as applicable. Such settlement shall be made as promptly as practicable thereafter (but in no event after the fifteenth day following the applicable vesting date, or in the case of a Change in Control, the Change in Control) through the issuance of Shares equal to the number of such vested RSUs. Any settlement of RSUs granted pursuant to this Award shall be made in Shares as evidenced by a “book entry” (i.e., a computerized or manual entry) in the records of the Company or its designated agent in the name of the Grantee who has become vested in such Shares (or, if requested by Grantee, a stock certificate evidencing such Shares). Notwithstanding the foregoing, if this Award vests in connection with a Change in Control and the Shares issuable in connection with such vesting subsequently have been converted into or have other been transferred in exchange for other consideration in connection with such Change in Control, Grantee will be entitled to receive such other consideration in lieu of the converted or transferred Shares. The Grantee will not be entitled to any dividend equivalent or voting rights with regard to the RSUs.</w:t>
      </w:r>
    </w:p>
    <w:p>
      <w:pPr>
        <w:spacing w:after="0" w:line="182"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w:t>
      </w:r>
      <w:r>
        <w:rPr>
          <w:rFonts w:ascii="Arial" w:cs="Arial" w:eastAsia="Arial" w:hAnsi="Arial"/>
          <w:sz w:val="18"/>
          <w:szCs w:val="18"/>
          <w:color w:val="auto"/>
        </w:rPr>
        <w:t>. Except as otherwise provided by the Committee, this Award shall not become vested as to any RSUs that have not vested as of the time of the Grantee’s termination of employment with the Company for any reason, and Grantee shall forfeit any unvested RSUs as of the date of such termination of employment.</w:t>
      </w:r>
    </w:p>
    <w:p>
      <w:pPr>
        <w:sectPr>
          <w:pgSz w:w="11900" w:h="16838" w:orient="portrait"/>
          <w:cols w:equalWidth="0" w:num="1">
            <w:col w:w="11380"/>
          </w:cols>
          <w:pgMar w:left="240" w:top="274" w:right="279" w:bottom="1440" w:gutter="0" w:footer="0" w:header="0"/>
        </w:sectPr>
      </w:pPr>
    </w:p>
    <w:bookmarkStart w:id="24" w:name="page25"/>
    <w:bookmarkEnd w:id="24"/>
    <w:p>
      <w:pPr>
        <w:ind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2.5 </w:t>
      </w:r>
      <w:r>
        <w:rPr>
          <w:rFonts w:ascii="Arial" w:cs="Arial" w:eastAsia="Arial" w:hAnsi="Arial"/>
          <w:sz w:val="17"/>
          <w:szCs w:val="17"/>
          <w:u w:val="single" w:color="auto"/>
          <w:color w:val="auto"/>
        </w:rPr>
        <w:t>Withholding Obligations</w:t>
      </w:r>
      <w:r>
        <w:rPr>
          <w:rFonts w:ascii="Arial" w:cs="Arial" w:eastAsia="Arial" w:hAnsi="Arial"/>
          <w:sz w:val="17"/>
          <w:szCs w:val="17"/>
          <w:color w:val="auto"/>
        </w:rPr>
        <w:t xml:space="preserve">. Prior to the settlement of any RSUs subject to this Award, Grantee shall provide (i) full payment (in cash or by check or by a combination thereof) to satisfy the Withholding Tax Obligation (as defined below) with respect to which the Award or portion thereof shall settle or (ii) subject to compliance with applicable Legal Requirements,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Withholding Tax Obligation that would otherwise be required to be paid by the Grantee to the Company pursuant to clause (i)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Withholding Tax Obligation that would otherwise be required to be made by the Grantee to the Company pursuant to clause (i)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Any social security calculation or other adjustments discovered after the net Share payment described in clause (iii)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Arial" w:cs="Arial" w:eastAsia="Arial" w:hAnsi="Arial"/>
          <w:sz w:val="17"/>
          <w:szCs w:val="17"/>
          <w:u w:val="single" w:color="auto"/>
          <w:color w:val="auto"/>
        </w:rPr>
        <w:t>Section 2.5</w:t>
      </w:r>
      <w:r>
        <w:rPr>
          <w:rFonts w:ascii="Arial" w:cs="Arial" w:eastAsia="Arial" w:hAnsi="Arial"/>
          <w:sz w:val="17"/>
          <w:szCs w:val="17"/>
          <w:color w:val="auto"/>
        </w:rPr>
        <w:t>. For purposes hereof, the “Withholding Tax Obligation” means the minimum amount necessary to satisfy Federal, state, local or foreign withholding tax requirements, if any, in connection with vesting of the Award; provided, however, that, in the discretion of the Company, the Company may allow the Grantee to withhold an additional amount or additional number of Shares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year of vesting.</w:t>
      </w:r>
    </w:p>
    <w:p>
      <w:pPr>
        <w:spacing w:after="0" w:line="191" w:lineRule="exact"/>
        <w:rPr>
          <w:sz w:val="20"/>
          <w:szCs w:val="20"/>
          <w:color w:val="auto"/>
        </w:rPr>
      </w:pPr>
    </w:p>
    <w:p>
      <w:pPr>
        <w:ind w:right="480" w:firstLine="464"/>
        <w:spacing w:after="0" w:line="277"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an officer or employee of the Company.</w:t>
      </w:r>
    </w:p>
    <w:p>
      <w:pPr>
        <w:spacing w:after="0" w:line="170" w:lineRule="exact"/>
        <w:rPr>
          <w:rFonts w:ascii="Arial" w:cs="Arial" w:eastAsia="Arial" w:hAnsi="Arial"/>
          <w:sz w:val="18"/>
          <w:szCs w:val="18"/>
          <w:color w:val="auto"/>
        </w:rPr>
      </w:pPr>
    </w:p>
    <w:p>
      <w:pPr>
        <w:ind w:right="180" w:firstLine="464"/>
        <w:spacing w:after="0" w:line="264"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1" w:lineRule="exact"/>
        <w:rPr>
          <w:rFonts w:ascii="Arial" w:cs="Arial" w:eastAsia="Arial" w:hAnsi="Arial"/>
          <w:sz w:val="18"/>
          <w:szCs w:val="18"/>
          <w:color w:val="auto"/>
        </w:rPr>
      </w:pPr>
    </w:p>
    <w:p>
      <w:pPr>
        <w:ind w:right="40" w:firstLine="464"/>
        <w:spacing w:after="0" w:line="255"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Administration Subject to the Plan</w:t>
      </w:r>
      <w:r>
        <w:rPr>
          <w:rFonts w:ascii="Arial" w:cs="Arial" w:eastAsia="Arial" w:hAnsi="Arial"/>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ectPr>
          <w:pgSz w:w="11900" w:h="16838" w:orient="portrait"/>
          <w:cols w:equalWidth="0" w:num="1">
            <w:col w:w="11400"/>
          </w:cols>
          <w:pgMar w:left="240" w:top="274" w:right="259" w:bottom="1440" w:gutter="0" w:footer="0" w:header="0"/>
        </w:sectPr>
      </w:pPr>
    </w:p>
    <w:bookmarkStart w:id="25" w:name="page26"/>
    <w:bookmarkEnd w:id="25"/>
    <w:p>
      <w:pPr>
        <w:ind w:left="-464" w:right="380" w:firstLine="464"/>
        <w:spacing w:after="0" w:line="264" w:lineRule="auto"/>
        <w:tabs>
          <w:tab w:leader="none" w:pos="17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1" w:lineRule="exact"/>
        <w:rPr>
          <w:rFonts w:ascii="Arial" w:cs="Arial" w:eastAsia="Arial" w:hAnsi="Arial"/>
          <w:sz w:val="18"/>
          <w:szCs w:val="18"/>
          <w:color w:val="auto"/>
        </w:rPr>
      </w:pPr>
    </w:p>
    <w:p>
      <w:pPr>
        <w:ind w:left="-464" w:firstLine="464"/>
        <w:spacing w:after="0" w:line="285" w:lineRule="auto"/>
        <w:tabs>
          <w:tab w:leader="none" w:pos="17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 (i) 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68" w:lineRule="exact"/>
        <w:rPr>
          <w:rFonts w:ascii="Arial" w:cs="Arial" w:eastAsia="Arial" w:hAnsi="Arial"/>
          <w:sz w:val="16"/>
          <w:szCs w:val="16"/>
          <w:color w:val="auto"/>
        </w:rPr>
      </w:pPr>
    </w:p>
    <w:p>
      <w:pPr>
        <w:ind w:left="-464" w:right="160" w:firstLine="464"/>
        <w:spacing w:after="0" w:line="308" w:lineRule="auto"/>
        <w:tabs>
          <w:tab w:leader="none" w:pos="17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ectPr>
          <w:pgSz w:w="11900" w:h="16838" w:orient="portrait"/>
          <w:cols w:equalWidth="0" w:num="1">
            <w:col w:w="10936"/>
          </w:cols>
          <w:pgMar w:left="704" w:top="274" w:right="259" w:bottom="1440" w:gutter="0" w:footer="0" w:header="0"/>
        </w:sectPr>
      </w:pPr>
    </w:p>
    <w:bookmarkStart w:id="26" w:name="page27"/>
    <w:bookmarkEnd w:id="26"/>
    <w:p>
      <w:pPr>
        <w:ind w:right="40" w:firstLine="464"/>
        <w:spacing w:after="0" w:line="25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8" w:lineRule="exact"/>
        <w:rPr>
          <w:rFonts w:ascii="Arial" w:cs="Arial" w:eastAsia="Arial" w:hAnsi="Arial"/>
          <w:sz w:val="18"/>
          <w:szCs w:val="18"/>
          <w:color w:val="auto"/>
        </w:rPr>
      </w:pPr>
    </w:p>
    <w:p>
      <w:pPr>
        <w:ind w:right="680" w:firstLine="464"/>
        <w:spacing w:after="0" w:line="342" w:lineRule="auto"/>
        <w:tabs>
          <w:tab w:leader="none" w:pos="72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23" w:lineRule="exact"/>
        <w:rPr>
          <w:rFonts w:ascii="Arial" w:cs="Arial" w:eastAsia="Arial" w:hAnsi="Arial"/>
          <w:sz w:val="16"/>
          <w:szCs w:val="16"/>
          <w:color w:val="auto"/>
        </w:rPr>
      </w:pPr>
    </w:p>
    <w:p>
      <w:pPr>
        <w:ind w:right="60" w:firstLine="464"/>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1" w:lineRule="exact"/>
        <w:rPr>
          <w:rFonts w:ascii="Arial" w:cs="Arial" w:eastAsia="Arial" w:hAnsi="Arial"/>
          <w:sz w:val="18"/>
          <w:szCs w:val="18"/>
          <w:color w:val="auto"/>
        </w:rPr>
      </w:pPr>
    </w:p>
    <w:p>
      <w:pPr>
        <w:jc w:val="both"/>
        <w:ind w:right="740" w:firstLine="464"/>
        <w:spacing w:after="0" w:line="264" w:lineRule="auto"/>
        <w:tabs>
          <w:tab w:leader="none" w:pos="72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81" w:lineRule="exact"/>
        <w:rPr>
          <w:rFonts w:ascii="Arial" w:cs="Arial" w:eastAsia="Arial" w:hAnsi="Arial"/>
          <w:sz w:val="18"/>
          <w:szCs w:val="18"/>
          <w:color w:val="auto"/>
        </w:rPr>
      </w:pPr>
    </w:p>
    <w:p>
      <w:pPr>
        <w:ind w:firstLine="464"/>
        <w:spacing w:after="0" w:line="277" w:lineRule="auto"/>
        <w:tabs>
          <w:tab w:leader="none" w:pos="72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given under this Award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1380"/>
          </w:cols>
          <w:pgMar w:left="240" w:top="274" w:right="279" w:bottom="1440" w:gutter="0" w:footer="0" w:header="0"/>
        </w:sectPr>
      </w:pP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To the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Cummins Station, Suite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209 10th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116" w:lineRule="exact"/>
        <w:rPr>
          <w:sz w:val="20"/>
          <w:szCs w:val="20"/>
          <w:color w:val="auto"/>
        </w:rPr>
      </w:pPr>
    </w:p>
    <w:p>
      <w:pPr>
        <w:sectPr>
          <w:pgSz w:w="11900" w:h="16838" w:orient="portrait"/>
          <w:cols w:equalWidth="0" w:num="2">
            <w:col w:w="1600" w:space="700"/>
            <w:col w:w="9080"/>
          </w:cols>
          <w:pgMar w:left="240" w:top="274" w:right="279" w:bottom="1440" w:gutter="0" w:footer="0" w:header="0"/>
          <w:type w:val="continuous"/>
        </w:sectPr>
      </w:pPr>
    </w:p>
    <w:p>
      <w:pPr>
        <w:ind w:left="360"/>
        <w:spacing w:after="0"/>
        <w:rPr>
          <w:sz w:val="20"/>
          <w:szCs w:val="20"/>
          <w:color w:val="auto"/>
        </w:rPr>
      </w:pPr>
      <w:r>
        <w:rPr>
          <w:rFonts w:ascii="Arial" w:cs="Arial" w:eastAsia="Arial" w:hAnsi="Arial"/>
          <w:sz w:val="16"/>
          <w:szCs w:val="16"/>
          <w:i w:val="1"/>
          <w:iCs w:val="1"/>
          <w:color w:val="auto"/>
        </w:rPr>
        <w:t>To the Grantee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580" w:space="720"/>
            <w:col w:w="9080"/>
          </w:cols>
          <w:pgMar w:left="240" w:top="274" w:right="279" w:bottom="1440" w:gutter="0" w:footer="0" w:header="0"/>
          <w:type w:val="continuous"/>
        </w:sectPr>
      </w:pPr>
    </w:p>
    <w:p>
      <w:pPr>
        <w:spacing w:after="0" w:line="4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WITNESS WHEREOF, the parties have caused this Restricted Share Unit Agreement to be duly executed effective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HEALTHSTREAM, INC.:</w:t>
      </w:r>
    </w:p>
    <w:p>
      <w:pPr>
        <w:spacing w:after="0" w:line="2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This RESTRICTED SHARE UNIT AGREEMENT (this “Agreement”) is made and entered into as of the [•] day of [•] (the “Grant Date”), between HealthStream, Inc., a Tennessee corporation (together with its Subsidiaries and Affiliates, the “Company”), and [•] (the “Grantee”). Capitalized terms not otherwise defined herein shall have the meaning ascribed to such terms in the HealthStream, Inc. 2016 Omnibus Incentive Plan (the “Plan”).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WHEREAS, the Compensation Committee of the Board of Directors of the Company, including any subcommittee formed pursuant to Section 3.3 of the Plan (the “Committee”) has determined that it would be to the advantage and best interest of the Company and its shareholders to grant an award of the Restricted Share Units provided for herein to the Grantee as an incentive for increased efforts during his or her term of service or employment with the Company or its Subsidiaries or Affiliates, and has advised the Company thereof and instructed the undersigned officers to award said Restricted Share Units;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900" w:type="dxa"/>
            <w:vAlign w:val="bottom"/>
          </w:tcPr>
          <w:p>
            <w:pPr>
              <w:ind w:left="800"/>
              <w:spacing w:after="0"/>
              <w:rPr>
                <w:sz w:val="20"/>
                <w:szCs w:val="20"/>
                <w:color w:val="auto"/>
              </w:rPr>
            </w:pPr>
            <w:r>
              <w:rPr>
                <w:rFonts w:ascii="Arial" w:cs="Arial" w:eastAsia="Arial" w:hAnsi="Arial"/>
                <w:sz w:val="18"/>
                <w:szCs w:val="18"/>
                <w:b w:val="1"/>
                <w:bCs w:val="1"/>
                <w:color w:val="auto"/>
              </w:rPr>
              <w:t>RESTRICTED SHARE UNIT GRANT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vMerge w:val="restart"/>
          </w:tcPr>
          <w:p>
            <w:pPr>
              <w:spacing w:after="0"/>
              <w:rPr>
                <w:sz w:val="21"/>
                <w:szCs w:val="21"/>
                <w:color w:val="auto"/>
              </w:rPr>
            </w:pPr>
          </w:p>
        </w:tc>
        <w:tc>
          <w:tcPr>
            <w:tcW w:w="1200" w:type="dxa"/>
            <w:vAlign w:val="bottom"/>
            <w:vMerge w:val="restart"/>
          </w:tcPr>
          <w:p>
            <w:pPr>
              <w:spacing w:after="0"/>
              <w:rPr>
                <w:sz w:val="21"/>
                <w:szCs w:val="21"/>
                <w:color w:val="auto"/>
              </w:rPr>
            </w:pPr>
          </w:p>
        </w:tc>
        <w:tc>
          <w:tcPr>
            <w:tcW w:w="15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Grantee:</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Aggregate number of Restricted Share Units</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hereunder:</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Grant Date:</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7840" w:type="dxa"/>
            <w:vAlign w:val="bottom"/>
            <w:gridSpan w:val="4"/>
          </w:tcPr>
          <w:p>
            <w:pPr>
              <w:spacing w:after="0"/>
              <w:rPr>
                <w:sz w:val="20"/>
                <w:szCs w:val="20"/>
                <w:color w:val="auto"/>
              </w:rPr>
            </w:pPr>
            <w:r>
              <w:rPr>
                <w:rFonts w:ascii="Arial" w:cs="Arial" w:eastAsia="Arial" w:hAnsi="Arial"/>
                <w:sz w:val="18"/>
                <w:szCs w:val="18"/>
                <w:color w:val="auto"/>
              </w:rPr>
              <w:t>1. Grant of Restricted Share Unit Award.</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1.1 The Company hereby grants to the Grantee the award (“Award”) of Restricted Share Units (“RSUs”) set forth above on the terms and conditions set forth in this Agreement and as otherwise provided in the Plan. Each RSU shall have a value equal to the Fair Market Value of one Share. A bookkeeping account will be maintained by the Company to keep track of the RSUs.</w:t>
      </w:r>
    </w:p>
    <w:p>
      <w:pPr>
        <w:spacing w:after="0" w:line="181"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ectPr>
          <w:pgSz w:w="11900" w:h="16838" w:orient="portrait"/>
          <w:cols w:equalWidth="0" w:num="1">
            <w:col w:w="11420"/>
          </w:cols>
          <w:pgMar w:left="240" w:top="121" w:right="239" w:bottom="1440" w:gutter="0" w:footer="0" w:header="0"/>
        </w:sectPr>
      </w:pPr>
    </w:p>
    <w:bookmarkStart w:id="28" w:name="page29"/>
    <w:bookmarkEnd w:id="28"/>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Award may not be assigned, alienated, pledged, attached, sold or otherwise transferred or encumbered by Grantee other than by will or the laws of descent and distribution.</w:t>
      </w:r>
    </w:p>
    <w:p>
      <w:pPr>
        <w:spacing w:after="0" w:line="170"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the RSUs subject to this Award shall vest as follows:</w:t>
      </w:r>
    </w:p>
    <w:p>
      <w:pPr>
        <w:spacing w:after="0" w:line="117" w:lineRule="exact"/>
        <w:rPr>
          <w:sz w:val="20"/>
          <w:szCs w:val="20"/>
          <w:color w:val="auto"/>
        </w:rPr>
      </w:pPr>
    </w:p>
    <w:p>
      <w:pPr>
        <w:ind w:left="1560" w:hanging="219"/>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 of the RSUs shall vest on the first anniversary of the Grant Date;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1/3 of the RSUs shall vest on the second anniversary of the Grant Date; and</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remaining 1/3 of the RSUs shall vest on the third anniversary of the Grant Date.</w:t>
      </w:r>
    </w:p>
    <w:p>
      <w:pPr>
        <w:spacing w:after="0" w:line="22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Change in Control</w:t>
      </w:r>
      <w:r>
        <w:rPr>
          <w:rFonts w:ascii="Arial" w:cs="Arial" w:eastAsia="Arial" w:hAnsi="Arial"/>
          <w:sz w:val="17"/>
          <w:szCs w:val="17"/>
          <w:color w:val="auto"/>
        </w:rPr>
        <w:t>. Notwithstanding the foregoing, upon the occurrence of a Change in Control, this Award shall become vested immediately prior to a Change in Control as to 100% of the RSUs (but only to the extent such Award has not otherwise terminated or become vested).</w:t>
      </w:r>
    </w:p>
    <w:p>
      <w:pPr>
        <w:spacing w:after="0" w:line="14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Grantee shall be entitled to settlement of the RSUs subject to this Award at the time that such RSUs vest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as applicable. Such settlement shall be made as promptly as practicable thereafter (but in no event after the fifteenth day following the applicable vesting date, or in the case of a Change in Control, the Change in Control) through the issuance of Shares equal to the number of such vested RSUs. Any settlement of RSUs granted pursuant to this Award shall be made in Shares as evidenced by a “book entry” (i.e., a computerized or manual entry) in the records of the Company or its designated agent in the name of the Grantee who has become vested in such Shares (or, if requested by Grantee, a stock certificate evidencing such Shares). Notwithstanding the foregoing, if this Award vests in connection with a Change in Control and the Shares issuable in connection with such vesting subsequently have been converted into or have other been transferred in exchange for other consideration in connection with such Change in Control, Grantee will be entitled to receive such other consideration in lieu of the converted or transferred Shares. The Grantee will not be entitled to any dividend equivalent or voting rights with regard to the RSUs.</w:t>
      </w:r>
    </w:p>
    <w:p>
      <w:pPr>
        <w:spacing w:after="0" w:line="182"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w:t>
      </w:r>
      <w:r>
        <w:rPr>
          <w:rFonts w:ascii="Arial" w:cs="Arial" w:eastAsia="Arial" w:hAnsi="Arial"/>
          <w:sz w:val="18"/>
          <w:szCs w:val="18"/>
          <w:color w:val="auto"/>
        </w:rPr>
        <w:t>. Except as otherwise provided by the Committee, this Award shall not become vested as to any RSUs that have not vested as of the time of the Grantee’s termination of service with the Company for any reason, and Grantee shall forfeit any unvested RSUs as of the date of such termination of service.</w:t>
      </w:r>
    </w:p>
    <w:p>
      <w:pPr>
        <w:spacing w:after="0" w:line="181" w:lineRule="exact"/>
        <w:rPr>
          <w:sz w:val="20"/>
          <w:szCs w:val="20"/>
          <w:color w:val="auto"/>
        </w:rPr>
      </w:pPr>
    </w:p>
    <w:p>
      <w:pPr>
        <w:ind w:firstLine="921"/>
        <w:spacing w:after="0" w:line="277" w:lineRule="auto"/>
        <w:tabs>
          <w:tab w:leader="none" w:pos="109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 member of the Board.</w:t>
      </w:r>
    </w:p>
    <w:p>
      <w:pPr>
        <w:sectPr>
          <w:pgSz w:w="11900" w:h="16838" w:orient="portrait"/>
          <w:cols w:equalWidth="0" w:num="1">
            <w:col w:w="11380"/>
          </w:cols>
          <w:pgMar w:left="240" w:top="274" w:right="279" w:bottom="1440" w:gutter="0" w:footer="0" w:header="0"/>
        </w:sectPr>
      </w:pPr>
    </w:p>
    <w:bookmarkStart w:id="29" w:name="page30"/>
    <w:bookmarkEnd w:id="29"/>
    <w:p>
      <w:pPr>
        <w:ind w:left="-921" w:firstLine="921"/>
        <w:spacing w:after="0" w:line="264" w:lineRule="auto"/>
        <w:tabs>
          <w:tab w:leader="none" w:pos="17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1" w:lineRule="exact"/>
        <w:rPr>
          <w:rFonts w:ascii="Arial" w:cs="Arial" w:eastAsia="Arial" w:hAnsi="Arial"/>
          <w:sz w:val="18"/>
          <w:szCs w:val="18"/>
          <w:color w:val="auto"/>
        </w:rPr>
      </w:pPr>
    </w:p>
    <w:p>
      <w:pPr>
        <w:ind w:left="-921" w:right="160" w:firstLine="921"/>
        <w:spacing w:after="0" w:line="255" w:lineRule="auto"/>
        <w:tabs>
          <w:tab w:leader="none" w:pos="17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Administration Subject to the Plan</w:t>
      </w:r>
      <w:r>
        <w:rPr>
          <w:rFonts w:ascii="Arial" w:cs="Arial" w:eastAsia="Arial" w:hAnsi="Arial"/>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89" w:lineRule="exact"/>
        <w:rPr>
          <w:rFonts w:ascii="Arial" w:cs="Arial" w:eastAsia="Arial" w:hAnsi="Arial"/>
          <w:sz w:val="18"/>
          <w:szCs w:val="18"/>
          <w:color w:val="auto"/>
        </w:rPr>
      </w:pPr>
    </w:p>
    <w:p>
      <w:pPr>
        <w:ind w:left="-921" w:right="180" w:firstLine="921"/>
        <w:spacing w:after="0" w:line="264" w:lineRule="auto"/>
        <w:tabs>
          <w:tab w:leader="none" w:pos="17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1" w:lineRule="exact"/>
        <w:rPr>
          <w:rFonts w:ascii="Arial" w:cs="Arial" w:eastAsia="Arial" w:hAnsi="Arial"/>
          <w:sz w:val="18"/>
          <w:szCs w:val="18"/>
          <w:color w:val="auto"/>
        </w:rPr>
      </w:pPr>
    </w:p>
    <w:p>
      <w:pPr>
        <w:ind w:left="-921" w:right="20" w:firstLine="921"/>
        <w:spacing w:after="0" w:line="285" w:lineRule="auto"/>
        <w:tabs>
          <w:tab w:leader="none" w:pos="17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Grantee shall be responsible for all taxes due in connection with the grant or vesting or any payment or transfer with respect to the RSUs and Shares (and cash, if applicable) payable hereunder.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 (i) 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w:t>
      </w:r>
    </w:p>
    <w:p>
      <w:pPr>
        <w:sectPr>
          <w:pgSz w:w="11900" w:h="16838" w:orient="portrait"/>
          <w:cols w:equalWidth="0" w:num="1">
            <w:col w:w="10459"/>
          </w:cols>
          <w:pgMar w:left="1161" w:top="274" w:right="27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88" w:lineRule="exact"/>
        <w:rPr>
          <w:sz w:val="20"/>
          <w:szCs w:val="20"/>
          <w:color w:val="auto"/>
        </w:rPr>
      </w:pPr>
    </w:p>
    <w:p>
      <w:pPr>
        <w:ind w:right="100" w:firstLine="921"/>
        <w:spacing w:after="0" w:line="308" w:lineRule="auto"/>
        <w:tabs>
          <w:tab w:leader="none" w:pos="109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 Right to Continued Service</w:t>
      </w:r>
      <w:r>
        <w:rPr>
          <w:rFonts w:ascii="Arial" w:cs="Arial" w:eastAsia="Arial" w:hAnsi="Arial"/>
          <w:sz w:val="17"/>
          <w:szCs w:val="17"/>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146" w:lineRule="exact"/>
        <w:rPr>
          <w:rFonts w:ascii="Arial" w:cs="Arial" w:eastAsia="Arial" w:hAnsi="Arial"/>
          <w:sz w:val="17"/>
          <w:szCs w:val="17"/>
          <w:color w:val="auto"/>
        </w:rPr>
      </w:pPr>
    </w:p>
    <w:p>
      <w:pPr>
        <w:ind w:right="40" w:firstLine="921"/>
        <w:spacing w:after="0" w:line="257" w:lineRule="auto"/>
        <w:tabs>
          <w:tab w:leader="none" w:pos="109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8" w:lineRule="exact"/>
        <w:rPr>
          <w:rFonts w:ascii="Arial" w:cs="Arial" w:eastAsia="Arial" w:hAnsi="Arial"/>
          <w:sz w:val="18"/>
          <w:szCs w:val="18"/>
          <w:color w:val="auto"/>
        </w:rPr>
      </w:pPr>
    </w:p>
    <w:p>
      <w:pPr>
        <w:ind w:right="240" w:firstLine="921"/>
        <w:spacing w:after="0" w:line="308" w:lineRule="auto"/>
        <w:tabs>
          <w:tab w:leader="none" w:pos="118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46" w:lineRule="exact"/>
        <w:rPr>
          <w:rFonts w:ascii="Arial" w:cs="Arial" w:eastAsia="Arial" w:hAnsi="Arial"/>
          <w:sz w:val="17"/>
          <w:szCs w:val="17"/>
          <w:color w:val="auto"/>
        </w:rPr>
      </w:pPr>
    </w:p>
    <w:p>
      <w:pPr>
        <w:ind w:right="40" w:firstLine="921"/>
        <w:spacing w:after="0" w:line="264" w:lineRule="auto"/>
        <w:tabs>
          <w:tab w:leader="none" w:pos="117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Successors in Interest</w:t>
      </w:r>
      <w:r>
        <w:rPr>
          <w:rFonts w:ascii="Arial" w:cs="Arial" w:eastAsia="Arial" w:hAnsi="Arial"/>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1" w:lineRule="exact"/>
        <w:rPr>
          <w:rFonts w:ascii="Arial" w:cs="Arial" w:eastAsia="Arial" w:hAnsi="Arial"/>
          <w:sz w:val="18"/>
          <w:szCs w:val="18"/>
          <w:color w:val="auto"/>
        </w:rPr>
      </w:pPr>
    </w:p>
    <w:p>
      <w:pPr>
        <w:ind w:right="360" w:firstLine="921"/>
        <w:spacing w:after="0" w:line="264" w:lineRule="auto"/>
        <w:tabs>
          <w:tab w:leader="none" w:pos="118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81" w:lineRule="exact"/>
        <w:rPr>
          <w:rFonts w:ascii="Arial" w:cs="Arial" w:eastAsia="Arial" w:hAnsi="Arial"/>
          <w:sz w:val="18"/>
          <w:szCs w:val="18"/>
          <w:color w:val="auto"/>
        </w:rPr>
      </w:pPr>
    </w:p>
    <w:p>
      <w:pPr>
        <w:ind w:right="80" w:firstLine="921"/>
        <w:spacing w:after="0" w:line="277" w:lineRule="auto"/>
        <w:tabs>
          <w:tab w:leader="none" w:pos="118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given under this Award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1400"/>
          </w:cols>
          <w:pgMar w:left="240" w:top="274" w:right="259" w:bottom="1440" w:gutter="0" w:footer="0" w:header="0"/>
        </w:sectPr>
      </w:pP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To the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Cummins Station, Suite 450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209 10th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116" w:lineRule="exact"/>
        <w:rPr>
          <w:sz w:val="20"/>
          <w:szCs w:val="20"/>
          <w:color w:val="auto"/>
        </w:rPr>
      </w:pPr>
    </w:p>
    <w:p>
      <w:pPr>
        <w:sectPr>
          <w:pgSz w:w="11900" w:h="16838" w:orient="portrait"/>
          <w:cols w:equalWidth="0" w:num="2">
            <w:col w:w="1600" w:space="700"/>
            <w:col w:w="9100"/>
          </w:cols>
          <w:pgMar w:left="240" w:top="274" w:right="259" w:bottom="1440" w:gutter="0" w:footer="0" w:header="0"/>
          <w:type w:val="continuous"/>
        </w:sectPr>
      </w:pPr>
    </w:p>
    <w:p>
      <w:pPr>
        <w:ind w:left="360"/>
        <w:spacing w:after="0"/>
        <w:rPr>
          <w:sz w:val="20"/>
          <w:szCs w:val="20"/>
          <w:color w:val="auto"/>
        </w:rPr>
      </w:pPr>
      <w:r>
        <w:rPr>
          <w:rFonts w:ascii="Arial" w:cs="Arial" w:eastAsia="Arial" w:hAnsi="Arial"/>
          <w:sz w:val="16"/>
          <w:szCs w:val="16"/>
          <w:i w:val="1"/>
          <w:iCs w:val="1"/>
          <w:color w:val="auto"/>
        </w:rPr>
        <w:t>To the Grantee: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ectPr>
          <w:pgSz w:w="11900" w:h="16838" w:orient="portrait"/>
          <w:cols w:equalWidth="0" w:num="2">
            <w:col w:w="1580" w:space="720"/>
            <w:col w:w="9100"/>
          </w:cols>
          <w:pgMar w:left="240" w:top="274" w:right="259" w:bottom="1440" w:gutter="0" w:footer="0" w:header="0"/>
          <w:type w:val="continuous"/>
        </w:sectPr>
      </w:pPr>
    </w:p>
    <w:bookmarkStart w:id="31" w:name="page32"/>
    <w:bookmarkEnd w:id="3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Restricted Share Unit Agreement to be duly executed effective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HEALTHSTREAM, INC.:</w:t>
      </w:r>
    </w:p>
    <w:p>
      <w:pPr>
        <w:spacing w:after="0" w:line="2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60"/>
          </w:cols>
          <w:pgMar w:left="240" w:top="274" w:right="6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May 1,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May 1,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2017,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2017,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1)"/>
      <w:numFmt w:val="lowerRoman"/>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4"/>
    </w:lvl>
  </w:abstractNum>
  <w:abstractNum w:abstractNumId="14">
    <w:nsid w:val="25E45D32"/>
    <w:multiLevelType w:val="hybridMultilevel"/>
    <w:lvl w:ilvl="0">
      <w:lvlJc w:val="left"/>
      <w:lvlText w:val="%1."/>
      <w:numFmt w:val="decimal"/>
      <w:start w:val="8"/>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2019-12-29T06:10:17Z</dcterms:created>
  <dcterms:modified xsi:type="dcterms:W3CDTF">2019-12-29T06:10:17Z</dcterms:modified>
</cp:coreProperties>
</file>