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040"/>
        <w:spacing w:after="0"/>
        <w:tabs>
          <w:tab w:leader="none" w:pos="7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180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79"/>
              </w:rPr>
              <w:t>Tennessee</w:t>
            </w:r>
          </w:p>
        </w:tc>
        <w:tc>
          <w:tcPr>
            <w:tcW w:w="5840" w:type="dxa"/>
            <w:vAlign w:val="bottom"/>
            <w:gridSpan w:val="7"/>
          </w:tcPr>
          <w:p>
            <w:pPr>
              <w:jc w:val="right"/>
              <w:ind w:right="832"/>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149"/>
        </w:trPr>
        <w:tc>
          <w:tcPr>
            <w:tcW w:w="4160" w:type="dxa"/>
            <w:vAlign w:val="bottom"/>
            <w:gridSpan w:val="3"/>
          </w:tcPr>
          <w:p>
            <w:pPr>
              <w:jc w:val="center"/>
              <w:ind w:left="15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1560"/>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18"/>
        </w:trPr>
        <w:tc>
          <w:tcPr>
            <w:tcW w:w="4160" w:type="dxa"/>
            <w:vAlign w:val="bottom"/>
            <w:gridSpan w:val="3"/>
          </w:tcPr>
          <w:p>
            <w:pPr>
              <w:jc w:val="center"/>
              <w:ind w:left="1540"/>
              <w:spacing w:after="0"/>
              <w:rPr>
                <w:sz w:val="20"/>
                <w:szCs w:val="20"/>
                <w:color w:val="auto"/>
              </w:rPr>
            </w:pPr>
            <w:r>
              <w:rPr>
                <w:rFonts w:ascii="Arial" w:cs="Arial" w:eastAsia="Arial" w:hAnsi="Arial"/>
                <w:sz w:val="18"/>
                <w:szCs w:val="18"/>
                <w:b w:val="1"/>
                <w:bCs w:val="1"/>
                <w:color w:val="auto"/>
                <w:w w:val="87"/>
              </w:rPr>
              <w:t>209 10th Avenue South, Suite 450</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160" w:type="dxa"/>
            <w:vAlign w:val="bottom"/>
            <w:gridSpan w:val="3"/>
          </w:tcPr>
          <w:p>
            <w:pPr>
              <w:jc w:val="center"/>
              <w:ind w:left="1540"/>
              <w:spacing w:after="0"/>
              <w:rPr>
                <w:sz w:val="20"/>
                <w:szCs w:val="20"/>
                <w:color w:val="auto"/>
              </w:rPr>
            </w:pPr>
            <w:r>
              <w:rPr>
                <w:rFonts w:ascii="Arial" w:cs="Arial" w:eastAsia="Arial" w:hAnsi="Arial"/>
                <w:sz w:val="18"/>
                <w:szCs w:val="18"/>
                <w:b w:val="1"/>
                <w:bCs w:val="1"/>
                <w:color w:val="auto"/>
                <w:w w:val="84"/>
              </w:rPr>
              <w:t>Nashville, Tennessee</w:t>
            </w:r>
          </w:p>
        </w:tc>
        <w:tc>
          <w:tcPr>
            <w:tcW w:w="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37203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15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gridSpan w:val="2"/>
          </w:tcPr>
          <w:p>
            <w:pPr>
              <w:jc w:val="center"/>
              <w:ind w:left="259"/>
              <w:spacing w:after="0"/>
              <w:rPr>
                <w:sz w:val="20"/>
                <w:szCs w:val="20"/>
                <w:color w:val="auto"/>
              </w:rPr>
            </w:pPr>
            <w:r>
              <w:rPr>
                <w:rFonts w:ascii="Arial" w:cs="Arial" w:eastAsia="Arial" w:hAnsi="Arial"/>
                <w:sz w:val="18"/>
                <w:szCs w:val="18"/>
                <w:b w:val="1"/>
                <w:bCs w:val="1"/>
                <w:color w:val="auto"/>
                <w:w w:val="89"/>
              </w:rPr>
              <w:t>(615) 301-3100</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40" w:type="dxa"/>
            <w:vAlign w:val="bottom"/>
            <w:gridSpan w:val="4"/>
          </w:tcPr>
          <w:p>
            <w:pPr>
              <w:jc w:val="center"/>
              <w:ind w:right="96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60" w:type="dxa"/>
            <w:vAlign w:val="bottom"/>
            <w:gridSpan w:val="5"/>
          </w:tcPr>
          <w:p>
            <w:pPr>
              <w:jc w:val="center"/>
              <w:ind w:right="24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60" w:type="dxa"/>
            <w:vAlign w:val="bottom"/>
            <w:vMerge w:val="restart"/>
          </w:tcPr>
          <w:p>
            <w:pPr>
              <w:ind w:left="1780"/>
              <w:spacing w:after="0"/>
              <w:rPr>
                <w:sz w:val="20"/>
                <w:szCs w:val="20"/>
                <w:color w:val="auto"/>
              </w:rPr>
            </w:pPr>
            <w:r>
              <w:rPr>
                <w:rFonts w:ascii="Arial" w:cs="Arial" w:eastAsia="Arial" w:hAnsi="Arial"/>
                <w:sz w:val="18"/>
                <w:szCs w:val="18"/>
                <w:b w:val="1"/>
                <w:bCs w:val="1"/>
                <w:color w:val="auto"/>
                <w:w w:val="71"/>
              </w:rPr>
              <w:t>Common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22"/>
        </w:trPr>
        <w:tc>
          <w:tcPr>
            <w:tcW w:w="2360" w:type="dxa"/>
            <w:vAlign w:val="bottom"/>
            <w:vMerge w:val="continue"/>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Stock, No Par Value</w:t>
            </w:r>
          </w:p>
        </w:tc>
        <w:tc>
          <w:tcPr>
            <w:tcW w:w="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364"/>
        </w:trPr>
        <w:tc>
          <w:tcPr>
            <w:tcW w:w="2360" w:type="dxa"/>
            <w:vAlign w:val="bottom"/>
          </w:tcPr>
          <w:p>
            <w:pPr>
              <w:spacing w:after="0"/>
              <w:rPr>
                <w:sz w:val="24"/>
                <w:szCs w:val="24"/>
                <w:color w:val="auto"/>
              </w:rPr>
            </w:pPr>
          </w:p>
        </w:tc>
        <w:tc>
          <w:tcPr>
            <w:tcW w:w="5940" w:type="dxa"/>
            <w:vAlign w:val="bottom"/>
            <w:gridSpan w:val="6"/>
          </w:tcPr>
          <w:p>
            <w:pPr>
              <w:jc w:val="center"/>
              <w:ind w:left="677"/>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gridSpan w:val="4"/>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vMerge w:val="restart"/>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30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00"/>
              <w:spacing w:after="0"/>
              <w:rPr>
                <w:sz w:val="20"/>
                <w:szCs w:val="20"/>
                <w:color w:val="auto"/>
              </w:rPr>
            </w:pPr>
            <w:r>
              <w:rPr>
                <w:rFonts w:ascii="Arial" w:cs="Arial" w:eastAsia="Arial" w:hAnsi="Arial"/>
                <w:sz w:val="18"/>
                <w:szCs w:val="18"/>
                <w:color w:val="auto"/>
                <w:w w:val="83"/>
              </w:rPr>
              <w:t>Yes</w:t>
            </w:r>
          </w:p>
        </w:tc>
        <w:tc>
          <w:tcPr>
            <w:tcW w:w="3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of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No</w:t>
            </w:r>
          </w:p>
        </w:tc>
        <w:tc>
          <w:tcPr>
            <w:tcW w:w="10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240" w:space="160"/>
            <w:col w:w="260" w:space="100"/>
            <w:col w:w="140" w:space="180"/>
            <w:col w:w="3340"/>
          </w:cols>
          <w:pgMar w:left="240" w:top="230" w:right="239" w:bottom="0" w:gutter="0" w:footer="0" w:header="0"/>
          <w:type w:val="continuous"/>
        </w:sectPr>
      </w:pPr>
    </w:p>
    <w:p>
      <w:pPr>
        <w:jc w:val="both"/>
        <w:ind w:right="100"/>
        <w:spacing w:after="0" w:line="259"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Global Select Market on June 28, 2013 was approximately $514.3 million. All executive officers and directors of the registrant have been deemed, solely for the purpose of the foregoing calculation, to be “affiliates” of the registrant.</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28, 2014, there were 27,420,090 shares of the Registrant’s common stock outstanding.</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definitive Proxy Statement for its 2014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240" w:top="131" w:right="11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w w:val="99"/>
              </w:rPr>
              <w:t>HEALTHSTREAM,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8"/>
          </w:tcPr>
          <w:p>
            <w:pPr>
              <w:jc w:val="center"/>
              <w:ind w:right="428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8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44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4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600" w:type="dxa"/>
            <w:vAlign w:val="bottom"/>
            <w:gridSpan w:val="19"/>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60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Unresolved Staff Comments</w:t>
              </w:r>
            </w:hyperlink>
          </w:p>
        </w:tc>
        <w:tc>
          <w:tcPr>
            <w:tcW w:w="76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Properties</w:t>
              </w:r>
            </w:hyperlink>
          </w:p>
        </w:tc>
        <w:tc>
          <w:tcPr>
            <w:tcW w:w="88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60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0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44"/>
        </w:trPr>
        <w:tc>
          <w:tcPr>
            <w:tcW w:w="1440" w:type="dxa"/>
            <w:vAlign w:val="bottom"/>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8"/>
          </w:tcPr>
          <w:p>
            <w:pPr>
              <w:spacing w:after="0" w:line="184"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Market for Registrant’s Common Equity, Related Stockholder Matters and Issuer Purchases of Equity Securities</w:t>
              </w:r>
            </w:hyperlink>
          </w:p>
        </w:tc>
        <w:tc>
          <w:tcPr>
            <w:tcW w:w="172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60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3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3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60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Changes in and Disagreements with Accountants on Accounting and Financial Disclosure</w:t>
              </w:r>
            </w:hyperlink>
          </w:p>
        </w:tc>
        <w:tc>
          <w:tcPr>
            <w:tcW w:w="32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60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8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44"/>
        </w:trPr>
        <w:tc>
          <w:tcPr>
            <w:tcW w:w="1440" w:type="dxa"/>
            <w:vAlign w:val="bottom"/>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2"/>
          </w:tcPr>
          <w:p>
            <w:pPr>
              <w:spacing w:after="0" w:line="184"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Directors, Executive Officers and Corporate Governance</w:t>
              </w:r>
            </w:hyperlink>
          </w:p>
        </w:tc>
        <w:tc>
          <w:tcPr>
            <w:tcW w:w="5600" w:type="dxa"/>
            <w:vAlign w:val="bottom"/>
            <w:gridSpan w:val="7"/>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Executive Compensation</w:t>
              </w:r>
            </w:hyperlink>
          </w:p>
        </w:tc>
        <w:tc>
          <w:tcPr>
            <w:tcW w:w="78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Security Ownership of Certain Beneficial Owners and Management and Related Stockholder Matters</w:t>
              </w:r>
            </w:hyperlink>
          </w:p>
        </w:tc>
        <w:tc>
          <w:tcPr>
            <w:tcW w:w="24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Certain Relationships and Related Transactions, and Director Independence</w:t>
              </w:r>
            </w:hyperlink>
          </w:p>
        </w:tc>
        <w:tc>
          <w:tcPr>
            <w:tcW w:w="42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60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Accounting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44"/>
        </w:trPr>
        <w:tc>
          <w:tcPr>
            <w:tcW w:w="1440" w:type="dxa"/>
            <w:vAlign w:val="bottom"/>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9600" w:type="dxa"/>
            <w:vAlign w:val="bottom"/>
            <w:gridSpan w:val="19"/>
          </w:tcPr>
          <w:p>
            <w:pPr>
              <w:spacing w:after="0" w:line="184" w:lineRule="exact"/>
              <w:rPr>
                <w:rFonts w:ascii="Arial" w:cs="Arial" w:eastAsia="Arial" w:hAnsi="Arial"/>
                <w:sz w:val="18"/>
                <w:szCs w:val="18"/>
                <w:color w:val="0000EE"/>
              </w:rPr>
            </w:pPr>
            <w:hyperlink w:anchor="page60">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2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7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HealthStream, Inc. (HealthStream or the Company) provides SaaS-based workforce development solutions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 Our customer base includes approximately 4,000 healthcare organizations (predominately acute-care facilities) throughout all 50 states.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December 31, 2013, HealthStream had approximately 3.71 million “total subscribers” to its subscription-based solutions. Each individual end-user who utilizes at least one HealthStream subscription-based solution is counted as one subscriber, regardless of the number of subscriptions contracted by or for that end-user. Of our 3.71 million total subscribers, 3.39 million were already implemented as of December 31, 2013 and 316,000 were in the process of implementation. Our subscription-based solutions include any of our platform applications, plus courseware or content. We deliver educational activities and training courseware to our customers through our platform application, the HealthStream Learning Center™ (HLC), while we deliver competency management and performance appraisal tools through our platform applications the HealthStream Competency Center (HCC) and HealthStream Performance Center (HPC), respectively, all on our SaaS-based platform. Our research/patient experience products and service offerings include quality and satisfaction surveys, data analyses of survey results, patient experience evaluation and improvement, and other research-based measurement tools focused on patients, physicians, employees, and members of the community. Our core research/patient experience product is the Patient Insights™ survey, which accounted for approximately 78 percent of our research/patient experience solutions business, based on revenue, during 2013.</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we place greater emphasis on offering our customers new and innovative ways of assessing and developing their workforces, simulation is becoming a growing part of our product portfolio. We have a collaborative arrangement with Laerdal Medical A/S (Laerdal Medical), a leader in healthcare simulation, to provide a suite of products for distributing training simulations and scenarios directly over the Internet and managing simulation centers worldwide. SimStore</w:t>
      </w:r>
      <w:r>
        <w:rPr>
          <w:rFonts w:ascii="Arial" w:cs="Arial" w:eastAsia="Arial" w:hAnsi="Arial"/>
          <w:sz w:val="10"/>
          <w:szCs w:val="10"/>
          <w:color w:val="auto"/>
        </w:rPr>
        <w:t>®</w:t>
      </w:r>
      <w:r>
        <w:rPr>
          <w:rFonts w:ascii="Arial" w:cs="Arial" w:eastAsia="Arial" w:hAnsi="Arial"/>
          <w:sz w:val="16"/>
          <w:szCs w:val="16"/>
          <w:color w:val="auto"/>
        </w:rPr>
        <w:t xml:space="preserve"> allows simulation customers to sample, license, and download scenarios directly to simulators over the Internet. SimManager is an application for managing simulation centers that shares the same platform with our HLC, and was launched in early 2012. We have a long-term relationship with Laerdal Medical and have been a distributor of its HeartCode</w:t>
      </w:r>
      <w:r>
        <w:rPr>
          <w:rFonts w:ascii="Arial" w:cs="Arial" w:eastAsia="Arial" w:hAnsi="Arial"/>
          <w:sz w:val="10"/>
          <w:szCs w:val="10"/>
          <w:color w:val="auto"/>
        </w:rPr>
        <w:t>TM</w:t>
      </w:r>
      <w:r>
        <w:rPr>
          <w:rFonts w:ascii="Arial" w:cs="Arial" w:eastAsia="Arial" w:hAnsi="Arial"/>
          <w:sz w:val="16"/>
          <w:szCs w:val="16"/>
          <w:color w:val="auto"/>
        </w:rPr>
        <w:t xml:space="preserve"> product line for the last seven years. HeartCode</w:t>
      </w:r>
      <w:r>
        <w:rPr>
          <w:rFonts w:ascii="Arial" w:cs="Arial" w:eastAsia="Arial" w:hAnsi="Arial"/>
          <w:sz w:val="10"/>
          <w:szCs w:val="10"/>
          <w:color w:val="auto"/>
        </w:rPr>
        <w:t>TM</w:t>
      </w:r>
      <w:r>
        <w:rPr>
          <w:rFonts w:ascii="Arial" w:cs="Arial" w:eastAsia="Arial" w:hAnsi="Arial"/>
          <w:sz w:val="16"/>
          <w:szCs w:val="16"/>
          <w:color w:val="auto"/>
        </w:rPr>
        <w:t xml:space="preserve"> uses task based manikins that assist healthcare professionals in studying, training, and testing for what is commonly known as cardiopulmonary resuscitation (CPR) certification.</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Headquartered in Nashville, Tennessee, the Company was incorporated in 1990 and began providing its SaaS-based solutions in 1999 and its survey and research solutions in 2005. Including additional offices in Laurel, Maryland, Brentwood, Tennessee, and Pensacola, Florida, HealthStream had 598 full-time and 88 part-time employees as of December 31, 2013. Our business has evolved from an initial focus on technology-based training to a company providing workforce development and research/patient experience solutions to the nation’s healthcare providers.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According to the deputy director of the National Health Statistics Group at the Centers for Medicare and Medicaid Services (CMS), spending in the healthcare industry reached approximately $2.79 trillion in 2012, or 17.2% of the U.S. gross domestic product. Hospital care expenditures accounted for approximately 33.5% of the $2.79 trillion industry. According to the Bureau of Labor Statistics, approximately 17.8 million professionals are employed in the healthcare segment of the domestic economy, with approximately 4.8 million employed in acute-care hospitals and approximately 3.2 million employed in post-acute-care organizations, our primary target markets for our workforce development and research/patient experience products. As of December 31, 2013, approximately 3.71 million healthcare professionals were subscribers to our SaaS-based solutions, which include 3.39 million subscribers already implemented and 316,000 subscribers in the process of implementation.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 of the 4.8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13"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hospitals, staffing issues and personnel shortages have also contributed to the need for facility based workforce development as well as additional assessment and competency based training. For example, the American Hospital Association’s (AHA) report “Workforce 2015: Strategy Trumps Shortage” (January 2010) estimates that the shortfall of physicians in 2020 will be approximately 109,000 and the shortage of registered nurses in 2025 will be the equivalent of 260,000 full-time employees. We believe that offering training and education for hospital personnel is increasingly being utilized as a retention and recruitment incentive.</w:t>
      </w:r>
    </w:p>
    <w:p>
      <w:pPr>
        <w:spacing w:after="0" w:line="9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9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large portion of the nation’s hospitals utilize research and survey tools to gain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Arial" w:cs="Arial" w:eastAsia="Arial" w:hAnsi="Arial"/>
          <w:sz w:val="10"/>
          <w:szCs w:val="10"/>
          <w:color w:val="auto"/>
        </w:rPr>
        <w:t>®</w:t>
      </w:r>
      <w:r>
        <w:rPr>
          <w:rFonts w:ascii="Arial" w:cs="Arial" w:eastAsia="Arial" w:hAnsi="Arial"/>
          <w:sz w:val="16"/>
          <w:szCs w:val="16"/>
          <w:color w:val="auto"/>
        </w:rPr>
        <w:t xml:space="preserve"> (Consumer Assessment of Healthcare Providers and Systems) Hospital Survey launched by CMS in partnership with the Agency for Healthcare Research and Quality (AHRQ). Hospitals must submit data to CMS for certain required quality measures—which for inpatients includes the CAHPS</w:t>
      </w:r>
      <w:r>
        <w:rPr>
          <w:rFonts w:ascii="Arial" w:cs="Arial" w:eastAsia="Arial" w:hAnsi="Arial"/>
          <w:sz w:val="10"/>
          <w:szCs w:val="10"/>
          <w:color w:val="auto"/>
        </w:rPr>
        <w:t>®</w:t>
      </w:r>
      <w:r>
        <w:rPr>
          <w:rFonts w:ascii="Arial" w:cs="Arial" w:eastAsia="Arial" w:hAnsi="Arial"/>
          <w:sz w:val="16"/>
          <w:szCs w:val="16"/>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for and offer CAHPS</w:t>
      </w:r>
      <w:r>
        <w:rPr>
          <w:rFonts w:ascii="Arial" w:cs="Arial" w:eastAsia="Arial" w:hAnsi="Arial"/>
          <w:sz w:val="10"/>
          <w:szCs w:val="10"/>
          <w:color w:val="auto"/>
        </w:rPr>
        <w:t>®</w:t>
      </w:r>
      <w:r>
        <w:rPr>
          <w:rFonts w:ascii="Arial" w:cs="Arial" w:eastAsia="Arial" w:hAnsi="Arial"/>
          <w:sz w:val="16"/>
          <w:szCs w:val="16"/>
          <w:color w:val="auto"/>
        </w:rPr>
        <w:t xml:space="preserve"> Hospital Survey services.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healthcare education industry is highly fragmented, varies significantly in delivery methods (</w:t>
      </w:r>
      <w:r>
        <w:rPr>
          <w:rFonts w:ascii="Arial" w:cs="Arial" w:eastAsia="Arial" w:hAnsi="Arial"/>
          <w:sz w:val="16"/>
          <w:szCs w:val="16"/>
          <w:i w:val="1"/>
          <w:iCs w:val="1"/>
          <w:color w:val="auto"/>
        </w:rPr>
        <w:t>i.e.</w:t>
      </w:r>
      <w:r>
        <w:rPr>
          <w:rFonts w:ascii="Arial" w:cs="Arial" w:eastAsia="Arial" w:hAnsi="Arial"/>
          <w:sz w:val="16"/>
          <w:szCs w:val="16"/>
          <w:color w:val="auto"/>
        </w:rPr>
        <w:t>,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2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HealthStream’s products and services are organized into two segments—HealthStream Workforce Development Solutions (formerly referenced as HealthStream Learning &amp; Talent Management) and HealthStream Research/Patient Experience Solutions (formerly referenced as HealthStream Research)—that collectively help healthcare organizations meet their ongoing training, education, assessment, competency management, and compliance needs. We provide our solutions to a wide range of customers within the healthcare industry.</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HealthStream Workforce Development Solutions</w:t>
      </w:r>
      <w:r>
        <w:rPr>
          <w:rFonts w:ascii="Arial" w:cs="Arial" w:eastAsia="Arial" w:hAnsi="Arial"/>
          <w:sz w:val="18"/>
          <w:szCs w:val="18"/>
          <w:color w:val="auto"/>
        </w:rPr>
        <w:t>—Within HealthStream Workforce Development Solutions, we bring training, assessment, talent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talent management solutions together with administrative and management tools on our platform through our HLC, HCC, and HPC. We also offer a more streamlined version of the HLC, HealthStream Express™, along with HealthStream Connect, a content delivery platform that is designed for the singular purpose of allowing access to our extensive content libraries. These content libraries allow our customers to subscribe to a wide array of additional courseware. Additionally, medical device companies can offer online training support through our platform’s Inservice Center capability for their products and sponsor continuing education directly to healthcare workers.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workforce development solutions support healthcare administrators in configuring training to meet the specific needs of various groups of employees, modifying training materials, documenting training completion, and facilitating competency assessments, and performance appraisals. As of December 31, 2013, we had approximately 3.71 million total subscribers for our subscription-based solutions, which include 3.39 million subscribers already implemented and 316,000 subscribers in the process of implementation. Our subscription-based solutions include subscriptions to our platform applications, plus courseware and content subscriptions. Pricing for the HLC, HCC, and HPC are subscription based, with fees based on the number of subscribers, courseware provided, and other factors. We offer training, implementation, and account management services to facilitate adoption of our subscription-based solutions. Fees for training are based on the time and efforts of the personnel involved. Implementation fees vary based on the size, scope, and complexity of the project. Our SaaS-based platform and subscription-based solutions are hosted in a central data center that allows authorized subscribers Internet access to our services, thereby eliminating the need for onsite local implementations of installed workforce development products.</w:t>
      </w:r>
    </w:p>
    <w:p>
      <w:pPr>
        <w:spacing w:after="0" w:line="12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Other Applications on our Platform</w:t>
      </w:r>
      <w:r>
        <w:rPr>
          <w:rFonts w:ascii="Arial" w:cs="Arial" w:eastAsia="Arial" w:hAnsi="Arial"/>
          <w:sz w:val="16"/>
          <w:szCs w:val="16"/>
          <w:color w:val="auto"/>
        </w:rPr>
        <w:t>—In addition to the HLC, we offer an array of other applications on our platform, each serving a unique function for hospitals</w:t>
      </w:r>
      <w:r>
        <w:rPr>
          <w:rFonts w:ascii="Arial" w:cs="Arial" w:eastAsia="Arial" w:hAnsi="Arial"/>
          <w:sz w:val="16"/>
          <w:szCs w:val="16"/>
          <w:i w:val="1"/>
          <w:iCs w:val="1"/>
          <w:color w:val="auto"/>
        </w:rPr>
        <w:t xml:space="preserve"> </w:t>
      </w:r>
      <w:r>
        <w:rPr>
          <w:rFonts w:ascii="Arial" w:cs="Arial" w:eastAsia="Arial" w:hAnsi="Arial"/>
          <w:sz w:val="16"/>
          <w:szCs w:val="16"/>
          <w:color w:val="auto"/>
        </w:rPr>
        <w:t>and health systems. Each application on our platform is SaaS-based and has its own value proposition and revenue stream.</w:t>
      </w:r>
    </w:p>
    <w:p>
      <w:pPr>
        <w:spacing w:after="0" w:line="4" w:lineRule="exact"/>
        <w:rPr>
          <w:sz w:val="20"/>
          <w:szCs w:val="20"/>
          <w:color w:val="auto"/>
        </w:rPr>
      </w:pPr>
    </w:p>
    <w:p>
      <w:pPr>
        <w:ind w:left="900" w:right="80" w:hanging="325"/>
        <w:spacing w:after="0" w:line="303"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Authoring Center is a platform application that provides healthcare organizations the capability to create Internet-based courses by moving their existing course material online or self-authoring new material and electively sharing these materials with our other customers through a courseware exchange. We also offer Authoring Pro, an upgraded product which includes a licensed image library, as an additional subscription to this product.</w:t>
      </w:r>
    </w:p>
    <w:p>
      <w:pPr>
        <w:spacing w:after="0" w:line="1" w:lineRule="exact"/>
        <w:rPr>
          <w:rFonts w:ascii="Arial" w:cs="Arial" w:eastAsia="Arial" w:hAnsi="Arial"/>
          <w:sz w:val="15"/>
          <w:szCs w:val="15"/>
          <w:color w:val="auto"/>
        </w:rPr>
      </w:pPr>
    </w:p>
    <w:p>
      <w:pPr>
        <w:ind w:left="900" w:right="260"/>
        <w:spacing w:after="0" w:line="261" w:lineRule="auto"/>
        <w:rPr>
          <w:rFonts w:ascii="Arial" w:cs="Arial" w:eastAsia="Arial" w:hAnsi="Arial"/>
          <w:sz w:val="15"/>
          <w:szCs w:val="15"/>
          <w:color w:val="auto"/>
        </w:rPr>
      </w:pPr>
      <w:r>
        <w:rPr>
          <w:rFonts w:ascii="Arial" w:cs="Arial" w:eastAsia="Arial" w:hAnsi="Arial"/>
          <w:sz w:val="18"/>
          <w:szCs w:val="18"/>
          <w:color w:val="auto"/>
        </w:rPr>
        <w:t>Team Author, a collaborative authoring application, was launched in 2012. Pricing for these products is subscription based, with fees based on the number of subscribers and level of penetration of services within the customer organization.</w:t>
      </w:r>
    </w:p>
    <w:p>
      <w:pPr>
        <w:spacing w:after="0" w:line="56" w:lineRule="exact"/>
        <w:rPr>
          <w:rFonts w:ascii="Arial" w:cs="Arial" w:eastAsia="Arial" w:hAnsi="Arial"/>
          <w:sz w:val="15"/>
          <w:szCs w:val="15"/>
          <w:color w:val="auto"/>
        </w:rPr>
      </w:pPr>
    </w:p>
    <w:p>
      <w:pPr>
        <w:ind w:left="90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HealthStream Competency Center™ (HCC) is our SaaS-based platform application for competency management for healthcare organizations, which provides customers tools to assess competency and appraise performance. Competency assessment is a requirement of hospitals and healthcare organizations for maintaining accreditation based on requirements from The Joint Commission to evaluate, document, and report performance competencies. We believe that the HCC offers an effective means of determining which competencies are associated with each position and evaluating and documenting competency assessments.</w:t>
      </w:r>
    </w:p>
    <w:p>
      <w:pPr>
        <w:spacing w:after="0" w:line="34" w:lineRule="exact"/>
        <w:rPr>
          <w:rFonts w:ascii="Arial" w:cs="Arial" w:eastAsia="Arial" w:hAnsi="Arial"/>
          <w:sz w:val="16"/>
          <w:szCs w:val="16"/>
          <w:color w:val="auto"/>
        </w:rPr>
      </w:pPr>
    </w:p>
    <w:p>
      <w:pPr>
        <w:ind w:left="900" w:right="18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HealthStream Performance Center™ (HPC) is our SaaS-based platform application for performance management for healthcare organizations, which provides an automated, paperless performance appraisal process. The HPC was launch in March of 2012. We believe the HPC offers an effective means of streamlining the performance appraisal process, which tends to increase completion rates and consistency with all aspects of hospitals’ workforce appraisal processes.</w:t>
      </w:r>
    </w:p>
    <w:p>
      <w:pPr>
        <w:spacing w:after="0" w:line="62" w:lineRule="exact"/>
        <w:rPr>
          <w:rFonts w:ascii="Arial" w:cs="Arial" w:eastAsia="Arial" w:hAnsi="Arial"/>
          <w:sz w:val="18"/>
          <w:szCs w:val="18"/>
          <w:color w:val="auto"/>
        </w:rPr>
      </w:pPr>
    </w:p>
    <w:p>
      <w:pPr>
        <w:ind w:left="900" w:right="220" w:hanging="325"/>
        <w:spacing w:after="0" w:line="312"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SimCenter</w:t>
      </w:r>
      <w:r>
        <w:rPr>
          <w:rFonts w:ascii="Arial" w:cs="Arial" w:eastAsia="Arial" w:hAnsi="Arial"/>
          <w:sz w:val="10"/>
          <w:szCs w:val="10"/>
          <w:color w:val="auto"/>
        </w:rPr>
        <w:t>®</w:t>
      </w:r>
      <w:r>
        <w:rPr>
          <w:rFonts w:ascii="Arial" w:cs="Arial" w:eastAsia="Arial" w:hAnsi="Arial"/>
          <w:sz w:val="15"/>
          <w:szCs w:val="15"/>
          <w:color w:val="auto"/>
        </w:rPr>
        <w:t>—is a suite of applications. We formed a collaborative arrangement, SimVentures, with Laerdal Medical in 2010 to offer products and services aimed at accelerating the global adoption of simulation-based learning by healthcare providers with a focus on improving clinical competencies and patient outcomes. The venture offers healthcare organizations and medical and nursing schools worldwide a range of fully integrated SaaS applications that accelerate development and distribution of simulation content; enable enterprise-wide management of simulation centers, simulators, and programs; and support assessment of the effectiveness of simulation training as part of complete curricula. SimStore</w:t>
      </w:r>
      <w:r>
        <w:rPr>
          <w:rFonts w:ascii="Arial" w:cs="Arial" w:eastAsia="Arial" w:hAnsi="Arial"/>
          <w:sz w:val="10"/>
          <w:szCs w:val="10"/>
          <w:color w:val="auto"/>
        </w:rPr>
        <w:t>®</w:t>
      </w:r>
      <w:r>
        <w:rPr>
          <w:rFonts w:ascii="Arial" w:cs="Arial" w:eastAsia="Arial" w:hAnsi="Arial"/>
          <w:sz w:val="15"/>
          <w:szCs w:val="15"/>
          <w:color w:val="auto"/>
        </w:rPr>
        <w:t>, one segment of our collaborative arrangement with Laerdal, began operations in the first quarter of 2011 and our simulation management platform, SimManager, was launched in early 2012. SimView, our debriefing system for simulation-based training, also was launched in early 2012.</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HealthStream Research/Patient Experience Solutions</w:t>
      </w:r>
      <w:r>
        <w:rPr>
          <w:rFonts w:ascii="Arial" w:cs="Arial" w:eastAsia="Arial" w:hAnsi="Arial"/>
          <w:sz w:val="16"/>
          <w:szCs w:val="16"/>
          <w:color w:val="auto"/>
        </w:rPr>
        <w:t>—HealthStream Research/Patient Experience Solutions complements HealthStream Workforce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Solutions product and service offerings by providing hospital-based customers with Patient Insights™, Employee Insights™, Physician Insights™, and Community Insights™ surveys, data analyses of survey results, and other research-based measurement tools. Our services are designed to provide thorough analyses with insightful recommendations for change; benchmarking capability using our comprehensive databases; and consulting services to identify solutions for our customers based on their survey results. Clients are able to access and analyze their survey results data through Insights Online™, our secure web-based reporting platform. Our survey and research solutions focus on providing statistically valid data to assist our customers with their decision making related to their organization’s performance improvement objectives. In addition to collecting and reporting data, we provide analysis and consulting to help customers understand and improve their survey results and patient experiences and the underlying impact on their business. It is with this insight that healthcare organizations are able to develop plans for enhanced performance that can be delivered through our learning solutions. Pricing for these services is based on the survey type, delivery method, size of the survey instrument, sample size, frequency of survey cycles, and other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acquired Decision Critical, Inc. (DCI) in June 2012, Sy.Med Development, Inc. (Sy.Med) in October 2012, and substantially all of the assets of Baptist Leadership Group (BLG) in September 2013. For additional information regarding these acquisitions, please see Note 5 of the Consolidated Financial Statements and Item 7, “Management’s Discussion and Analysis of Financial Condition and Results of Operations” included elsewhere in this report.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provide our solutions to customers across a broad range of entities within the healthcare industry, including healthcare organizations (including government entities) and pharmaceutical and medical device companies. We derive a substantial portion of our revenues from a relatively small number of customers, although no single customer represented more than 10 percent of our revenues during 2013, 2012, or 2011. Examples of customers that have purchased or contracted for products and services from HealthStream include: HCA, Inc., Tenet Healthcare Corporation, Catholic Health Initiatives, Community Health Systems, Inc., Lifepoint Hospitals, Inc., and Ardent Health Services,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We market our products and services primarily through our direct sales teams, our consultants, and our account relationship managers, who are based at our corporate headquarters in Nashville, Tennessee and in our additional offices located in Laurel, Maryland, Brentwood, Tennessee, and Pensacola, Florida as well as remote home office sales locations. As of December 31, 2013, our HealthStream Workforce Development Solutions sales and relationship management personnel consisted of 93 employees—of which 86 carried sales quotas—and our HealthStream Research/Patient Experience Solutions sales and relationship management personnel consisted of 27 employees—of which 15 carried sales quotas. Our geographically dispersed field sales organization is divided into teams focused on selling our workforce development products and a separate sales team focused on selling our research and patient experience improvement products.</w:t>
      </w:r>
    </w:p>
    <w:p>
      <w:pPr>
        <w:spacing w:after="0" w:line="10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conduct a variety of marketing programs to promote our products and services, including product catalogs, user groups—including our annual customer Summit, trade shows, internet promotion and demonstrations, telemarketing campaigns, public relations, distribution of product-specific literature, direct mail, and advertising.</w:t>
      </w:r>
    </w:p>
    <w:p>
      <w:pPr>
        <w:spacing w:after="0" w:line="14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Over most of the last twelve years, we have hosted an annual conference in Nashville for our customers known as the “Summit.” We have utilized this client conference to reach out to existing and potential customers and business partners, provide training and educational services, and to demonstrate our new and existing product offerings. We have marketing teams that are responsible for these initiatives and for working with and supporting our product management and sales teams. At December 31, 2013, our marketing personnel consisted of 19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2013, these personnel consisted of approximately 192 employees for our Workforce Development Solutions segment and approximately 302 employees for our Research/Patient Experience Solutions segment, of which 175 employees worked in our interviewing center. Our Workforce Development Solutions operations team consists of personnel associated with customer support, implementation services, product development and maintenance, training, and project management. Our Research/Patient Experience Solutions operations team consists of personnel associated with phone interviewing, distributing and processing paper-based survey instruments, patient experience coaching and consulting, data analysis and reporting of survey results, and project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9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services are designed to be reliable, secure, and scalable. Our software is a combination of proprietary and commercially available software and operating systems. Our software supports hosting and management of content, publication of our web sites, execution of courseware, registration and tracking of users, collection, sampling, and analysis of survey data,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software applications, servers, and network infrastructure that deliver the majority of our services are hosted by third-party data center providers. Our primary data center is located at a tier-four rated hosting facility in Chicago, Illinois, and our disaster recovery data center is hosted by a separate provider located in Franklin, Tennessee. Both of our providers maintain our equipment in secure, limited access environments, supported by redundant power, environmental conditioning, and network connectivity. Our providers’ hosting centers are connected to the Internet through multiple, redundant, high-speed fiber optic circuits. The transactional systems supporting the data collection for our survey products are located in secure, limited access environments located at our Nashville, Tennessee and Laurel, Maryland offices and feed our core business intelligence platforms supporting our survey products located at our primary hosting facility in Chicago. Company personnel monitor all servers, networks, and systems on a continuous basis. Together with our providers, we employ several levels of enterprise firewall systems and data abstraction to protect our databases, customer information, and courseware library from unauthorized access. All of our production data located in our Chicago data center is backed up in real time to our disaster recovery data center located in Franklin, Tennessee. Monthly snap-shots of our data are stored off-site with a third-party data storage provider.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competing healthcare education delivery methods in the industry, we also have direct competitors. In the workforce development business, a number of companies offer competitive learning management products and talent management modules to the healthcare industry. We compete with companies such as Cornerstone OnDemand, Healthcare Source, Oracle, SABA, SAP, and SumTotal Systems that provide their services to multiple industries, including healthcare. During 2012, SAP and Oracle gained greater presence in the healthcare market by way of acquisitions; SAP acquired SuccessFactors and Oracle acquired TALEO. We also compete with large medical publishers that have operating units that offer learning management systems that focus on healthcare, such as Reed Elsevier Group’s MC Strategies. In the healthcare research business, we see competition from large nationally recognized research firms such as Avatar International, Gallup, National Research Corporation, Press Ganey Associates, Studer Group, Professional Research Consultants, Inc., and others. Our research business also experiences direct competition from vendors who provide research services to other industries including Kenexa, which is now owned by IBM, and Foresight, which is now owned by TNS Global. Finally, in our simulation business, we compete with B-Line Medical, CAE/Meti, and EMS.</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our workforce development solutions, which include both products and services that facilitate training, assessment and development for healthcare professionals, a wide assortment of courseware, a mechanism for measuring satisfaction and/or other results, and the ability to provide all our services on a single platform over the Internet, provide us with a competitive advantage. In our research business,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In our simulation business, our SimCenter</w:t>
      </w:r>
      <w:r>
        <w:rPr>
          <w:rFonts w:ascii="Arial" w:cs="Arial" w:eastAsia="Arial" w:hAnsi="Arial"/>
          <w:sz w:val="10"/>
          <w:szCs w:val="10"/>
          <w:color w:val="auto"/>
        </w:rPr>
        <w:t>TM</w:t>
      </w:r>
      <w:r>
        <w:rPr>
          <w:rFonts w:ascii="Arial" w:cs="Arial" w:eastAsia="Arial" w:hAnsi="Arial"/>
          <w:sz w:val="16"/>
          <w:szCs w:val="16"/>
          <w:color w:val="auto"/>
        </w:rPr>
        <w:t xml:space="preserve"> products enable simulation centers to purchase courseware online, manage students and resources, and provide a debriefing capability in an integrated manner. Built on our SaaS-based platform and with our collaborative arrangement with Laerdal Medical, a world leader in simulation equipment, we believe we have a competitive advantage in this area. We believe that the principal competitive factors affecting the marketing of our workforce development and research solutions to the healthcare industry include:</w:t>
      </w:r>
    </w:p>
    <w:p>
      <w:pPr>
        <w:spacing w:after="0" w:line="39" w:lineRule="exact"/>
        <w:rPr>
          <w:sz w:val="20"/>
          <w:szCs w:val="20"/>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features of our SaaS-based platform and applications, including reporting, management functionality, ability to manage a variety of events or modalities, courseware assignment, curriculum management, documenting competency assessments and performance appraisals, scalability, and the ability to track utilization and results;</w:t>
      </w:r>
    </w:p>
    <w:p>
      <w:pPr>
        <w:spacing w:after="0" w:line="59"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scope and variety of Internet-based learning courseware available, including mandated content for OSHA, The Joint Commission, patient safety, and HIPAA requirements, ICD-10 training, competency-based content, courseware scenarios that drive simulators, courseware that provides CPR certification, as well as the ability of our customers to create and host their own web-enabled courseware;</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singular focus on the healthcare industry and our deep healthcare expertise;</w:t>
      </w:r>
    </w:p>
    <w:p>
      <w:pPr>
        <w:spacing w:after="0" w:line="9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which supports a return on investment to customers when compared to other alternative delivery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effectiveness of sales and marketing efforts;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reputation.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Collectively, we believe these capabilities provide us with the ability to improve the quality of healthcare by assessing and developing the people who deliver care.</w:t>
      </w:r>
    </w:p>
    <w:p>
      <w:pPr>
        <w:spacing w:after="0" w:line="207" w:lineRule="exact"/>
        <w:rPr>
          <w:sz w:val="20"/>
          <w:szCs w:val="20"/>
          <w:color w:val="auto"/>
        </w:rPr>
      </w:pPr>
    </w:p>
    <w:p>
      <w:pPr>
        <w:ind w:right="4140"/>
        <w:spacing w:after="0" w:line="391" w:lineRule="auto"/>
        <w:rPr>
          <w:sz w:val="20"/>
          <w:szCs w:val="20"/>
          <w:color w:val="auto"/>
        </w:rPr>
      </w:pPr>
      <w:r>
        <w:rPr>
          <w:rFonts w:ascii="Arial" w:cs="Arial" w:eastAsia="Arial" w:hAnsi="Arial"/>
          <w:sz w:val="16"/>
          <w:szCs w:val="16"/>
          <w:b w:val="1"/>
          <w:bCs w:val="1"/>
          <w:color w:val="auto"/>
        </w:rPr>
        <w:t>GOVERNMENT REGULATION OF THE INTERNET AND THE HEALTHCARE INDUSTRY Regulation of the Internet and the Privacy and Security of Personal Information</w:t>
      </w:r>
    </w:p>
    <w:p>
      <w:pPr>
        <w:spacing w:after="0" w:line="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laws and regulations that govern our business change rapidly. For example, the United States government and the governments of some states and foreign countries have attempted to regulate activities on the Internet. The following are some of the evolving areas of law that are relevant to our business:</w:t>
      </w:r>
    </w:p>
    <w:p>
      <w:pPr>
        <w:spacing w:after="0" w:line="4" w:lineRule="exact"/>
        <w:rPr>
          <w:sz w:val="20"/>
          <w:szCs w:val="20"/>
          <w:color w:val="auto"/>
        </w:rPr>
      </w:pPr>
    </w:p>
    <w:p>
      <w:pPr>
        <w:ind w:left="900" w:right="40" w:hanging="325"/>
        <w:spacing w:after="0" w:line="314"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Privacy and Security Laws. </w:t>
      </w:r>
      <w:r>
        <w:rPr>
          <w:rFonts w:ascii="Arial" w:cs="Arial" w:eastAsia="Arial" w:hAnsi="Arial"/>
          <w:sz w:val="15"/>
          <w:szCs w:val="15"/>
          <w:color w:val="auto"/>
        </w:rPr>
        <w:t>Current and proposed federal, state and foreign privacy and security regulations and other laws restricting the collection,</w:t>
      </w:r>
      <w:r>
        <w:rPr>
          <w:rFonts w:ascii="Arial" w:cs="Arial" w:eastAsia="Arial" w:hAnsi="Arial"/>
          <w:sz w:val="15"/>
          <w:szCs w:val="15"/>
          <w:i w:val="1"/>
          <w:iCs w:val="1"/>
          <w:color w:val="auto"/>
        </w:rPr>
        <w:t xml:space="preserve"> </w:t>
      </w:r>
      <w:r>
        <w:rPr>
          <w:rFonts w:ascii="Arial" w:cs="Arial" w:eastAsia="Arial" w:hAnsi="Arial"/>
          <w:sz w:val="15"/>
          <w:szCs w:val="15"/>
          <w:color w:val="auto"/>
        </w:rPr>
        <w:t>use, security and disclosure of personal information could limit our ability to collect information or use and disclose the information in our databases or derived from other sources to generate revenues. It may be costly to implement security or other measures designed to comply with any new legislation. For example, the American Recovery and Reinvestment Act of 2009 (ARRA) expanded the application of certain HIPAA privacy and security requirements to apply directly to us as a business associate of our customers. On January 25, 2013, the United States Department of Health and Human Services (HHS) issued implementing regulations, and compliance was generally required beginning September 23, 2013.</w:t>
      </w:r>
    </w:p>
    <w:p>
      <w:pPr>
        <w:spacing w:after="0" w:line="23" w:lineRule="exact"/>
        <w:rPr>
          <w:rFonts w:ascii="Arial" w:cs="Arial" w:eastAsia="Arial" w:hAnsi="Arial"/>
          <w:sz w:val="15"/>
          <w:szCs w:val="15"/>
          <w:color w:val="auto"/>
        </w:rPr>
      </w:pPr>
    </w:p>
    <w:p>
      <w:pPr>
        <w:ind w:left="900" w:right="6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8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Information Security Accountability Regulation. </w:t>
      </w:r>
      <w:r>
        <w:rPr>
          <w:rFonts w:ascii="Arial" w:cs="Arial" w:eastAsia="Arial" w:hAnsi="Arial"/>
          <w:sz w:val="16"/>
          <w:szCs w:val="16"/>
          <w:color w:val="auto"/>
        </w:rPr>
        <w:t>As a business associate of our customers, we are required to report certain breaches of protected</w:t>
      </w:r>
      <w:r>
        <w:rPr>
          <w:rFonts w:ascii="Arial" w:cs="Arial" w:eastAsia="Arial" w:hAnsi="Arial"/>
          <w:sz w:val="16"/>
          <w:szCs w:val="16"/>
          <w:i w:val="1"/>
          <w:iCs w:val="1"/>
          <w:color w:val="auto"/>
        </w:rPr>
        <w:t xml:space="preserve"> </w:t>
      </w:r>
      <w:r>
        <w:rPr>
          <w:rFonts w:ascii="Arial" w:cs="Arial" w:eastAsia="Arial" w:hAnsi="Arial"/>
          <w:sz w:val="16"/>
          <w:szCs w:val="16"/>
          <w:color w:val="auto"/>
        </w:rPr>
        <w:t>health information to our customers, which must in turn notify affected individuals, HHS and, in certain situations involving large breaches, the media. The 2013 HHS regulations created a presumption that all non-permitted uses or disclosures of unsecured, protected health information are breaches unless the covered entity or business associate establishes that there is a low probability the information has been compromised. In addition, we are subject to certain state laws that relate to privacy or the reporting of security breaches. For example, California law requires notification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41"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 and Use Tax. </w:t>
      </w:r>
      <w:r>
        <w:rPr>
          <w:rFonts w:ascii="Arial" w:cs="Arial" w:eastAsia="Arial" w:hAnsi="Arial"/>
          <w:sz w:val="16"/>
          <w:szCs w:val="16"/>
          <w:color w:val="auto"/>
        </w:rPr>
        <w:t>Through December 31, 2013, we collected sales, use or other taxes on taxable transactions in states in which we have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Laws and regulations directly applicable to content regulation,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The Joint Commission. </w:t>
      </w:r>
      <w:r>
        <w:rPr>
          <w:rFonts w:ascii="Arial" w:cs="Arial" w:eastAsia="Arial" w:hAnsi="Arial"/>
          <w:sz w:val="16"/>
          <w:szCs w:val="16"/>
          <w:color w:val="auto"/>
        </w:rPr>
        <w:t>The Joint Commission mandates that employers in the healthcare industry provide certain workplace safety and patient interaction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Health Insurance Portability and Accountability Act (HIPAA). </w:t>
      </w:r>
      <w:r>
        <w:rPr>
          <w:rFonts w:ascii="Arial" w:cs="Arial" w:eastAsia="Arial" w:hAnsi="Arial"/>
          <w:sz w:val="16"/>
          <w:szCs w:val="16"/>
          <w:color w:val="auto"/>
        </w:rPr>
        <w:t>HIPAA regulations require certain organizations, including most healthcare providers and health</w:t>
      </w:r>
      <w:r>
        <w:rPr>
          <w:rFonts w:ascii="Arial" w:cs="Arial" w:eastAsia="Arial" w:hAnsi="Arial"/>
          <w:sz w:val="16"/>
          <w:szCs w:val="16"/>
          <w:i w:val="1"/>
          <w:iCs w:val="1"/>
          <w:color w:val="auto"/>
        </w:rPr>
        <w:t xml:space="preserve"> </w:t>
      </w:r>
      <w:r>
        <w:rPr>
          <w:rFonts w:ascii="Arial" w:cs="Arial" w:eastAsia="Arial" w:hAnsi="Arial"/>
          <w:sz w:val="16"/>
          <w:szCs w:val="16"/>
          <w:color w:val="auto"/>
        </w:rPr>
        <w:t>plans, to adopt safeguards regarding the use and disclosure of health-related information. HIPAA regulations also require these organizations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 ARRA expanded the application of certain HIPAA privacy and security requirements to apply directly to companies (known as business associates) that provide services to certain healthcare organizations, and revised the requirements for agreements with business associates. Under the regulations that implement these ARRA requirements, business associates and their subcontractors may be directly subject to criminal and civil sanctions for violations of HIPAA privacy security standards.</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The American Nurses Credentialing Center (ANCC). </w:t>
      </w:r>
      <w:r>
        <w:rPr>
          <w:rFonts w:ascii="Arial" w:cs="Arial" w:eastAsia="Arial" w:hAnsi="Arial"/>
          <w:sz w:val="16"/>
          <w:szCs w:val="16"/>
          <w:color w:val="auto"/>
        </w:rPr>
        <w:t>ANCC, a subsidiary of the American Nurses Association (ANA), provides individuals and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w:t>
      </w:r>
      <w:r>
        <w:rPr>
          <w:rFonts w:ascii="Arial" w:cs="Arial" w:eastAsia="Arial" w:hAnsi="Arial"/>
          <w:sz w:val="10"/>
          <w:szCs w:val="10"/>
          <w:color w:val="auto"/>
        </w:rPr>
        <w:t>®</w:t>
      </w:r>
      <w:r>
        <w:rPr>
          <w:rFonts w:ascii="Arial" w:cs="Arial" w:eastAsia="Arial" w:hAnsi="Arial"/>
          <w:sz w:val="16"/>
          <w:szCs w:val="16"/>
          <w:color w:val="auto"/>
        </w:rPr>
        <w:t xml:space="preserve"> and the Pathway to Excellence</w:t>
      </w:r>
      <w:r>
        <w:rPr>
          <w:rFonts w:ascii="Arial" w:cs="Arial" w:eastAsia="Arial" w:hAnsi="Arial"/>
          <w:sz w:val="10"/>
          <w:szCs w:val="10"/>
          <w:color w:val="auto"/>
        </w:rPr>
        <w:t>®</w:t>
      </w:r>
      <w:r>
        <w:rPr>
          <w:rFonts w:ascii="Arial" w:cs="Arial" w:eastAsia="Arial" w:hAnsi="Arial"/>
          <w:sz w:val="16"/>
          <w:szCs w:val="16"/>
          <w:color w:val="auto"/>
        </w:rPr>
        <w:t xml:space="preserve"> Program; and accredit providers of continuing nursing education. In addition, ANCC’s Institute for Credentialing Innovation</w:t>
      </w:r>
      <w:r>
        <w:rPr>
          <w:rFonts w:ascii="Arial" w:cs="Arial" w:eastAsia="Arial" w:hAnsi="Arial"/>
          <w:sz w:val="10"/>
          <w:szCs w:val="10"/>
          <w:color w:val="auto"/>
        </w:rPr>
        <w:t>®</w:t>
      </w:r>
      <w:r>
        <w:rPr>
          <w:rFonts w:ascii="Arial" w:cs="Arial" w:eastAsia="Arial" w:hAnsi="Arial"/>
          <w:sz w:val="16"/>
          <w:szCs w:val="16"/>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w:t>
      </w:r>
      <w:r>
        <w:rPr>
          <w:rFonts w:ascii="Arial" w:cs="Arial" w:eastAsia="Arial" w:hAnsi="Arial"/>
          <w:sz w:val="10"/>
          <w:szCs w:val="10"/>
          <w:color w:val="auto"/>
        </w:rPr>
        <w:t>®</w:t>
      </w:r>
      <w:r>
        <w:rPr>
          <w:rFonts w:ascii="Arial" w:cs="Arial" w:eastAsia="Arial" w:hAnsi="Arial"/>
          <w:sz w:val="16"/>
          <w:szCs w:val="16"/>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the gold standard for nursing excellence. The Pathway to Excellence</w:t>
      </w:r>
      <w:r>
        <w:rPr>
          <w:rFonts w:ascii="Arial" w:cs="Arial" w:eastAsia="Arial" w:hAnsi="Arial"/>
          <w:sz w:val="10"/>
          <w:szCs w:val="10"/>
          <w:color w:val="auto"/>
        </w:rPr>
        <w:t>®</w:t>
      </w:r>
      <w:r>
        <w:rPr>
          <w:rFonts w:ascii="Arial" w:cs="Arial" w:eastAsia="Arial" w:hAnsi="Arial"/>
          <w:sz w:val="16"/>
          <w:szCs w:val="16"/>
          <w:color w:val="auto"/>
        </w:rPr>
        <w:t xml:space="preserve"> Program recognizes the essential elements of an optimal nursing practice environment. The designation is earned by healthcare organizations that create work environments where nurses can flourish. The award substantiates the professional satisfaction of nurses and identifies best places to work.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board of nursing establishes the state’s CNE requirements for professional nurses. CNE credits are provided through accredited providers that have been approved by the ANCC Commission on Accreditation and/or the state board of nursing. CNE requirements vary widely from state to state. Thirty-four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45 credits annually, with reporting generally on a bi-annual basis. Board certifications (e.g., CNOR – certification of perioperative nursing) also require CNE credits, with certain percentages required in specific categories based on the certification type. We are an accredited provider of CNE by the ANCC.</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American Medical Association (AMA) classifies continuing medical education activities as either Category 1, which includes formal CME activities, or Category 2, which includes most informal activities. Sponsors can only designate CME activities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Most agencies nationwide that require CME 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The Accreditation Council 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Centers for Medicare &amp; Medicaid Services (CMS). </w:t>
      </w:r>
      <w:r>
        <w:rPr>
          <w:rFonts w:ascii="Arial" w:cs="Arial" w:eastAsia="Arial" w:hAnsi="Arial"/>
          <w:sz w:val="16"/>
          <w:szCs w:val="16"/>
          <w:color w:val="auto"/>
        </w:rPr>
        <w:t>CMS has articulated a vision for health care quality—</w:t>
      </w:r>
      <w:r>
        <w:rPr>
          <w:rFonts w:ascii="Arial" w:cs="Arial" w:eastAsia="Arial" w:hAnsi="Arial"/>
          <w:sz w:val="16"/>
          <w:szCs w:val="16"/>
          <w:i w:val="1"/>
          <w:iCs w:val="1"/>
          <w:color w:val="auto"/>
        </w:rPr>
        <w:t>the right care for every person every time</w:t>
      </w:r>
      <w:r>
        <w:rPr>
          <w:rFonts w:ascii="Arial" w:cs="Arial" w:eastAsia="Arial" w:hAnsi="Arial"/>
          <w:sz w:val="16"/>
          <w:szCs w:val="16"/>
          <w:color w:val="auto"/>
        </w:rPr>
        <w:t>.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voluntary efforts, CMS has launched VBP initiatives in hospitals, physician offices, nursing homes, home health services, and dialysis facilities. Further, pursuant to the Patient Protection and Affordable Care Act, as amended by the Healthcare and Education Reconciliation Act of 2010 (collectively, ACA), CMS is implementing a number of initiatives designed to link payments to quality and efficiency, including a VBP program for inpatient hospital services.</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Consumer Assessment of Healthcare Providers and Systems (CAHPS). </w:t>
      </w:r>
      <w:r>
        <w:rPr>
          <w:rFonts w:ascii="Arial" w:cs="Arial" w:eastAsia="Arial" w:hAnsi="Arial"/>
          <w:sz w:val="16"/>
          <w:szCs w:val="16"/>
          <w:color w:val="auto"/>
        </w:rPr>
        <w:t>CMS has partnered with AHRQ to develop a standardized survey instrument and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w:t>
      </w:r>
      <w:r>
        <w:rPr>
          <w:rFonts w:ascii="Arial" w:cs="Arial" w:eastAsia="Arial" w:hAnsi="Arial"/>
          <w:sz w:val="10"/>
          <w:szCs w:val="10"/>
          <w:color w:val="auto"/>
        </w:rPr>
        <w:t>®</w:t>
      </w:r>
      <w:r>
        <w:rPr>
          <w:rFonts w:ascii="Arial" w:cs="Arial" w:eastAsia="Arial" w:hAnsi="Arial"/>
          <w:sz w:val="16"/>
          <w:szCs w:val="16"/>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Arial" w:cs="Arial" w:eastAsia="Arial" w:hAnsi="Arial"/>
          <w:sz w:val="10"/>
          <w:szCs w:val="10"/>
          <w:color w:val="auto"/>
        </w:rPr>
        <w:t>®</w:t>
      </w:r>
      <w:r>
        <w:rPr>
          <w:rFonts w:ascii="Arial" w:cs="Arial" w:eastAsia="Arial" w:hAnsi="Arial"/>
          <w:sz w:val="16"/>
          <w:szCs w:val="16"/>
          <w:color w:val="auto"/>
        </w:rPr>
        <w:t xml:space="preserve"> Hospital Survey services. In addition, we are a certified vendor approved to offer CAHPS</w:t>
      </w:r>
      <w:r>
        <w:rPr>
          <w:rFonts w:ascii="Arial" w:cs="Arial" w:eastAsia="Arial" w:hAnsi="Arial"/>
          <w:sz w:val="10"/>
          <w:szCs w:val="10"/>
          <w:color w:val="auto"/>
        </w:rPr>
        <w:t>®</w:t>
      </w:r>
      <w:r>
        <w:rPr>
          <w:rFonts w:ascii="Arial" w:cs="Arial" w:eastAsia="Arial" w:hAnsi="Arial"/>
          <w:sz w:val="16"/>
          <w:szCs w:val="16"/>
          <w:color w:val="auto"/>
        </w:rPr>
        <w:t xml:space="preserve"> Home Health Care Survey used to measure the experiences of people receiving home health care from Medicare-certified home health agencies. We also offer CAHPS</w:t>
      </w:r>
      <w:r>
        <w:rPr>
          <w:rFonts w:ascii="Arial" w:cs="Arial" w:eastAsia="Arial" w:hAnsi="Arial"/>
          <w:sz w:val="10"/>
          <w:szCs w:val="10"/>
          <w:color w:val="auto"/>
        </w:rPr>
        <w:t>®</w:t>
      </w:r>
      <w:r>
        <w:rPr>
          <w:rFonts w:ascii="Arial" w:cs="Arial" w:eastAsia="Arial" w:hAnsi="Arial"/>
          <w:sz w:val="16"/>
          <w:szCs w:val="16"/>
          <w:color w:val="auto"/>
        </w:rPr>
        <w:t xml:space="preserve"> Clinician and Group Survey used to measure patient experiences with health care providers and staff in doctor’s offices.</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Medicare and Medicaid Electronic Health Records (EHR) Incentive Programs. </w:t>
      </w:r>
      <w:r>
        <w:rPr>
          <w:rFonts w:ascii="Arial" w:cs="Arial" w:eastAsia="Arial" w:hAnsi="Arial"/>
          <w:sz w:val="16"/>
          <w:szCs w:val="16"/>
          <w:color w:val="auto"/>
        </w:rPr>
        <w:t>The Medicare and Medicaid EHR Incentive Programs provide incentive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eligible professionals, eligible hospitals and critical access hospitals (CAHs) as they adopt, implement, upgrade or demonstrate meaningful use of certified EHR technology. By putting into action and meaningfully using an EHR system, providers will reap benefits beyond financial incentives–such as reduction in errors, availability of records and data, reminders and alerts, clinical decision support, and e-prescribing/refill automation.</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 payments and other transfers of value, including educational programs, given by such manufacturers to physicians and teaching hospitals, with limited exceptions. CMS has issued a final rule implementing the Sunshine Act. Manufacturers are required to report the physician’s name, business address and national provider identifier as well as other information including the value, date, form and nature of what is offered. Manufacturers subject to the rule were required to begin collecting information beginning August 1, 2013, with the first reporting deadline set for March 31, 2014. CMS will release the 2013 reported data on a public website by September 30, 2014. Manufacturers that do not meet the reporting obligations will be subject to significant monetary penalties.</w:t>
      </w:r>
    </w:p>
    <w:p>
      <w:pPr>
        <w:spacing w:after="0" w:line="11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(FDA) and the Federal Trade Commission (FTC)</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protect our proprietary rights, we rely generally on copyright, trademark and trade secret laws; confidentiality agreements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“EXCELLENCE THROUGH INSIGHT’, “HEALTHSTREAM”, “HOSPITAL DIRECT”, “OR PROTOCOL”, “PATIENT INSIGHTS”, “PHYSICIAN INSIGHTS”, “INSIGHTS ONLINE”, “INSIGHT INTO ACTION”, “QUALITY CHECK”, “SIMCENTER”, “SIMMANAGER”, and “SIMSTORE.”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a third party asserts a claim that we have infringed its patents or other intellectual property right,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As of December 31, 2013, we employed 598 full-time and 88 part-time persons, of which 175 persons are employed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548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Robert</w:t>
            </w:r>
          </w:p>
        </w:tc>
        <w:tc>
          <w:tcPr>
            <w:tcW w:w="2900" w:type="dxa"/>
            <w:vAlign w:val="bottom"/>
          </w:tcPr>
          <w:p>
            <w:pPr>
              <w:ind w:left="140"/>
              <w:spacing w:after="0" w:line="201" w:lineRule="exact"/>
              <w:rPr>
                <w:sz w:val="20"/>
                <w:szCs w:val="20"/>
                <w:color w:val="auto"/>
              </w:rPr>
            </w:pPr>
            <w:r>
              <w:rPr>
                <w:rFonts w:ascii="Arial" w:cs="Arial" w:eastAsia="Arial" w:hAnsi="Arial"/>
                <w:sz w:val="18"/>
                <w:szCs w:val="18"/>
                <w:color w:val="auto"/>
              </w:rPr>
              <w:t>A. Frist, Jr.</w:t>
            </w:r>
          </w:p>
        </w:tc>
        <w:tc>
          <w:tcPr>
            <w:tcW w:w="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88"/>
              </w:rPr>
              <w:t>Executive Officer, President and Chairman of the Board of Directors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Jeffrey S. Doster</w:t>
            </w:r>
          </w:p>
        </w:tc>
        <w:tc>
          <w:tcPr>
            <w:tcW w:w="240" w:type="dxa"/>
            <w:vAlign w:val="bottom"/>
          </w:tcPr>
          <w:p>
            <w:pPr>
              <w:spacing w:after="0"/>
              <w:rPr>
                <w:sz w:val="20"/>
                <w:szCs w:val="20"/>
                <w:color w:val="auto"/>
              </w:rPr>
            </w:pPr>
            <w:r>
              <w:rPr>
                <w:rFonts w:ascii="Arial" w:cs="Arial" w:eastAsia="Arial" w:hAnsi="Arial"/>
                <w:sz w:val="18"/>
                <w:szCs w:val="18"/>
                <w:color w:val="auto"/>
              </w:rPr>
              <w:t>49</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Technology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240" w:type="dxa"/>
            <w:vAlign w:val="bottom"/>
          </w:tcPr>
          <w:p>
            <w:pPr>
              <w:spacing w:after="0"/>
              <w:rPr>
                <w:sz w:val="20"/>
                <w:szCs w:val="20"/>
                <w:color w:val="auto"/>
              </w:rPr>
            </w:pPr>
            <w:r>
              <w:rPr>
                <w:rFonts w:ascii="Arial" w:cs="Arial" w:eastAsia="Arial" w:hAnsi="Arial"/>
                <w:sz w:val="18"/>
                <w:szCs w:val="18"/>
                <w:color w:val="auto"/>
              </w:rPr>
              <w:t>59</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Arthur E. Newman</w:t>
            </w:r>
          </w:p>
        </w:tc>
        <w:tc>
          <w:tcPr>
            <w:tcW w:w="240" w:type="dxa"/>
            <w:vAlign w:val="bottom"/>
          </w:tcPr>
          <w:p>
            <w:pPr>
              <w:spacing w:after="0"/>
              <w:rPr>
                <w:sz w:val="20"/>
                <w:szCs w:val="20"/>
                <w:color w:val="auto"/>
              </w:rPr>
            </w:pPr>
            <w:r>
              <w:rPr>
                <w:rFonts w:ascii="Arial" w:cs="Arial" w:eastAsia="Arial" w:hAnsi="Arial"/>
                <w:sz w:val="18"/>
                <w:szCs w:val="18"/>
                <w:color w:val="auto"/>
              </w:rPr>
              <w:t>65</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 Edward Pearson</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Operating Officer</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5480" w:type="dxa"/>
            <w:vAlign w:val="bottom"/>
            <w:gridSpan w:val="3"/>
          </w:tcPr>
          <w:p>
            <w:pPr>
              <w:ind w:left="220"/>
              <w:spacing w:after="0"/>
              <w:rPr>
                <w:sz w:val="20"/>
                <w:szCs w:val="20"/>
                <w:color w:val="auto"/>
              </w:rPr>
            </w:pPr>
            <w:r>
              <w:rPr>
                <w:rFonts w:ascii="Arial" w:cs="Arial" w:eastAsia="Arial" w:hAnsi="Arial"/>
                <w:sz w:val="18"/>
                <w:szCs w:val="18"/>
                <w:color w:val="auto"/>
              </w:rPr>
              <w:t>Senior Vice President</w:t>
            </w:r>
          </w:p>
        </w:tc>
      </w:tr>
    </w:tbl>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Robert A. Frist, Jr., one of our co-founders, has served as our chief executive officer and chairman of the board of directors since 1990 and president since 2001. Mr. Frist is the company’s chief operating decision maker. He graduated with a Bachelor of Science in business with concentrations in finance, economics and marketing from Trinity University.</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Jeffrey S. Doster joined the Company in May 2008 as senior vice president and chief technology officer. He earned undergraduate degrees in both Economics and Business Administration from Towson University, as well as a Master of Business Administration from Loyola College, in Maryland.</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Gerard M. Hayden, Jr. joined the Company as senior vice president and chief financial officer in May 2008. He earned a Bachelor of Arts from the University of Notre Dame and a Master of Science from Northeastern University.</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Arthur E. Newman joined the Company in January 2000, and is currently our Executive Vice President. Previously he served as our chief financial officer and senior vice president from January 2000 to March 2006. He holds a Bachelor of Science in chemistry from the University of Miami and a Master of Business Administration from Rutgers University.</w:t>
      </w:r>
    </w:p>
    <w:p>
      <w:pPr>
        <w:spacing w:after="0" w:line="14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J. Edward Pearson joined the Company in June 2006 as senior vice president, responsible for our survey and research business and was named president of HealthStream Research™ during 2007 and Chief Operating Officer in 2011. He earned a Bachelor of Business Administration in accounting from Middle Tennessee State University.</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Michael Sousa joined the company in October 2004, and was promoted to senior vice president in January 2010. He previously served as vice president for the Company, with responsibilities for our strategic accounts program. He earned a Bachelor of Science degree from Boston College and a Master of Business Administration from Boston University.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59" w:lineRule="exact"/>
        <w:rPr>
          <w:sz w:val="20"/>
          <w:szCs w:val="20"/>
          <w:color w:val="auto"/>
        </w:rPr>
      </w:pPr>
    </w:p>
    <w:p>
      <w:pPr>
        <w:ind w:left="900" w:right="3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delays and difficulties of identifying and developing new products or services and integrating such new products or services into our existing organization;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leverage our operational and financial systems sufficiently to support our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generate sufficient revenue from new products to offset investment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effectively identify, manage and exploit existing and emerging market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maintain our existing customer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new and existing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lengthy sales cycles, or customers delaying purchasing decisions due to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spending within the training, information and education departments of hospitals within our target market;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of the market for training, information and education in the healthcare industry to grow to a sufficient size or at a sufficient 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and our competitive position in the industry, could suffer.</w:t>
      </w:r>
    </w:p>
    <w:p>
      <w:pPr>
        <w:spacing w:after="0" w:line="2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 joint ventures, collaborative arrangements or other growth investments.</w:t>
      </w:r>
    </w:p>
    <w:p>
      <w:pPr>
        <w:spacing w:after="0" w:line="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part of our growth strategy, we actively review possible acquisitions, joint ventures, collaborative arrangements or growth investments that complement or enhance our business. We may not be able to identify, complete or integrate the operations of future acquisitions, joint ventures, collaborative arrangements or other growth investments. In addition, if we finance acquisitions, joint ventures, collaborative arrangements or other growth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growth investment strategies include:</w:t>
      </w:r>
    </w:p>
    <w:p>
      <w:pPr>
        <w:spacing w:after="0" w:line="39" w:lineRule="exact"/>
        <w:rPr>
          <w:sz w:val="20"/>
          <w:szCs w:val="20"/>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delays or difficulties in identifying and integrating acquired companies or joint venture operations, collaborative arrangements or other growth investments into our organization;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retain personnel associated with acquisitions, joint ventures, collaborative arrangements or other growth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diversion of management’s attention from other initiatives and/or day-to-day operations to effectively execute our growth strategy; and</w:t>
      </w:r>
    </w:p>
    <w:p>
      <w:pPr>
        <w:spacing w:after="0" w:line="113"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profit, and cash flow from acquisitions, joint ventures, collaborative arrangements or other growth investments to offset our investment costs.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for certain products and services may be hindered by customer scheduling.</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revenues from our subscription business continue to increase, a larger portion of our revenues will be predictable; however, quarterly performance may be more subject to fluctuations. Our HealthStream Research/Patient Experience Solutions products and services are typically contracted by healthcare organizations for multi-year terms, but the frequency, sample size, and timing of survey cycles can vary from quarter to quarter and year to year. The contract structure for some Research/Patient Experience Solutions products gives customers latitude about when to initiate a survey, which can affect quarterly or annual revenue forecasts. Also, other project-based products, such as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may be affected by lengthy and widely varying sales cycles.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tend to have a longer and more unpredictable revenue ramp period. As a result of these factors, we have only limited ability to forecast the timing and type of initial sales. This, in turn, makes it more difficult to forecast quarterly and annual financial performance.</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Several of our competitors and many potential competitors have longer operating histories and significantly greater financial, technical, marketing, or other resources than we do. We encounter direct competition from both large and small e-learning companies and other companies focused on workforce development management in the healthcare industry. We also face competition from larger survey and research companies. Given the profile and growth of the healthcare industry and the growing need for education, training, simulation,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complete e-learning solution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may enable customers to more easily shift to one of our competitors.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5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entered into contracts with strategic partners,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for such strategic partners in using alternative products being developed and marketed by them or our competitors, rather than our products and services.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have negative experiences with our products and services, or seek to amend the financial or other terms of the contracts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Lastly, we could be subject to claims and liability, as a result of the activities, products, or services of these strategic partners, and/or our acts or omissions with regard to these strategic partners.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retain proper distribution rights from our content partners, and this could affect projected growth in courseware subscription revenue.</w:t>
      </w:r>
    </w:p>
    <w:p>
      <w:pPr>
        <w:spacing w:after="0" w:line="1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growth strategy depends in part on our ability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SaaS-based customers and we are not able to accurately predict the volume or speed with which existing and new customers will adopt such new products and services.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SaaS-based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our workforce development or research/patient experience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90"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We derive a substantial portion of our revenues from a relatively small number of customers. A termination of our agreements with any of our significant customers or a failure of these customers to renew their contracts on favorable terms, or at all, could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1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year ended December 31, 2013, approximately 72% of our net revenue was derived from our subscription-based solution products. Our subscription-based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Historically, we have reported renewal rates of our core platform, the HLC, and during the year ended December 31, 2013, we renewed 97% of the annual HLC contract value up for renewal and 97%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HLC subscribers which were up for renewal. Our customers’ renewal rates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revenue could be adversely affected, which would have a material adverse affect on our results of operations and financial position. For example, the requirement mandated by CMS for healthcare organizations to transition to the ICD-10 coding system by October 2014 has generated significant demand for our ICD-10 training courseware. Subscriptions of ICD-10 courseware positively influenced the Company’s revenue and operating income during 2013, and are expected to do the same during 2014. As ICD-10 subscriptions begin to expire during 2014 and 2015, customers may choose not to renew their subscriptions on similar terms or at all, which could result in a revenue decline in 2015 compared to 2014. HealthStream Research/Patient Experience Solutions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20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5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Our ability to recognize revenue is dependent upon several factors including the transfer of customer-specific information such as unique subscriber IDs, which are required for us to implement customers on our SaaS-based platform and certain platform applications. Accordingly, if customers do not provide us with the specified information in a timely manner, our ability to recognize revenue will be delayed, which could adversely impact our operating results. In addition, implementation completion and acceptance of our SaaS-based platform and certain platform applications by our customers must be achieved, survey responses must be received and tabulated, and delivery of courseware is required in connection with subscription-based products for us to recognize revenue.</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recognize approximately 72% of our revenue from customers monthly over the terms of their subscription agreements, which have initial contract terms ranging from one to four or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expect our current cash and investment balances, revolving credit facility, and cash flows from operations to be sufficient to meet our cash requirements through at least 2014. However, we may need to raise additional funds in order to:</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new, or enhance existing, services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finance working capital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complementary businesses, technology, content or products;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effectively execute our growth strategy.</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December 31, 2013, we had approximately $108.2 million in cash, cash equivalents, and marketable securities. We also have up to $20.0 million of availability under a revolving credit facility, subject to certain covenants, which expires in July 2014. We expect to incur between $9.0 and $12.0 million of capital expenditures, software development and content purchases during 2014. We actively review possible business acquisitions to complement or enhance our products and services. We may not have adequate cash and investments or availability under our revolving credit facility to consummate one or more of these acquisitions. The capital markets have been experiencing extreme volatility and disruption, and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2013, our balance sheet included goodwill of $35.7 million and identifiable intangible assets of $8.9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 declines that do not support the carrying value of goodwill and identifiable 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pricing pressures,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not be able to demonstrate compliance with Sarbanes-Oxley Section 404 in a timely manner, and the correction of any deficiencies identified during upcoming annual audits may be costly and could harm our business.</w:t>
      </w:r>
    </w:p>
    <w:p>
      <w:pPr>
        <w:spacing w:after="0" w:line="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and external resources.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5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provided our online products and services since 1999 and continue to develop our ability to provide our solutions on both a subscription and transactional basis over the Internet. Our future success will depend on our ability to effectively develop and maintain the infrastructure, including procurement of additional hardware and software, and implement the services, including customer support, necessary to meet the demand for our products and services. Our inability from time to time to successfully develop the necessary systems and implement the necessary services on a timely basis has resulted in our customers experiencing some delays, interruptions and/or errors in their service. Such delays or interruptions may cause customers to become dissatisfied with our service and move to competing providers of traditional and online training and education services. If this happens, our revenue and reputation could be adversely affected, which would have a material adverse effect on our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8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effectively execute our growth strategy or maintain the quality of our services.</w:t>
      </w:r>
    </w:p>
    <w:p>
      <w:pPr>
        <w:spacing w:after="0" w:line="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in the past and continue to experience difficulty hiring qualified personnel in a timely manner for these positions. The pool of qualified technical personnel, in particular, is limited in Nashville, Tennessee, where our headquarters are located. Our interviewing center is located in Laurel, Maryland, and we may experience difficulty in maintaining and recruiting qualified individuals to perform these services. We will also need to maintain or increase the size of our staff to support our anticipated growth, without compromising the quality of our offerings or customer service. Our inability to locate, hire, integrate and retain qualified personnel in sufficient numbers may reduce the quality of our services and impair our ability to grow.</w:t>
      </w:r>
    </w:p>
    <w:p>
      <w:pPr>
        <w:spacing w:after="0" w:line="1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may not be able to upgrade our hardware and software technology infrastructure quickly enough to effectively meet demand for our services or our operations needs.</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must continue to obtain reasonably priced, commercially available hardware and operating software as well as continue to enhance our software and systems to accommodate the increased use of our platform, the increased courseware and content in our library, and the resulting increase in operational demands on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 material adverse effect on our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 unexpected event (including but not limited to a telecommunications failure, fire, earthquake, or other catastrophic loss) at our Internet service providers’ facilities or at our on-site data facility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revenues.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 if our security measures fail.</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may experience errors in our software products that administer and report on hospital performance, and these errors could result in action taken against us that could harm our business.</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survey data collected and reported by us, such as the survey data included as part of our CAHPS</w:t>
      </w:r>
      <w:r>
        <w:rPr>
          <w:rFonts w:ascii="Arial" w:cs="Arial" w:eastAsia="Arial" w:hAnsi="Arial"/>
          <w:sz w:val="10"/>
          <w:szCs w:val="10"/>
          <w:color w:val="auto"/>
        </w:rPr>
        <w:t>®</w:t>
      </w:r>
      <w:r>
        <w:rPr>
          <w:rFonts w:ascii="Arial" w:cs="Arial" w:eastAsia="Arial" w:hAnsi="Arial"/>
          <w:sz w:val="16"/>
          <w:szCs w:val="16"/>
          <w:color w:val="auto"/>
        </w:rPr>
        <w:t xml:space="preserve"> Hospital survey is used by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against us. Further, this survey data reported to CMS is then published by CMS to the general public, and any errors we experience that result in incorrect scoring on our hospital customer may result in damage to that hospital’s reputation, and the hospital may in turn bring litigation against us. We may be required to indemnify against such claims, and defending against any such claims could be costly, time consuming and could negatively affect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Content and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may subject us to liability or require us to change the way we do business.</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In addition to being directly subject to certain requirements of the HIPAA privacy and security regulations, we are required through contracts with our customers known as “business associate agreements” to protect the privacy and security of certain personal and health related information. As of September 23, 2013, we are required to comply with revised requirements under the HIPAA privacy and security regulations, except that existing business associate agreements may qualify for an extended compliance date of September 23, 2014. The rapidly evolving and uncertain regulatory environment could require us to change how we do business or incur additional costs. Further, we cannot predict how changes to these laws and regulations might affect our business. Failure to comply with applicable laws and regulations could subject us to civil and criminal penalties, subject us to contractual penalties, including termination of our customer agreements, damage our reputation and have a detrimental impact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certification to conduct CMS mandated surveys, and this could adversely affect our business.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survey product offerings include providing survey services to assist customers in their compliance with CMS regulations. We are currently designated by CMS as a certified vendor to offer CAHPS</w:t>
      </w:r>
      <w:r>
        <w:rPr>
          <w:rFonts w:ascii="Arial" w:cs="Arial" w:eastAsia="Arial" w:hAnsi="Arial"/>
          <w:sz w:val="11"/>
          <w:szCs w:val="11"/>
          <w:color w:val="auto"/>
        </w:rPr>
        <w:t>®</w:t>
      </w:r>
      <w:r>
        <w:rPr>
          <w:rFonts w:ascii="Arial" w:cs="Arial" w:eastAsia="Arial" w:hAnsi="Arial"/>
          <w:sz w:val="18"/>
          <w:szCs w:val="18"/>
          <w:color w:val="auto"/>
        </w:rPr>
        <w:t xml:space="preserve"> Hospital Surveys and CAHPS</w:t>
      </w:r>
      <w:r>
        <w:rPr>
          <w:rFonts w:ascii="Arial" w:cs="Arial" w:eastAsia="Arial" w:hAnsi="Arial"/>
          <w:sz w:val="11"/>
          <w:szCs w:val="11"/>
          <w:color w:val="auto"/>
        </w:rPr>
        <w:t>®</w:t>
      </w:r>
      <w:r>
        <w:rPr>
          <w:rFonts w:ascii="Arial" w:cs="Arial" w:eastAsia="Arial" w:hAnsi="Arial"/>
          <w:sz w:val="18"/>
          <w:szCs w:val="18"/>
          <w:color w:val="auto"/>
        </w:rPr>
        <w:t xml:space="preserve"> Home Health Care Surveys, including data collection and submission services. If we are unable to maintain these certifications, or secure certifications for future CMS mandated surveys, we would not be able to administer these survey instruments for our customers and our business may suffer.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or change in the regulation of continuing education and training in the healthcare industry may adversely affect our business.</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w:t>
      </w:r>
    </w:p>
    <w:p>
      <w:pPr>
        <w:spacing w:after="0" w:line="1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Protection of certain intellectual property may be difficult and costly, and our inability to protect our intellectual property could reduce the value of our products and services.</w:t>
      </w:r>
    </w:p>
    <w:p>
      <w:pPr>
        <w:spacing w:after="0" w:line="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Despite our efforts to protect our intellectual proprietary rights, a third 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We currently own several applications and registrations for trademarks and domain names in the United States and other countries as well as certain common law trademarks and service marks.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2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infringing the intellectual property rights of others.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principal office is located in Nashville, Tennessee. Our lease for approximately 73,000 square feet at this location expires in April 2017. The lease provides for a two-year renewal option with rates increasing during the renewal period. We are leasing approximately 19,000 square feet of office space in Laurel, Maryland. The lease expires in March 2016. We are leasing approximately 7,000 square feet of office space in Brentwood, Tennessee, and the lease expires in October 2015. We are also leasing approximately 6,000 square feet of office space in Pensacola Florida, and the lease expires in March 2015.</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common stock is traded on the NASDAQ Global Select Market under the symbol “HSTM”. Our common stock began trading on the NASDAQ National Market on April 14, 2000.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each quarter of the two most recent years, the high and low closing prices per share of our common stock as reported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w w:val="92"/>
              </w:rPr>
              <w:t>Common Stock Price</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12"/>
                <w:szCs w:val="12"/>
                <w:color w:val="auto"/>
              </w:rPr>
            </w:pPr>
          </w:p>
        </w:tc>
      </w:tr>
      <w:tr>
        <w:trPr>
          <w:trHeight w:val="210"/>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$16.48</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27.75</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20.04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39.46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30.21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As of February 27, 2014, there were 96 registered holders and 7,449 beneficial holders of our common stock. Because many of such shares are held by brokers and other institutions on behalf of shareholders, we are unable to estimate the total number of shareholders represented by these record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for use in the operation of our business.</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See the table labeled “Securities Authorized for Issuance Under Equity Compensation Plans” to be contained in our 2014 Proxy Statement, incorporated by reference in Part III, Item 12 of this Annual Report on Form 10-K.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2008,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2008 (for our stock and the indices) and reinvestment of all dividends).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1"/>
          <w:szCs w:val="11"/>
          <w:b w:val="1"/>
          <w:bCs w:val="1"/>
          <w:color w:val="auto"/>
        </w:rPr>
        <w:t>(1)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135890</wp:posOffset>
            </wp:positionV>
            <wp:extent cx="4476750" cy="3353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7675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invested on 12/31/2008 in stock or index-including reinvestment of dividends. Fiscal year ending December 31.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HealthStream acquired DCI on June 29, 2012, Sy.Med on October 19, 2012, and BLG on September 9, 2013. The results of operations for these acquired companies are included within our consolidated statement of income data effective from the date of acquisition. Revenues may be subject to fluctuations as discussed further in “Management’s Discussion and Analysis of Financial Condition and Results of Operations” located elsewhere in this report. During 2013, 2012, 2011, and 2010, we recorded a tax provision of approximately $6.4 million, $5.9 million, $4.4 million and $2.9 million, respectively. During 2009 we recognized portions of our deferred tax assets through the reversal of the valuation allowance, resulting in deferred income tax benefits of approximately $9.1 million. As a result of these factors, the annual results presented below are not comparable. The operating results for any single year are not necessarily indicative of the results to be expected in the future.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left="215"/>
              <w:spacing w:after="0"/>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8"/>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 thousands, except per share data)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Revenues,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132,274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82,066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65,754</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57,398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117,608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11,338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Net income per share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26,853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22,445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 – diluted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17,868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Marketable securities – short and long term</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48,659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12,548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16,014</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11,069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44,616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23,104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23,991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90,912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212,594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174,528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154,237</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82,011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149,433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132,196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120,915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56,791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provide subscription-based workforce development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 Our customer base includes approximately 4,000 healthcare organizations (predominately acute-care facilities) throughout all 50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Revenues for the year ended December 31, 2013 were approximately $132.3 million compared to $103.7 million for the year ended December 31, 2012, an increase of 27.5%. Operating income increased by 9.0% to $14.7 million for 2013, compared to $13.5 million for 2012. Net income increased by 10.1% to $8.4 million for 2013, compared to $7.6 million for 2012. Earnings per share (EPS) were $0.30 per share (diluted) for 2013 compared to $0.28 per share (diluted) for 2012. Revenues from HealthStream Workforce Development Solutions grew by 32.1%, or $25.3 million, and revenues from HealthStream Research/Patient Experience Solutions grew by 13.1%, or $3.3 million. We had approximately 3.71 million total subscribers, of which approximately 3.39 million were fully implemented subscribers on our SaaS-based platform at December 31, 2013. During 2013, we renewed approximately 700,000 subscribers, representing a 97% renewal rate for the subscribers up for renewal, and a 97% renewal rate based on the annual contract value up for renewal. Additionally, annualized revenue per implemented subscriber increased to $32.41 per subscriber at the end of 2013, up from $27.04 per subscriber at the end of 2012, representing a 19.9% increase. As of December 31, 2013 our cash and investment balances approximated $108.2 million, and we maintained full availability under our $20.0 million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recognize revenues from our subscription-based workforce development products and courseware subscriptions based on a per person subscription basis, and in some cases on a per license basis. Fees are based on the size of the facilities’ or organizations’ employee user population and the service offerings to which they subscribe. Subscription-based revenue is recognized ratably over the service period of the underlying contract. All other service revenues are recognized as the related services are performed or products are delivered.</w:t>
      </w:r>
    </w:p>
    <w:p>
      <w:pPr>
        <w:spacing w:after="0" w:line="143"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Revenues derived from the license of installed software products, associated with the Sy.Med products, are recognized upon shipment or installation of the software. Software support and maintenance revenues are recognized ratably over the term of the related agreement.</w:t>
      </w:r>
    </w:p>
    <w:p>
      <w:pPr>
        <w:spacing w:after="0" w:line="8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Revenues from research/patient experience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Coaching and consulting revenues are generally recognized using the proportional performance method as these services are performed throughout the contract term.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offer training services for clients to facilitate integration of our SaaS-based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$1.3 million for the portion of its deferred tax assets which are related to the portion of our NOLs associated with deductions for stock option exercises.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Software development includes our costs to develop and maintain our products and applications, including our SaaS-based workforce development platform products and our survey reporting applications. Once planning is completed and development begins, we capitalize internal costs and payments to third parties associated with the development efforts where the life expectancy is greater than one year and the anticipated cash flows are expected to exceed the cost of the related asset. During 2013 and 2012, we capitalized approximately $4.3 million and $4.4 million, respectively, for software development. Such amounts are included in the accompanying consolidated balance sheets under the caption “capitalized software development.” We amortize capitalized software development costs over their expected life, which is generally three to five years. Capitalized software development costs are subject to a periodic impairment review in accordance with our impairment review policy.</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software development, our significant estimates involve the assessment of the development period for new products, as well as the expected useful life of underlying software or product created. Once capitalized, software development costs are subject to the policies and estimates described below regarding goodwill, intangibles and other long-lived assets.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estimate the allowance for doubtful accounts using both a specific and non-specific identification method. Management’s evaluation includes reviewing past due accounts on a case-by-case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$211,000 as of December 31, 2013.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recognize compensation expense using a fair-value based method for costs related to share based payments including stock options and restricted share units.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14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As of December 31, 2013, we had two stock incentive plans which qualified as stock based compensation plans. During the years ended December 31, 2013, 2012, and 2011, we recorded approximately $1.5 million, $1.1 million, and $0.8 million of stock based compensation expense, respectively. We have historically granted stock options or restricted share units to our management group on an annual basis, or when new members of the management group begin their employment. We have historically granted stock options or restricted share units to non-employee members of our board of directors in conjunction with our annual shareholders meeting, or as new members are added on a pro rata basis based on the time elapsed since our annual shareholders’ meeting. We expect to continue providing equity based awards to our management group and our board of directors for the foreseeable future. As of December 31, 2013, total future compensation cost related to non-vested awards not yet recognized was approximately $2.5 million net of estimated forfeitures, with a weighted average expense recognition period of 2.3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our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7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for our HealthStream Workforce Development Solutions business segment primarily consist of the following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of services through our SaaS-based platform, authoring tools, a variety of courseware subscriptions, competency and performance appraisal tools, implementation and consulting services, content development, online sales training courses (RepDirect™), HospitalDirect</w:t>
      </w:r>
      <w:r>
        <w:rPr>
          <w:rFonts w:ascii="Arial" w:cs="Arial" w:eastAsia="Arial" w:hAnsi="Arial"/>
          <w:sz w:val="10"/>
          <w:szCs w:val="10"/>
          <w:color w:val="auto"/>
        </w:rPr>
        <w:t>®</w:t>
      </w:r>
      <w:r>
        <w:rPr>
          <w:rFonts w:ascii="Arial" w:cs="Arial" w:eastAsia="Arial" w:hAnsi="Arial"/>
          <w:sz w:val="16"/>
          <w:szCs w:val="16"/>
          <w:color w:val="auto"/>
        </w:rPr>
        <w:t>, SimVentures, and a variety of other educational activities to serve professionals that work within healthcare organizations. HealthStream Workforce Development Solutions revenues also include products from the recent acquisitions of DCI and Sy.Med. Revenues for our HealthStream Research/Patient Experience Solutions business segment consist of quality and satisfaction surveys, data analyses of survey results, coaching/consulting services, and other research-based measurement tools focused on patients, employees, physicians, and other members of the community.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(excluding depreciation and amortization) consists primarily of salaries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consists primarily of salaries and employee benefits, contract labor, stock based compensation, content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consists primarily of salaries, commissions and employee benefits, stock based compensation, employee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lodging, advertising, trade shows, promotions, and related marketing costs. We host a national customer conference in Nashville known as “Summit,” a portion of the costs of which are included in sales and marketing expenses. Personnel costs within sales and marketing include our sales teams, relationship managers, and marketing personnel.</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business development and acquisition related costs,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development fees, and amortization of capitalized software development.</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our revolving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Compared to 2012</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$28.5 million, or 27.5%, to $132.3 million for 2013 from $103.7 million for 2012. Revenues for 2013 consisted</w:t>
      </w:r>
      <w:r>
        <w:rPr>
          <w:rFonts w:ascii="Arial" w:cs="Arial" w:eastAsia="Arial" w:hAnsi="Arial"/>
          <w:sz w:val="16"/>
          <w:szCs w:val="16"/>
          <w:i w:val="1"/>
          <w:iCs w:val="1"/>
          <w:color w:val="auto"/>
        </w:rPr>
        <w:t xml:space="preserve"> </w:t>
      </w:r>
      <w:r>
        <w:rPr>
          <w:rFonts w:ascii="Arial" w:cs="Arial" w:eastAsia="Arial" w:hAnsi="Arial"/>
          <w:sz w:val="16"/>
          <w:szCs w:val="16"/>
          <w:color w:val="auto"/>
        </w:rPr>
        <w:t>of $103.8 million, or 78% of total revenue, for HealthStream Workforce Development Solutions and $28.5 million, or 22% of total revenue, for HealthStream Research/Patient Experience Solutions. In 2012, revenues consisted of $78.6 million, or 76% of total revenue, for HealthStream Workforce Development Solutions and $25.2 million, or 24% of total revenue, for HealthStream Research/Patient Experience Solutions.</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Revenues for HealthStream Workforce Development Solutions increased $25.3 million, or 32.1%, over 2012. Revenues from our subscription-based workforce development products increased by $22.5 million, or 31.0% over 2012 due to a higher number of subscribers and more courseware consumption by subscribers. Annualized revenue per implemented subscriber increased by 19.9%, to $32.41 per subscriber at the end of 2013 compared to $27.04 per subscriber at the end of 2012. Our implemented subscribers increased by 15.4% during 2013 to 3.39 million subscribers at the end of 2013 compared to 2.94 million subscribers at the end of 2012. Additionally, we had a 19.6% increase in total subscribers, with 3.71 million total subscribers at December 31, 2013 compared to 3.1 million total subscribers at December 31, 2012. Revenues in 2013 were positively influenced by courseware subscriptions associated with, among other products, ICD-10 training. Revenues from ICD-10 training were approximately $13.9 million in 2013, an increase of $11.5 million over 2012. Revenues from our credentialing software product, an installed solution, contributed $3.9 million during 2013, up $3.4 million over 2012. Revenues from SimVentures, our collaborative arrangement with Laerdal Medical A/S, increased by $664,000, or 39.8 percent, over the prior year to $2.3 million. Revenues from project-based services decreased $1.2 million from the prior year due to fewer content development projects.</w:t>
      </w:r>
    </w:p>
    <w:p>
      <w:pPr>
        <w:spacing w:after="0" w:line="1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for HealthStream Research/Patient Experience Solutions increased $3.3 million or 13.1%, over 2012. Revenues from Patient Insights™ surveys, our survey research product that generates recurring revenues, increased by $2.5 million, or 12.8%, over the prior year. Revenues from other surveys, which are conducted on annual or bi-annual cycles, declined by $449,000, or 8.3%, compared to the prior year due to fewer survey engagements. The financial results for Baptist Leadership Group (BLG) have been included in the Company’s financial statements from the date of acquisition (September 9, 2013) and are included in the HealthStream Research/Patient Experience Solutions segment. BLG revenues were approximately $1.2 million during 2013, and contributed to the revenue increase over 2012.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$13.9 million, or 33.5%, to $55.6 million for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$41.7 million for 2012. Cost of revenues as a percentage of revenues was 42.0% of revenues for 2013 compared to 40.2% of revenues for 2012. Cost of revenues for HealthStream Workforce Development Solutions increased approximately $11.1 million to $39.5 million and approximated 38.0% and 36.1% of revenues for HealthStream Workforce Development Solutions for 2013 and 2012, respectively. The increase is primarily associated with increased royalties paid by us resulting from growth in courseware subscription revenues and increased personnel expenses. Cost of revenues for HealthStream Research/Patient Experience Solutions increased approximately $2.9 million to $16.1 million and approximated 56.7% and 52.7% of revenues for HealthStream Research/Patient Experience Solutions for 2013 and 2012, respectively. The increase is primarily the result of additional costs associated with the growth in patient survey volume over the prior year and increased personnel expenses, including costs associated with the acquisition of BLG during September 2013.</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$3.2 million, or 36.6%, to $11.8 million for 2013 from $8.6 million for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as a percentage of revenues were 8.9% and 8.3% of revenues for 2013 and 2012, respectively.</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Product development expenses for HealthStream Workforce Development Solutions increased approximately $3.2 million and approximated 9.9% and 9.0% of revenues for HealthStream Workforce Development for 2013 and 2012, respectively. The increase over the prior year is due to additional personnel expenses associated with new development initiatives related to our platform products. Product development expenses for HealthStream Research/Patient Experience Solutions decreased approximately $75,000 and approximated 5.3% and 6.2% of revenues for HealthStream Research/Patient Experience Solutions in 2013 and 2012, respectively.</w:t>
      </w:r>
    </w:p>
    <w:p>
      <w:pPr>
        <w:spacing w:after="0" w:line="14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$4.2 million, or 20.9%, to $24.1 million for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 million for 2012. Sales and marketing expenses as a percentage of revenues were 18.2% and 19.2% of revenues for 2013 and 2012, respectively.</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Sales and marketing expenses for HealthStream Workforce Development Solutions increased approximately $4.3 million and approximated 17.6% and 17.9% of revenues for HealthStream Workforce Development Solutions for 2013 and 2012, respectively. This expense amount increase is primarily due to additional personnel and related expenses, increased commissions associated with higher sales performance compared to the prior year period, and increased travel expenses. Sales and marketing expenses for HealthStream Research/Patient Experience Solutions decreased approximately $4,000, and approximated 19.0% and 21.5% of revenues for HealthStream Research/Patient Experience Solutions for 2013 and 2012, respectively.</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$4.9 million, or 36.4%, to $18.3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2013 from $13.5 million for 2012. Other general and administrative expenses as a percentage of revenues were 13.9% and 13.0% of revenues for 2013 and 2012, respectively.</w:t>
      </w:r>
    </w:p>
    <w:p>
      <w:pPr>
        <w:spacing w:after="0" w:line="14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Other general and administrative expenses for HealthStream Workforce Development Solutions increased approximately $1.0 million over the prior year period primarily due to additional personnel, rent, and other support costs, while other general and administrative expenses for HealthStream Research/Patient Experience Solutions increased approximately $200,000 compared to the prior year period primarily due to additional personnel. The unallocated corporate portion of other general and administrative expenses increased approximately $3.7 million over the prior year period, primarily associated with additional personnel, professional fees, stock based compensation expense, rent, taxes, and other general expenses, as well as one-time expenses associated with the acquisition of BLG. During 2013, we incurred approximately $405,000 of costs associated with both the completed acquisition of BLG and other costs for evaluating potential transactions as part of our business development initiatives.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$1.2 million, or 17.9%, to $7.9 million for 2013 from $6.7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increase primarily resulted from amortization of capitalized software development assets and amortization of intangibles assets, as well as depreciation expense associated with leasehold improvements to our Nashville, Tennessee office space.</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approximately $176,000 for 2013 compared to $118,000 for 2012. The improvement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was associated with higher interest income from investments in marketable securities.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$6.4 million for 2013 compared to $5.9 million for 2012. The Company’s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rate was 43.3% for 2013 compared to 43.7% for 2012.</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$773,000, or 10.1%, to $8.4 million for 2013 from $7.6 million for 2012. Earnings per diluted share were $0.30</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for 2013, compared to $0.28 per diluted share for 2012.</w:t>
      </w:r>
    </w:p>
    <w:p>
      <w:pPr>
        <w:spacing w:after="0" w:line="13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increased by 12.7% to approximately $23.9 million for 2013 compared to $21.2 million for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$21.7 million, or 26.4%, to $103.7 million for 2012 from $82.1 million for 2011. Revenues for 2012 consisted</w:t>
      </w:r>
      <w:r>
        <w:rPr>
          <w:rFonts w:ascii="Arial" w:cs="Arial" w:eastAsia="Arial" w:hAnsi="Arial"/>
          <w:sz w:val="16"/>
          <w:szCs w:val="16"/>
          <w:i w:val="1"/>
          <w:iCs w:val="1"/>
          <w:color w:val="auto"/>
        </w:rPr>
        <w:t xml:space="preserve"> </w:t>
      </w:r>
      <w:r>
        <w:rPr>
          <w:rFonts w:ascii="Arial" w:cs="Arial" w:eastAsia="Arial" w:hAnsi="Arial"/>
          <w:sz w:val="16"/>
          <w:szCs w:val="16"/>
          <w:color w:val="auto"/>
        </w:rPr>
        <w:t>of $78.6 million, or 76% of total revenue, for HealthStream Workforce Development Solutions and $25.2 million, or 24% of total revenue, for HealthStream Research/Patient Experience Solutions. In 2011, revenues consisted of $58.1 million, or 71% of total revenue, for HealthStream Workforce Development Solutions and $24.0 million, or 29% of total revenue, for HealthStream Research/Patient Experience Solutions.</w:t>
      </w:r>
    </w:p>
    <w:p>
      <w:pPr>
        <w:spacing w:after="0" w:line="11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Revenues for HealthStream Workforce Development Solutions increased $20.5 million, or 35.3%, over 2011. Revenues from our subscription-based workforce development products increased by $17.6 million, or 32.2% over 2011 due to a higher number of subscribers and more courseware consumption by subscribers. Annualized revenue per implemented subscriber increased by 17.7%, to $27.04 per subscriber at the end of 2012 compared to $22.97 per subscriber at the end of 2011. Our implemented subscriber base increased by 14% during 2012 to 2.94 million implemented subscribers at the end of 2012 compared to 2.57 million implemented subscribers at the end of 2011. Additionally, we had a 13% increase in total subscribers, with 3.1 million total subscribers at December 31, 2012 compared to 2.75 million total subscribers at December 31, 2011. Revenues from project-based services increased by $1.5 million compared to 2011 due to more engagements than the prior year. Revenues from SimVentures, our collaborative arrangement with Laerdal Medical, increased approximately $844,000 over 2011.</w:t>
      </w:r>
    </w:p>
    <w:p>
      <w:pPr>
        <w:spacing w:after="0" w:line="10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Revenues for HealthStream Research/Patient Experience Solutions increased $1.2 million or 4.9%, over 2011. Revenues from Patient Insights™ surveys, our survey research product that generates recurring revenues, increased by $1.8 million, or 10.1%, over 2011. Revenues from other surveys, which are conducted on annual or bi-annual cycles, declined by $633,000, or 10.5%, compared to 2011 due to fewer survey engagements.</w:t>
      </w:r>
    </w:p>
    <w:p>
      <w:pPr>
        <w:spacing w:after="0" w:line="10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$10.6 million, or 34.1%, to $41.7 million for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$31.1 million for 2011. Cost of revenues as a percentage of revenues was 40.2% of revenues for 2012 compared to 37.9% of revenues for 2011. Cost of revenues for HealthStream Workforce Development Solutions increased approximately $9.5 million to $28.4 million and approximated 36.1% and 32.4% of revenues for HealthStream Workforce Development Solutions for 2012 and 2011, respectively. The increase is primarily associated with increased royalties paid by us resulting from growth in courseware subscription revenues, increased personnel expenses, and increased costs associated with project-based services. Cost of revenues for HealthStream Research/Patient Experience Solutions increased approximately $1.0 million to $13.3 million and approximated 52.7% and 51.0% of revenues for HealthStream Research/Patient Experience Solutions for 2012 and 2011, respectively. The increase is primarily the result of additional costs associated with the growth in patient survey volume over 2011.</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$1.1 million, or 15.2%, to $8.6 million for 2012 from $7.5 million for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as a percentage of revenues were 8.3% and 9.1% of revenues for 2012 and 2011, respectively.</w:t>
      </w:r>
    </w:p>
    <w:p>
      <w:pPr>
        <w:spacing w:after="0" w:line="16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Product development expenses for HealthStream Workforce Development Solutions increased approximately $1.1 million and approximated 9.0% and 10.2% of revenues for HealthStream Workforce Development Solutions for 2012 and 2011, respectively. The decrease as a percentage of revenue is the result of the growth in revenues over the prior year period, while the increase in amount is due to additional personnel expenses associated with the maintenance of our platform, as well as working on new product development initiatives. Product development expenses for HealthStream Research/Patient Experience Solutions increased approximately $4,000 and approximated 6.2% and 6.5% of revenues for HealthStream Research/Patient Experience Solutions in 2012 and 2011, respectively.</w:t>
      </w:r>
    </w:p>
    <w:p>
      <w:pPr>
        <w:spacing w:after="0" w:line="10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$3.9 million, or 24.2%, to $19.9 million for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$16.0 million for 2011. Sales and marketing expenses as a percentage of revenues were 19.2% and 19.5% of revenues for 2012 and 2011, respectively.</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and marketing expenses for HealthStream Workforce Development Solutions increased approximately $3.2 million and approximated 17.9% and 18.7% of revenues for HealthStream Workforce Development Solutions for 2012 and 2011, respectively. This expense increase is primarily due to additional personnel and related expenses, increased travel expenses, increased marketing spending, increased expenses for our annual customer Summit, and increased commissions associated with higher sales performance compared to the prior year period. Sales and marketing expenses for HealthStream Research/Patient Experience Solutions increased approximately $687,000, and approximated 21.5% and 19.7% of revenues for HealthStream Research/Patient Experience Solutions for 2012 and 2011, respectively. The expense increase was primarily due to additional personnel and related expenses and increased commissions.</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$2.7 million, or 25.0%, to $13.5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$10.8 million for 2011. Other general and administrative expenses as a percentage of revenues were 13.0% and 13.1% of revenues for 2012 and 2011,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Other general and administrative expenses for HealthStream Workforce Development Solutions increased approximately $644,000 over 2011 primarily due to employee recruiting costs, rent, and other support costs, while other general and administrative expenses for HealthStream Research/Patient Experience Solutions decreased approximately $302,000 compared to 2011 primarily due to lower personnel costs. The unallocated corporate portion of other general and administrative expenses increased approximately $2.4 million over 2011, primarily associated with additional personnel, professional fees, stock based compensation expense, rent, franchise taxes, and other general expenses, as well as one-time expenses associated with the acquisitions of DCI and Sy.Med. During 2012, we incurred approximately $678,000 of costs associated with the completed acquisitions of DCI and Sy.Med, and other costs for evaluating potential transactions as part of our business development initiatives.</w:t>
      </w:r>
    </w:p>
    <w:p>
      <w:pPr>
        <w:spacing w:after="0" w:line="11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$1.2 million, or 23.1%, to $6.7 million for 2012 from $5.4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2011. The increase primarily resulted from amortization of capitalized software development assets and amortization of intangibles assets for DCI and Sy.Med within HealthStream Workforce Development Solutions and depreciation expense associated with leasehold improvements to our Nashville, Tennessee office space.</w:t>
      </w:r>
    </w:p>
    <w:p>
      <w:pPr>
        <w:spacing w:after="0" w:line="14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net was approximately $118,000 for 2012 compared to $10,000 for 2011. The improvement over 2011 was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higher interest income from investments in marketable securities.</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$5.9 million for 2012 compared to $4.4 million for 2011. The Company’s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tax rate was 43.7% for 2012 compared to 38.8% for 2011. The increase in the effective tax rate primarily resulted from changes in certain state apportionment factor estimates, which resulted in a higher proportion of income subject to taxation in those states and a reduction in our state operating loss carryforwards.</w:t>
      </w:r>
    </w:p>
    <w:p>
      <w:pPr>
        <w:spacing w:after="0" w:line="10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$701,000, or 10.1%, to $7.6 million for 2012 from $6.9 million for 2011. Earnings per diluted share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were $0.28 per share for 2012, compared to $0.29 per diluted share for 2011. A key factor impacting the comparison of EPS (diluted) for 2012 to EPS (diluted) for 2011 was the effect of additional shares of the Company’s common stock outstanding that were issued during the Company’s fourth quarter 2011 stock offering. The impact of the stock offering increased the weighted average outstanding share count by approximately 3.6 million shares for 2012 compared to 2011.</w:t>
      </w:r>
    </w:p>
    <w:p>
      <w:pPr>
        <w:spacing w:after="0" w:line="14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increased by 21.1% to approximately $21.2 million for 2012 compared to $17.5 million for 2011.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This report contains certain non-GAAP financial measures, including, non-GAAP net income, non-GAAP operating income, non-GAAP revenue and adjusted EBITDA, which are used by management in analyzing the Company’s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1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tax deductions in 2011, 2012, and 2013,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As discussed elsewhere in this report, the Company completed the acquisitions of DCI during June 2012, Sy.Med in October 2012, and BLG in September 2013. In accordance with US GAAP reporting requirements for fair value, we recorded a deferred revenue write-down of $192,000 for DCI, $916,000 for Sy.Med, and $254,000 for BLG. These write-downs will result in lower revenues than would have otherwise been recognized for such services.</w:t>
      </w:r>
    </w:p>
    <w:p>
      <w:pPr>
        <w:spacing w:after="0" w:line="10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17,545</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GAAP 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132,274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103,732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82,066</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deferred revenue write-down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Non-GAAP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133,113</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104,222</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82,066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11,338</w:t>
            </w:r>
          </w:p>
        </w:tc>
        <w:tc>
          <w:tcPr>
            <w:tcW w:w="0" w:type="dxa"/>
            <w:vAlign w:val="bottom"/>
          </w:tcPr>
          <w:p>
            <w:pPr>
              <w:spacing w:after="0"/>
              <w:rPr>
                <w:sz w:val="1"/>
                <w:szCs w:val="1"/>
                <w:color w:val="auto"/>
              </w:rPr>
            </w:pPr>
          </w:p>
        </w:tc>
      </w:tr>
      <w:tr>
        <w:trPr>
          <w:trHeight w:val="223"/>
        </w:trPr>
        <w:tc>
          <w:tcPr>
            <w:tcW w:w="6620" w:type="dxa"/>
            <w:vAlign w:val="bottom"/>
          </w:tcPr>
          <w:p>
            <w:pPr>
              <w:ind w:left="440"/>
              <w:spacing w:after="0"/>
              <w:rPr>
                <w:sz w:val="20"/>
                <w:szCs w:val="20"/>
                <w:color w:val="auto"/>
              </w:rPr>
            </w:pPr>
            <w:r>
              <w:rPr>
                <w:rFonts w:ascii="Arial" w:cs="Arial" w:eastAsia="Arial" w:hAnsi="Arial"/>
                <w:sz w:val="18"/>
                <w:szCs w:val="18"/>
                <w:color w:val="auto"/>
              </w:rPr>
              <w:t>Adjustment for deferred revenue write-down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11,338</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8,418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7"/>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deferred revenue write-down, net of tax</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8,894</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7,921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2014</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provides projections and other forward-looking information in this “Financial Outlook for 2014”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above. Actual results are likely to differ, and in the past have differed, materially from those forecast by the Company, depending on the outcome of various factors, including, but not limited to, those set forth in Item 1A, Risk Factors.</w:t>
      </w:r>
    </w:p>
    <w:p>
      <w:pPr>
        <w:spacing w:after="0" w:line="12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for approximately $13.0 million in cash and 81,614 shares of its common stock. Taking into consideration the HCCS acquisition, the Company anticipates that consolidated revenues for the full year 2014 will grow by 25 percent to 29 percent as compared to 2013, which revenue growth reflects the impact of the deferred revenue write-down related to the HCCS acquisition.</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We anticipate revenue growth in the Workforce Development Solutions segment, which will include HCCS, to be in the 27 percent to 31 percent range, also reflecting the impact of the deferred revenue write-down related to the HCCS acquisition. We expect the Research/Patient Experience Solutions segment’s revenue to increase by approximately 18 percent to 22 percent, part of which growth includes revenues from the BLG acquisition which we closed in September 2013. The foregoing guidance does not include the impact from any other transactions that we may complete during 2014.</w:t>
      </w:r>
    </w:p>
    <w:p>
      <w:pPr>
        <w:spacing w:after="0" w:line="11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anticipate that the Company’s 2014 full-year operating income will decrease between two and eleven percent over full-year 2013. This operating income estimated range includes the impact of HCCS, of which between $2.5 to $3.0 million relates to the combined impact of deferred revenue fair value write-downs, amortization of intangibles, incremental investments in HCCS sales, marketing, and product development to drive future growth, and approximately $450,000 of transaction costs. Similar to our revenue guidance, this estimate does not include the impact from any other transactions that we may complete during 2014.</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anticipate that our 2014 capital expenditures will be between $9.0 million and $12.0 million. We expect our effective tax rate to range between 42 and 44 percent for the full-year of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following tables set forth selected statements of income data for each of the eight quarters in the period ended December 31, 2013.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Revenues from our subscription-based products are recognized ratably over the subscription term. Survey and research revenues are impacted by seasonal factors resulting from the volume, timing, and frequency of survey cycles.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Revenues, net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2"/>
              </w:rPr>
              <w:t>$ 29,646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$31,919</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33,659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26,473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27,813</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3,173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4,106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26,340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26,722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27,085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27,409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27,649</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Revenues, net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2"/>
              </w:rPr>
              <w:t>$ 23,674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$25,841</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26,380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21,333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21,800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2,341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4,041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3,731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1,977</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25,999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26,127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27,335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27,501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Due to the nature of interim earnings per share calculations, the sum of quarterly earnings per share amounts may not equal the reported earnings per share for the full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cash provided by operating activities increased by $3.8 million, or 16.7%, to $26.3 million during 2013 from $22.5 million during 2012. Our primary sources of cash were generated from receipts from the sales of our products and services. The number of days sales outstanding (DSO) was 56 days for 2013 and 55 days for 2012.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w:t>
      </w:r>
    </w:p>
    <w:p>
      <w:pPr>
        <w:spacing w:after="0" w:line="116"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Net cash used in investing activities was approximately $15.0 million during 2013 and $59.0 million during 2012. During 2013, the Company purchased $86.1 million of marketable securities, utilized $7.6 million (net of cash acquired) for acquisitions, spent $4.3 million for capitalized software development, purchased $4.4 million of property and equipment, and made $0.3 million in non-marketable equity investments. These uses of cash were partially offset by maturities and sales of marketable securities of $87.7 million. During 2012, the Company purchased $118.2 million of marketable securities, utilized $9.9 million (net of cash acquired) for acquisitions, spent $4.4 million for capitalized software development, purchased $4.3 million of property and equipment, and made $0.2 million in non-marketable equity investments. These uses of cash were partially offset by maturities of marketable securities of $78.1 million.</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Cash provided by financing activities was approximately $6.9 million during 2013 and $934,000 during 2012. The primary source of cash from financing activities for 2013 and 2012 included proceeds (net of payroll taxes paid) of $3.2 million and $823,000, respectively, from the exercise of employee stock options and issuance of RSUs. In addition, the Company recognized excess tax benefits from equity awards of $3.7 million and $111,000 in 2013 and 2012, respectively.</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Revenues increased and operating income improved over the prior year, and our balance sheet reflects positive working capital of $90.9 million at December 31, 2013 compared to $83.3 million at December 31, 2012. The increase in working capital primarily resulted from increases in cash and investment balances and accounts receivable. At December 31, 2013, the Company’s primary source of liquidity was $108.2 million of cash and cash equivalents and marketable securities. The Company also has a $20.0 million revolving credit facility loan agreement, all of which was available at December 31, 2013.</w:t>
      </w:r>
    </w:p>
    <w:p>
      <w:pPr>
        <w:spacing w:after="0" w:line="11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income tax liabilities. We anticipate our remaining net operating loss carryforwards will become fully utilized over the next 12 to 24 months. Our actual tax payments are expected to increase significantly once the net operating loss carryforwards are fully utilized. As part of our growth strategy, we have recently completed several acquisitions and we continue to review possible acquisitions that complement our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December 31, 2013, we were in compliance with all covenants. The credit and capital markets have been experiencing extreme volatility and disruption.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off-balance sheet arrangements primarily consist of operating leases, contractual obligations, and our revolving credit facility, which is described further in Note 14 to the Company’s consolidated financial statements contained elsewhere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future anticipated payments due by the Company under contractual obligations with firm minimum commitments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excluding amounts already recorded in the Consolidated Balance Sheets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Less than 1</w:t>
            </w: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w w:val="85"/>
              </w:rPr>
              <w:t>Payments due by period</w:t>
            </w:r>
          </w:p>
        </w:tc>
        <w:tc>
          <w:tcPr>
            <w:tcW w:w="20" w:type="dxa"/>
            <w:vAlign w:val="bottom"/>
          </w:tcPr>
          <w:p>
            <w:pPr>
              <w:spacing w:after="0"/>
              <w:rPr>
                <w:sz w:val="15"/>
                <w:szCs w:val="1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More than 5</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8"/>
              </w:rPr>
              <w:t>1-3 years</w:t>
            </w: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2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$ 3,421</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505</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Purchase obligations</w:t>
            </w:r>
          </w:p>
        </w:tc>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480" w:type="dxa"/>
            <w:vAlign w:val="bottom"/>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89"/>
              </w:rPr>
              <w:t>$ 3,421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505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February 2013, the FASB issued ASU No. 2013-02, Comprehensive Income (Topic 220): Reporting of Amounts Reclassified Out of Accumulated Other Comprehensive Income (ASU 2013-02), which is effective prospectively for public companies for reporting periods beginning after December 15, 2012. This new accounting standard improves the reporting of reclassifications out of accumulated other comprehensive income (AOCI) by requiring an entity to report the effect of significant reclassifications out of AOCI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this new guidance on January 1, 2013 and the adoption did not have a material effect on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December 31, 2013,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$108.2 million at December 31, 2013. Assuming a hypothetical 10% decrease in interest rates, interest income from cash and investments would decrease on an annualized basis by approximately $64,000.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7"/>
            <w:vMerge w:val="restart"/>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Reports of Independent Registered Public Accounting Firm</w:t>
              </w:r>
            </w:hyperlink>
          </w:p>
        </w:tc>
        <w:tc>
          <w:tcPr>
            <w:tcW w:w="700" w:type="dxa"/>
            <w:vAlign w:val="bottom"/>
            <w:vMerge w:val="restart"/>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7"/>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Income</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Comprehensive Income</w:t>
              </w:r>
            </w:hyperlink>
          </w:p>
        </w:tc>
        <w:tc>
          <w:tcPr>
            <w:tcW w:w="1240" w:type="dxa"/>
            <w:vAlign w:val="bottom"/>
            <w:gridSpan w:val="2"/>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Statements of Shareholders’ Equity</w:t>
              </w:r>
            </w:hyperlink>
          </w:p>
        </w:tc>
        <w:tc>
          <w:tcPr>
            <w:tcW w:w="1420" w:type="dxa"/>
            <w:vAlign w:val="bottom"/>
            <w:gridSpan w:val="3"/>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40" w:type="dxa"/>
            <w:vAlign w:val="bottom"/>
          </w:tcPr>
          <w:p>
            <w:pPr>
              <w:jc w:val="right"/>
              <w:ind w:right="515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6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have audited the accompanying consolidated balance sheets of HealthStream, Inc. as of December 31, 2013 and 2012, and the related consolidated statements of income, comprehensive income, shareholders’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2013 and 2012, and the consolidated results of its operations and its cash flows for each of the three years in the period ended December 31, 2013, in conformity with U.S. generally accepted accounting principles.</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HealthStream, Inc.’s internal control over financial reporting as of December 31,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(1992 framework) and our report dated March 4, 2014 expressed an unqualified opinion thereon.</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We have audited HealthStream, Inc.’s internal control over financial reporting as of December 31, 2013,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(1992 framework) (the COSO criteria). HealthStream,</w:t>
      </w:r>
      <w:r>
        <w:rPr>
          <w:rFonts w:ascii="Arial" w:cs="Arial" w:eastAsia="Arial" w:hAnsi="Arial"/>
          <w:sz w:val="16"/>
          <w:szCs w:val="16"/>
          <w:i w:val="1"/>
          <w:iCs w:val="1"/>
          <w:color w:val="auto"/>
        </w:rPr>
        <w:t xml:space="preserve"> </w:t>
      </w:r>
      <w:r>
        <w:rPr>
          <w:rFonts w:ascii="Arial" w:cs="Arial" w:eastAsia="Arial" w:hAnsi="Arial"/>
          <w:sz w:val="16"/>
          <w:szCs w:val="16"/>
          <w:color w:val="auto"/>
        </w:rPr>
        <w:t>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our opinion, HealthStream, Inc. maintained, in all material respects, effective internal control over financial reporting as of December 31, 2013, based on the COSO criteria.</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2013 consolidated financial statements of HealthStream, Inc. and our report dated March 4, 2014 expressed an unqualified opinion thereon.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28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41,365</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51,952</w:t>
            </w:r>
          </w:p>
        </w:tc>
      </w:tr>
      <w:tr>
        <w:trPr>
          <w:trHeight w:val="208"/>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Accounts receivable, net of allowance for doubtful accounts of $211 and $142 at December 31, 2013 and 2012,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15,348</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Accounts receivable - unbilled</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current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Prepaid royalties, net of amortization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r>
      <w:tr>
        <w:trPr>
          <w:trHeight w:val="221"/>
        </w:trPr>
        <w:tc>
          <w:tcPr>
            <w:tcW w:w="928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147,124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118,291</w:t>
            </w: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21,631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w:t>
            </w:r>
          </w:p>
        </w:tc>
      </w:tr>
      <w:tr>
        <w:trPr>
          <w:trHeight w:val="223"/>
        </w:trPr>
        <w:tc>
          <w:tcPr>
            <w:tcW w:w="9280" w:type="dxa"/>
            <w:vAlign w:val="bottom"/>
          </w:tcPr>
          <w:p>
            <w:pPr>
              <w:ind w:left="88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(21,968)</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(18,706)</w:t>
            </w:r>
          </w:p>
        </w:tc>
      </w:tr>
      <w:tr>
        <w:trPr>
          <w:trHeight w:val="216"/>
        </w:trPr>
        <w:tc>
          <w:tcPr>
            <w:tcW w:w="9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8"/>
                <w:szCs w:val="18"/>
                <w:color w:val="auto"/>
              </w:rPr>
            </w:pPr>
          </w:p>
        </w:tc>
      </w:tr>
      <w:tr>
        <w:trPr>
          <w:trHeight w:val="208"/>
        </w:trPr>
        <w:tc>
          <w:tcPr>
            <w:tcW w:w="9280" w:type="dxa"/>
            <w:vAlign w:val="bottom"/>
          </w:tcPr>
          <w:p>
            <w:pPr>
              <w:spacing w:after="0"/>
              <w:rPr>
                <w:sz w:val="20"/>
                <w:szCs w:val="20"/>
                <w:color w:val="auto"/>
              </w:rPr>
            </w:pPr>
            <w:r>
              <w:rPr>
                <w:rFonts w:ascii="Arial" w:cs="Arial" w:eastAsia="Arial" w:hAnsi="Arial"/>
                <w:sz w:val="18"/>
                <w:szCs w:val="18"/>
                <w:color w:val="auto"/>
                <w:w w:val="92"/>
              </w:rPr>
              <w:t>Capitalized software development, net of accumulated amortization of $13,910 and $10,987 at December 31, 2013 and 2012,</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11,077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9,732</w:t>
            </w: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w w:val="96"/>
              </w:rPr>
              <w:t>Intangible assets, net of accumulated amortization of $11,389 and $10,036 at December 31, 2013 and 2012, respectively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8,805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ind w:left="130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212,594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174,528</w:t>
            </w:r>
          </w:p>
        </w:tc>
      </w:tr>
      <w:tr>
        <w:trPr>
          <w:trHeight w:val="20"/>
        </w:trPr>
        <w:tc>
          <w:tcPr>
            <w:tcW w:w="9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8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Accrued royalties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5,037</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 current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35,032</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280" w:type="dxa"/>
            <w:vAlign w:val="bottom"/>
          </w:tcPr>
          <w:p>
            <w:pPr>
              <w:ind w:left="440"/>
              <w:spacing w:after="0"/>
              <w:rPr>
                <w:sz w:val="20"/>
                <w:szCs w:val="20"/>
                <w:color w:val="auto"/>
              </w:rPr>
            </w:pPr>
            <w:r>
              <w:rPr>
                <w:rFonts w:ascii="Arial" w:cs="Arial" w:eastAsia="Arial" w:hAnsi="Arial"/>
                <w:sz w:val="18"/>
                <w:szCs w:val="18"/>
                <w:color w:val="auto"/>
              </w:rPr>
              <w:t>Common stock, no par value, 75,000 shares authorized; 27,327 and 26,233 shares issued and outstanding at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80" w:type="dxa"/>
            <w:vAlign w:val="bottom"/>
          </w:tcPr>
          <w:p>
            <w:pPr>
              <w:ind w:left="660"/>
              <w:spacing w:after="0"/>
              <w:rPr>
                <w:sz w:val="20"/>
                <w:szCs w:val="20"/>
                <w:color w:val="auto"/>
              </w:rPr>
            </w:pPr>
            <w:r>
              <w:rPr>
                <w:rFonts w:ascii="Arial" w:cs="Arial" w:eastAsia="Arial" w:hAnsi="Arial"/>
                <w:sz w:val="18"/>
                <w:szCs w:val="18"/>
                <w:color w:val="auto"/>
              </w:rPr>
              <w:t>December 31, 2013 and 2012, respectively</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166,888</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158,020</w:t>
            </w: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(25,842)</w:t>
            </w: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9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149,433</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132,196</w:t>
            </w:r>
          </w:p>
        </w:tc>
        <w:tc>
          <w:tcPr>
            <w:tcW w:w="100" w:type="dxa"/>
            <w:vAlign w:val="bottom"/>
            <w:shd w:val="clear" w:color="auto" w:fill="CCEEFF"/>
          </w:tcPr>
          <w:p>
            <w:pPr>
              <w:spacing w:after="0"/>
              <w:rPr>
                <w:sz w:val="18"/>
                <w:szCs w:val="18"/>
                <w:color w:val="auto"/>
              </w:rPr>
            </w:pPr>
          </w:p>
        </w:tc>
      </w:tr>
      <w:tr>
        <w:trPr>
          <w:trHeight w:val="222"/>
        </w:trPr>
        <w:tc>
          <w:tcPr>
            <w:tcW w:w="9280" w:type="dxa"/>
            <w:vAlign w:val="bottom"/>
          </w:tcPr>
          <w:p>
            <w:pPr>
              <w:ind w:left="13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212,594</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174,528</w:t>
            </w:r>
          </w:p>
        </w:tc>
      </w:tr>
      <w:tr>
        <w:trPr>
          <w:trHeight w:val="20"/>
        </w:trPr>
        <w:tc>
          <w:tcPr>
            <w:tcW w:w="9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10"/>
          </w:tcPr>
          <w:p>
            <w:pPr>
              <w:ind w:left="2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82,066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18,342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117,608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61"/>
        </w:trPr>
        <w:tc>
          <w:tcPr>
            <w:tcW w:w="9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$ 8,418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$ 7,645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(loss) on marketable securities</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Total other comprehensive income (loss)</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20" w:type="dxa"/>
            <w:vAlign w:val="bottom"/>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$ 8,369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$ 7,670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6,942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680" w:type="dxa"/>
            <w:vAlign w:val="bottom"/>
            <w:gridSpan w:val="5"/>
          </w:tcPr>
          <w:p>
            <w:pPr>
              <w:jc w:val="right"/>
              <w:ind w:right="313"/>
              <w:spacing w:after="0" w:line="149" w:lineRule="exact"/>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Shares</w:t>
            </w:r>
          </w:p>
        </w:tc>
        <w:tc>
          <w:tcPr>
            <w:tcW w:w="46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Deficit</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21,805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6,944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equity awards</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08"/>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w w:val="98"/>
              </w:rPr>
              <w:t>Common stock issued under stock plans, net of shares withheld for</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640"/>
              <w:spacing w:after="0"/>
              <w:rPr>
                <w:sz w:val="20"/>
                <w:szCs w:val="20"/>
                <w:color w:val="auto"/>
              </w:rPr>
            </w:pPr>
            <w:r>
              <w:rPr>
                <w:rFonts w:ascii="Arial" w:cs="Arial" w:eastAsia="Arial" w:hAnsi="Arial"/>
                <w:sz w:val="18"/>
                <w:szCs w:val="18"/>
                <w:color w:val="auto"/>
              </w:rPr>
              <w:t>employee taxes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55,131</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55,131</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25,896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154,409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(33,487)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120,915</w:t>
            </w: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acquisitions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equity awards</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08"/>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w w:val="98"/>
              </w:rPr>
              <w:t>Common stock issued under stock plans, net of shares withheld for</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720" w:type="dxa"/>
            <w:vAlign w:val="bottom"/>
          </w:tcPr>
          <w:p>
            <w:pPr>
              <w:ind w:left="640"/>
              <w:spacing w:after="0"/>
              <w:rPr>
                <w:sz w:val="20"/>
                <w:szCs w:val="20"/>
                <w:color w:val="auto"/>
              </w:rPr>
            </w:pPr>
            <w:r>
              <w:rPr>
                <w:rFonts w:ascii="Arial" w:cs="Arial" w:eastAsia="Arial" w:hAnsi="Arial"/>
                <w:sz w:val="18"/>
                <w:szCs w:val="18"/>
                <w:color w:val="auto"/>
              </w:rPr>
              <w:t>employee taxes</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281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26,233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158,020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(25,842)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132,196</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8,418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8,418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Issuance of common stock in acquisition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0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Tax benefits from equity awards</w:t>
            </w: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3,722</w:t>
            </w: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issued under stock plans, net of shares withheld for</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taxes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9"/>
                <w:szCs w:val="19"/>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27,327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166,888</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(17,424)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149,433</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7,645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7,852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equity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non-marketable equity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acquisitions: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royalties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w w:val="95"/>
              </w:rPr>
              <w:t>Accrued liabilities, accrued compensation and related expenses, and other long-term liabilities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4,822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26,283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(9,901)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maturities of marketable securities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82,661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(86,139)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(118,176)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Investments in non-marketable equity investments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(17,108)</w:t>
            </w:r>
          </w:p>
        </w:tc>
        <w:tc>
          <w:tcPr>
            <w:tcW w:w="0" w:type="dxa"/>
            <w:vAlign w:val="bottom"/>
          </w:tcPr>
          <w:p>
            <w:pPr>
              <w:spacing w:after="0"/>
              <w:rPr>
                <w:sz w:val="1"/>
                <w:szCs w:val="1"/>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Excess tax benefits from equity awards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3,722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6,876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56,389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41,365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76,904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59,537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76,904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Issuance of common stock in connection with acquisitions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content rights in exchange for future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spacing w:after="0" w:line="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HealthStream, Inc. (the “Company”) was incorporated in 1990 as a Tennessee corporation and is headquartered in Nashville, Tennessee. We operate our business in two segments: HealthStream Workforce Development Solutions and HealthStream Research/Patient Experience Solutions. Our Workforce Development products consist of SaaS-based services and subscription-based solutions to meet the ongoing training, certification, assessment and development needs of the healthcare community. These solutions provide, deliver and track computer based education for our customers in the United States through our software-as-a-service (SaaS) model. HealthStream Research/Patient Experience products offer healthcare organizations a wide range of quality and satisfaction surveys, consulting services, analyses of survey results, and other research-based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Revenues are derived from providing services through our SaaS-based workforce development platform products, courseware subscriptions, provision of survey and research services, professional services, content maintenance, custom courseware development and other education and training services.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the Company’s SaaS-based workforce development platform products include customer support, implementation services, and training; therefore all revenues are deferred until the SaaS-based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Revenues derived from the delivery of services through the Company’s SaaS-based workforce development platform products and courseware subscriptions are recognized ratably over the term of the subscription service agreement or over the historical usage period, if usage typically differs from the subscription period. Other training revenues are generally recognized upon the completion of training.</w:t>
      </w:r>
    </w:p>
    <w:p>
      <w:pPr>
        <w:spacing w:after="0" w:line="14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Revenues derived from the license of installed software products, associated with the Sy.Med products, are recognized upon shipment or installation of the software. Software support and maintenance revenues are recognized ratably over the term of the related agreement.</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Revenues for coaching and consulting engagements are recognized using the proportional performance method over the term of the underlying contract. Fees for survey services are billed upon initiation of the survey cycle, with progress billings made throughout the survey cycle. Fees for coaching and consulting engagements are billed upon initiation of the engagement with progress billings throughout the term of the contract.</w:t>
      </w:r>
    </w:p>
    <w:p>
      <w:pPr>
        <w:spacing w:after="0" w:line="118"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Revenues from professional services, content maintenance, and custom courseware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equivalents to be unrestricted, highly liquid investments with initial maturities of less than three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Marketable securities are classified as available for sale and are stated at fair market value, with the unrealized gains and losses, net of tax, reported in other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yield using the effective interest method.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Deferred revenue represents amounts, which have been billed or collected in advance of revenue recognition, and is recognized as the revenue recognition criteria are met. The Company typically invoices customers in quarterly, bi-annual, or annual installments.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Royalties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Prepaid royalties represents advance payments associated with the sale of third party products, such as courseware subscriptions. Royalties are typically paid in advance at the commencement of the revenue cycle, or periodically throughout the revenue cycle, such as quarterly, bi-annual, or annual installments. Royalty payments are amortized over the term of the underlying contracts, which generally range from 12 to 36 months,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allowance for doubtful accounts and the amounts charged to bad debt expense for the years ended December 31, were as follows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Allowance Balance at</w:t>
            </w: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Charged to Costs and</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2"/>
              </w:rPr>
              <w:t>Allowance Balance at</w:t>
            </w:r>
          </w:p>
        </w:tc>
      </w:tr>
      <w:tr>
        <w:trPr>
          <w:trHeight w:val="161"/>
        </w:trPr>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4"/>
                <w:szCs w:val="14"/>
                <w:b w:val="1"/>
                <w:bCs w:val="1"/>
                <w:color w:val="auto"/>
              </w:rPr>
              <w:t>Beginning of Period</w:t>
            </w:r>
          </w:p>
        </w:tc>
        <w:tc>
          <w:tcPr>
            <w:tcW w:w="220" w:type="dxa"/>
            <w:vAlign w:val="bottom"/>
          </w:tcPr>
          <w:p>
            <w:pPr>
              <w:spacing w:after="0"/>
              <w:rPr>
                <w:sz w:val="14"/>
                <w:szCs w:val="14"/>
                <w:color w:val="auto"/>
              </w:rPr>
            </w:pPr>
          </w:p>
        </w:tc>
        <w:tc>
          <w:tcPr>
            <w:tcW w:w="19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Expenses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End of Period</w:t>
            </w:r>
          </w:p>
        </w:tc>
      </w:tr>
      <w:tr>
        <w:trPr>
          <w:trHeight w:val="210"/>
        </w:trPr>
        <w:tc>
          <w:tcPr>
            <w:tcW w:w="1900" w:type="dxa"/>
            <w:vAlign w:val="bottom"/>
            <w:tcBorders>
              <w:top w:val="single" w:sz="8" w:color="CCEEFF"/>
            </w:tcBorders>
            <w:shd w:val="clear" w:color="auto" w:fill="CCEEFF"/>
          </w:tcPr>
          <w:p>
            <w:pPr>
              <w:jc w:val="right"/>
              <w:ind w:right="1452"/>
              <w:spacing w:after="0" w:line="202" w:lineRule="exact"/>
              <w:rPr>
                <w:sz w:val="20"/>
                <w:szCs w:val="20"/>
                <w:color w:val="auto"/>
              </w:rPr>
            </w:pPr>
            <w:r>
              <w:rPr>
                <w:rFonts w:ascii="Arial" w:cs="Arial" w:eastAsia="Arial" w:hAnsi="Arial"/>
                <w:sz w:val="18"/>
                <w:szCs w:val="18"/>
                <w:color w:val="auto"/>
                <w:w w:val="84"/>
              </w:rPr>
              <w:t>2013</w:t>
            </w:r>
          </w:p>
        </w:tc>
        <w:tc>
          <w:tcPr>
            <w:tcW w:w="1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00" w:type="dxa"/>
            <w:vAlign w:val="bottom"/>
          </w:tcPr>
          <w:p>
            <w:pPr>
              <w:jc w:val="right"/>
              <w:ind w:right="1452"/>
              <w:spacing w:after="0"/>
              <w:rPr>
                <w:sz w:val="20"/>
                <w:szCs w:val="20"/>
                <w:color w:val="auto"/>
              </w:rPr>
            </w:pPr>
            <w:r>
              <w:rPr>
                <w:rFonts w:ascii="Arial" w:cs="Arial" w:eastAsia="Arial" w:hAnsi="Arial"/>
                <w:sz w:val="18"/>
                <w:szCs w:val="18"/>
                <w:color w:val="auto"/>
                <w:w w:val="84"/>
              </w:rPr>
              <w:t>2012</w:t>
            </w:r>
          </w:p>
        </w:tc>
        <w:tc>
          <w:tcPr>
            <w:tcW w:w="20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r>
      <w:tr>
        <w:trPr>
          <w:trHeight w:val="216"/>
        </w:trPr>
        <w:tc>
          <w:tcPr>
            <w:tcW w:w="1900" w:type="dxa"/>
            <w:vAlign w:val="bottom"/>
            <w:shd w:val="clear" w:color="auto" w:fill="CCEEFF"/>
          </w:tcPr>
          <w:p>
            <w:pPr>
              <w:jc w:val="right"/>
              <w:ind w:right="1452"/>
              <w:spacing w:after="0"/>
              <w:rPr>
                <w:sz w:val="20"/>
                <w:szCs w:val="20"/>
                <w:color w:val="auto"/>
              </w:rPr>
            </w:pPr>
            <w:r>
              <w:rPr>
                <w:rFonts w:ascii="Arial" w:cs="Arial" w:eastAsia="Arial" w:hAnsi="Arial"/>
                <w:sz w:val="18"/>
                <w:szCs w:val="18"/>
                <w:color w:val="auto"/>
                <w:w w:val="84"/>
              </w:rPr>
              <w:t>2011</w:t>
            </w:r>
          </w:p>
        </w:tc>
        <w:tc>
          <w:tcPr>
            <w:tcW w:w="20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Capitalized software development is stated on the basis of cost, and is presented net of accumulated amortization. The Company capitalizes costs incurred during the software development phase for projects when such costs are material. These assets are amortized using the straight-line method, generally ranging between one to five years. The Company capitalized approximately $4.3 million and $4.4 million during 2013 and 2012, respectively. Maintenance and operating costs are expensed as incurred. As of December 31, 2013 and 2012, there were no capitalized internal development costs for computer software developed for resale.</w:t>
      </w:r>
    </w:p>
    <w:p>
      <w:pPr>
        <w:sectPr>
          <w:pgSz w:w="11900" w:h="16838" w:orient="portrait"/>
          <w:cols w:equalWidth="0" w:num="1">
            <w:col w:w="11400"/>
          </w:cols>
          <w:pgMar w:left="240" w:top="459" w:right="25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Level 1</w:t>
            </w:r>
          </w:p>
        </w:tc>
        <w:tc>
          <w:tcPr>
            <w:tcW w:w="9420" w:type="dxa"/>
            <w:vAlign w:val="bottom"/>
            <w:gridSpan w:val="2"/>
          </w:tcPr>
          <w:p>
            <w:pPr>
              <w:ind w:left="240"/>
              <w:spacing w:after="0"/>
              <w:rPr>
                <w:sz w:val="20"/>
                <w:szCs w:val="20"/>
                <w:color w:val="auto"/>
              </w:rPr>
            </w:pPr>
            <w:r>
              <w:rPr>
                <w:rFonts w:ascii="Arial" w:cs="Arial" w:eastAsia="Arial" w:hAnsi="Arial"/>
                <w:sz w:val="18"/>
                <w:szCs w:val="18"/>
                <w:color w:val="auto"/>
              </w:rPr>
              <w:t>–   Observable inputs that reflect quoted prices (unadjusted) for identical assets or liabilities in active markets.</w:t>
            </w:r>
          </w:p>
        </w:tc>
      </w:tr>
      <w:tr>
        <w:trPr>
          <w:trHeight w:val="304"/>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Level 2</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8980" w:type="dxa"/>
            <w:vAlign w:val="bottom"/>
          </w:tcPr>
          <w:p>
            <w:pPr>
              <w:ind w:left="100"/>
              <w:spacing w:after="0"/>
              <w:rPr>
                <w:sz w:val="20"/>
                <w:szCs w:val="20"/>
                <w:color w:val="auto"/>
              </w:rPr>
            </w:pPr>
            <w:r>
              <w:rPr>
                <w:rFonts w:ascii="Arial" w:cs="Arial" w:eastAsia="Arial" w:hAnsi="Arial"/>
                <w:sz w:val="18"/>
                <w:szCs w:val="18"/>
                <w:color w:val="auto"/>
                <w:w w:val="91"/>
              </w:rPr>
              <w:t>Inputs other than quoted prices included in Level 1 that are observable for the asset or liability, either directly or indirectly.</w:t>
            </w:r>
          </w:p>
        </w:tc>
      </w:tr>
      <w:tr>
        <w:trPr>
          <w:trHeight w:val="304"/>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Level 3</w:t>
            </w:r>
          </w:p>
        </w:tc>
        <w:tc>
          <w:tcPr>
            <w:tcW w:w="440" w:type="dxa"/>
            <w:vAlign w:val="bottom"/>
          </w:tcPr>
          <w:p>
            <w:pPr>
              <w:ind w:left="240"/>
              <w:spacing w:after="0"/>
              <w:rPr>
                <w:sz w:val="20"/>
                <w:szCs w:val="20"/>
                <w:color w:val="auto"/>
              </w:rPr>
            </w:pPr>
            <w:r>
              <w:rPr>
                <w:rFonts w:ascii="Arial" w:cs="Arial" w:eastAsia="Arial" w:hAnsi="Arial"/>
                <w:sz w:val="18"/>
                <w:szCs w:val="18"/>
                <w:color w:val="auto"/>
              </w:rPr>
              <w:t>–</w:t>
            </w:r>
          </w:p>
        </w:tc>
        <w:tc>
          <w:tcPr>
            <w:tcW w:w="8980" w:type="dxa"/>
            <w:vAlign w:val="bottom"/>
          </w:tcPr>
          <w:p>
            <w:pPr>
              <w:ind w:left="100"/>
              <w:spacing w:after="0"/>
              <w:rPr>
                <w:sz w:val="20"/>
                <w:szCs w:val="20"/>
                <w:color w:val="auto"/>
              </w:rPr>
            </w:pPr>
            <w:r>
              <w:rPr>
                <w:rFonts w:ascii="Arial" w:cs="Arial" w:eastAsia="Arial" w:hAnsi="Arial"/>
                <w:sz w:val="18"/>
                <w:szCs w:val="18"/>
                <w:color w:val="auto"/>
                <w:w w:val="88"/>
              </w:rPr>
              <w:t>Unobservable inputs in which little or no market data exists, therefore requiring the Company to develop its own assumptions.</w:t>
            </w:r>
          </w:p>
        </w:tc>
      </w:tr>
    </w:tbl>
    <w:p>
      <w:pPr>
        <w:spacing w:after="0" w:line="18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3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At December 31, 2013, the fair value measurement amounts for assets consisted of marketable securities which are classified as available for sale. The carrying amounts reported in the consolidated balance sheets approximate the fair value of the Company’s marketable securities based on quoted market prices or alternative pricing sources and models utilizing market observable inputs. At December 31, 2013 and 2012, the Company did not have any financial liabilities that were subject to fair value measurements.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 Depreciation and amortization of property and equipment totaled $3.3 million and $2.6 million for the years ended December 31, 2013 and 2012, respectively.</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1"/>
        </w:trPr>
        <w:tc>
          <w:tcPr>
            <w:tcW w:w="7280" w:type="dxa"/>
            <w:vAlign w:val="bottom"/>
            <w:vMerge w:val="continue"/>
          </w:tcPr>
          <w:p>
            <w:pPr>
              <w:spacing w:after="0"/>
              <w:rPr>
                <w:sz w:val="17"/>
                <w:szCs w:val="17"/>
                <w:color w:val="auto"/>
              </w:rPr>
            </w:pP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w w:val="99"/>
              </w:rPr>
              <w:t>5-10</w:t>
            </w:r>
          </w:p>
        </w:tc>
        <w:tc>
          <w:tcPr>
            <w:tcW w:w="0" w:type="dxa"/>
            <w:vAlign w:val="bottom"/>
          </w:tcPr>
          <w:p>
            <w:pPr>
              <w:spacing w:after="0"/>
              <w:rPr>
                <w:sz w:val="1"/>
                <w:szCs w:val="1"/>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Goodwill represents the excess of purchase price over fair value of net tangible assets acquired. 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The Company will perform its goodwill impairment test whenever events or changes in facts or circumstances indicate that impairment may exist, and at least annually during the fourth quarter.</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2013 intangible assets with remaining unamortized balances include contract rights and customer relationships, internally-developed technology and patents, non-competition agreements, and trade names. These intangible assets are considered to have definite useful lives and are being amortized on a straight line basis over periods typically ranging between five and ten years. The weighted average amortization period for definite lived intangible assets as of December 31, 2013 was 8.7 years. Intangible assets are reviewed for impairment whenever events or changes in facts or circumstances indicate that the carrying amount of the assets may not be recoverable. There were no impairments identified or recorded for the years ended December 31, 2013, 2012, or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property and equipment, capitalized software development, other assets and intangible assets will be recoverable. There were no impairments identified or recorded for the years ended December 31, 2013, 2012, or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long-term portion of content development fees and non-marketable equity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Investments</w:t>
      </w:r>
    </w:p>
    <w:p>
      <w:pPr>
        <w:spacing w:after="0" w:line="9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Non-marketable equity investments are accounted for using the equity method when the Company can exercise significant influence over the investee. Investments for which the Company is not able to exercise significant influence over the investee are accounted for under the cost method. The proportionate share of income or loss from equity method investments are recorded under the caption “other income (expense), net” in the accompanying consolidated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9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Company has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Marketable securities approximate fair value based on quoted market prices, see Note 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2013, the Company had established a valuation allowance of $1.3 million for the portion of its net deferred tax assets that are not more likely than not expected to be realized.</w:t>
      </w:r>
    </w:p>
    <w:p>
      <w:pPr>
        <w:spacing w:after="0" w:line="12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Liabilities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Other long term liabilities represent the deferred rent liability associated with an operating lease for office space in Nashville, Tennessee as well as deferred service credits (see Note 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expenses the costs of advertising as incurred. Advertising expense for the years ended December 31, 2013, 2012, and 2011 was approximately $408,000, $349,000, and $251,000,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2013, 2012, and 2011.</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places its temporary excess cash investments in high quality, short-term money market instruments. At times, such investments may be in excess of the FDIC insurance limits.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The Company did not have any single customer representing over 10% of net revenues during 2013, 2012, or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of December 31, 2013, the Company maintains two stock based compensation plans, which are described in Note 12.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recorded as an increase to common stock when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February 2013, the FASB issued ASU No. 2013-02, Comprehensive Income (Topic 220): Reporting of Amounts Reclassified Out of Accumulated Other Comprehensive Income (ASU 2013-02), which is effective prospectively for public companies for reporting periods beginning after December 15, 2012. This new accounting standard improves the reporting of reclassifications out of accumulated other comprehensive income (AOCI) by requiring an entity to report the effect of significant reclassifications out of AOCI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this new guidance on January 1, 2013 and the adoption did not have a material effect on our consolidated financial statements.</w:t>
      </w:r>
    </w:p>
    <w:p>
      <w:pPr>
        <w:spacing w:after="0" w:line="193" w:lineRule="exact"/>
        <w:rPr>
          <w:sz w:val="20"/>
          <w:szCs w:val="20"/>
          <w:color w:val="auto"/>
        </w:rPr>
      </w:pPr>
    </w:p>
    <w:p>
      <w:pPr>
        <w:ind w:right="896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is authorized to issue up to 75 million shares of common stock. The number of common shares issued and outstanding as of December 31, 2013 and 2012 was approximately 27.3 million and 26.2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initial public offering (IPO). There have been no shares of preferred stock outstanding since our IPO.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years ended December 31, 2013 (in thousands, except per share amounts):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8,418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7,645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26,128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Weighted-average diluted shares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27,663</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27,507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Potentially dilutive shares representing approximately 70,000, 105,000, and 247,000 shares of common stock for 2013, 2012, and 2011, respectively, were excluded from the calculation of diluted earnings per share because their effect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2013 and 2012, the fair value of marketable securities, which were all classified as available for sale, included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60" w:type="dxa"/>
            <w:vAlign w:val="bottom"/>
            <w:gridSpan w:val="2"/>
          </w:tcPr>
          <w:p>
            <w:pPr>
              <w:spacing w:after="0" w:line="159" w:lineRule="exact"/>
              <w:rPr>
                <w:sz w:val="20"/>
                <w:szCs w:val="20"/>
                <w:color w:val="auto"/>
              </w:rPr>
            </w:pPr>
            <w:r>
              <w:rPr>
                <w:rFonts w:ascii="Arial" w:cs="Arial" w:eastAsia="Arial" w:hAnsi="Arial"/>
                <w:sz w:val="14"/>
                <w:szCs w:val="14"/>
                <w:color w:val="auto"/>
                <w:w w:val="84"/>
              </w:rPr>
              <w:t>Adjusted Cost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7"/>
              </w:rPr>
              <w:t>Gains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1"/>
              </w:rPr>
              <w:t>Losses</w:t>
            </w:r>
          </w:p>
        </w:tc>
        <w:tc>
          <w:tcPr>
            <w:tcW w:w="6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debt securities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48,690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w w:val="93"/>
              </w:rPr>
              <w:t>December 31, 2012</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60" w:type="dxa"/>
            <w:vAlign w:val="bottom"/>
            <w:gridSpan w:val="2"/>
          </w:tcPr>
          <w:p>
            <w:pPr>
              <w:spacing w:after="0" w:line="159" w:lineRule="exact"/>
              <w:rPr>
                <w:sz w:val="20"/>
                <w:szCs w:val="20"/>
                <w:color w:val="auto"/>
              </w:rPr>
            </w:pPr>
            <w:r>
              <w:rPr>
                <w:rFonts w:ascii="Arial" w:cs="Arial" w:eastAsia="Arial" w:hAnsi="Arial"/>
                <w:sz w:val="14"/>
                <w:szCs w:val="14"/>
                <w:color w:val="auto"/>
                <w:w w:val="84"/>
              </w:rPr>
              <w:t>Adjusted Cost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7"/>
              </w:rPr>
              <w:t>Gains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1"/>
              </w:rPr>
              <w:t>Losses</w:t>
            </w:r>
          </w:p>
        </w:tc>
        <w:tc>
          <w:tcPr>
            <w:tcW w:w="6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5,042</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46,892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carrying amounts reported in the consolidated balance sheet approximate fair value based on quoted market prices or alternative pricing sources and models utilizing market observable inputs. As of December 31, 2013, the Company does not consider any of its marketable securities to be other than temporarily impaired. During 2013, the Company recorded realized gains of approximately $5,000 from sales of marketable securities. All investments in marketable securities are classified as a current asset on the balance sheet because the underlying securities mature within one year from the balance sheet date.</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29, 2012, the Company acquired all of the stock of Decision Critical, Inc., (DCI) an Austin, Texas based company that specializes in learning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competency management products for acute-care hospitals. The Company acquired DCI to further advance its suite of workforce development solutions.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paid for DCI consisted of approximately $3.4 million in cash and 22,124 shares of our common stock. Also, the Company may make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up to $300,000, contingent upon achievement of certain financial targets and business outcomes within a three year period after the closing date.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2013, approximately $146,000 of these contingent payments have been paid to the DCI shareholders. The Company incurred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$203,000 in transaction costs associated with the DCI acquisition, which are included on the accompanying consolidated statements of income under the caption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general and administrative.” In allocating the purchase price, the Company recorded approximately $2.9 million of goodwill, $1.5 million of identifiable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$291,000 of net tangible assets and $456,000 of deferred tax liabilities. The goodwill balance is primarily attributed to assembled workforce,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expanded market opportunities from DCI’s workforce development products, and expected synergies from integrating DCI’s products into our platform.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goodwill balance is not deductible for U.S. income tax purposes. The net tangible assets include deferred revenue, which in accordance with US GAAP,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down from a book value of $548,000 to an estimated fair value of $356,000. The deferred revenue recorded represents the estimated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contractual obligation assumed as of the acquisition date. The $192,000 write-down of deferred revenue resulted in lower revenues than would have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recognized for such services. The results of operations for DCI have been included in the Company’s consolidated financial statements from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are included in the HealthStream Workforce Development Solutions segment.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October 19, 2012, the Company acquired all of the stock of Sy.Med Development, Inc. (Sy.Med), a Brentwood, Tennessee based company that specializes in credentialing related software products for healthcare providers. The Company acquired Sy.Med to further advance its suite of workforce development solutions. The consideration paid for Sy.Med consisted of approximately $7.4 million in cash and 34,060 shares of our common stock. The Company may make additional payments of up to $1.5 million, contingent upon achievement of certain financial targets and business outcomes within a two year period after the closing date. As of December 31, 2013, approximately $625,000 of these contingent payments have been paid to the Sy.Med shareholders. The Company incurred approximately $165,000 in transaction costs associated with the Sy.Med acquisition, which are included on the accompanying consolidated statements of income under the caption “other general and administrative.” In allocating the purchase price, the Company recorded approximately $5.4 million of goodwill, $6.5 million of identifiable intangible assets, $294,000 of net tangible assets and $2.8 million of deferred tax liabilities. The goodwill balance is primarily attributed to assembled workforce, additional market opportunities of Sy.Med’s credentialing software, and expected synergies from integrating Sy.Med’s products into our platform. The goodwill balance is not deductible for U.S. income tax purposes. The net tangible assets include deferred revenue, which was adjusted down from a book value of $1.1 million to an estimated fair value of $229,000. The $916,000 write-down of deferred revenue resulted in lower revenues than would have otherwise been recognized for such services. The results of operations for Sy.Med have been included in the Company’s consolidated financial statements from the date of acquisition, and are included in the HealthStream Workforce Development Solutions segment.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September 9, 2013, the Company acquired substantially all of the assets of Baptist Leadership Group (BLG), a Pensacola, Florida based company that provides consulting services focused on patient-centered performance excellence in healthcare. The Company acquired BLG to strengthen its Research/Patient Experience Solutions. The consideration paid for BLG consisted of approximately $7.4 million in cash (taking into account the working capital adjustment) and 15,230 shares of our common stock. The Company incurred approximately $145,000 in transaction costs associated with the acquisition, which are included on the accompanying consolidated statements of income under the caption “other general and administrative.” In allocating the purchase price, the Company recorded approximately $6.3 million of goodwill, $1.6 million of identifiable intangible assets, and $28,000 of net tangible assets. The goodwill balance is primarily attributed to the assembled workforce, additional market opportunities from BLG’s consulting services, and expected synergies from integrating BLG into the operations of the HealthStream Research/Patient Experience Solutions segment. The goodwill balance is deductible for U.S. income tax purposes. The net tangible assets include deferred revenue, which was adjusted down from a book value of $508,000 to an estimated fair value of $254,000. The $254,000 write-down of deferred revenue resulted in lower revenues than would have otherwise been recognized for such services. The results of operations for BLG have been included in the Company’s consolidated financial statements from the date of acquisition, and are included in the HealthStream Research/Patient Experience Solutions segment.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9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Goodwill is evaluated for impairment at least annually to determine whether it is more likely than not that the fair value of the reporting units exceed their carrying value. If this assessment concludes that is more likely than not that the fair value of a reporting unit exceeds its carrying value, then goodwill is not considered impaired and no further impairment testing is required. Qualitative factors are considered for this assessment, such as, financial performance, industry and market comparables, and other factors affecting the reporting unit.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Under these methods, the technique used to determine fair value is sensitive to estimates and assumptions associated with cash flow from operations and its growth, discount rates, and reporting unit terminal values. The Company performs its annual impairment evaluation of goodwill during the fourth quarter of each year and as changes in facts and circumstances indicate impairment exists. During the annual impairment evaluation in the fourth quarter of 2013 and 2012, the results of our assessment indicated goodwill was not impaired.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During 2013, the Company acquired Baptist Leadership Group, and during 2012, the Company acquired Decision Critical, Inc. and Sy.Med Development,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years ended December 31, 2013 and 2012 are as follows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Workforce</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Research/Patient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Development</w:t>
            </w:r>
          </w:p>
        </w:tc>
        <w:tc>
          <w:tcPr>
            <w:tcW w:w="12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Experience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2013</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$29,299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Acquisition of Sy.Med Development, Inc.</w:t>
            </w: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Baptist Leadership Group</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24,154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20" w:type="dxa"/>
            <w:vAlign w:val="bottom"/>
          </w:tcPr>
          <w:p>
            <w:pPr>
              <w:spacing w:after="0"/>
              <w:rPr>
                <w:sz w:val="24"/>
                <w:szCs w:val="24"/>
                <w:color w:val="auto"/>
              </w:rPr>
            </w:pPr>
          </w:p>
        </w:tc>
        <w:tc>
          <w:tcPr>
            <w:tcW w:w="1440" w:type="dxa"/>
            <w:vAlign w:val="bottom"/>
            <w:gridSpan w:val="4"/>
          </w:tcPr>
          <w:p>
            <w:pPr>
              <w:ind w:left="80"/>
              <w:spacing w:after="0"/>
              <w:rPr>
                <w:sz w:val="20"/>
                <w:szCs w:val="20"/>
                <w:color w:val="auto"/>
              </w:rPr>
            </w:pPr>
            <w:r>
              <w:rPr>
                <w:rFonts w:ascii="Arial" w:cs="Arial" w:eastAsia="Arial" w:hAnsi="Arial"/>
                <w:sz w:val="14"/>
                <w:szCs w:val="14"/>
                <w:b w:val="1"/>
                <w:bCs w:val="1"/>
                <w:color w:val="auto"/>
              </w:rPr>
              <w:t>Workforce</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Research/Patient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Development</w:t>
            </w:r>
          </w:p>
        </w:tc>
        <w:tc>
          <w:tcPr>
            <w:tcW w:w="120" w:type="dxa"/>
            <w:vAlign w:val="bottom"/>
          </w:tcPr>
          <w:p>
            <w:pPr>
              <w:spacing w:after="0"/>
              <w:rPr>
                <w:sz w:val="14"/>
                <w:szCs w:val="14"/>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Experience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Acquisition of Sy.Med Development, Inc.</w:t>
            </w: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5,291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Decision Critical, Inc.</w:t>
            </w: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11,459</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17,840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intangible assets are considered to have finite useful lives. Customer related intangibles are amortized over their estimated useful lives ranging from eight to ten years. Other intangible assets include non-competition agreements, technology and patents, and trade names, and are being amortized over periods ranging from five to nine years. Amortization of intangible assets was approximately $1.5 million, $1.1 million, and $0.9 million, for the years ended December 31, 2013, 2012 and 2011,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As of December 31, 2013</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As of December 31, 2012</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5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Gross Amount</w:t>
            </w:r>
          </w:p>
        </w:tc>
        <w:tc>
          <w:tcPr>
            <w:tcW w:w="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Gross Amount</w:t>
            </w:r>
          </w:p>
        </w:tc>
        <w:tc>
          <w:tcPr>
            <w:tcW w:w="300" w:type="dxa"/>
            <w:vAlign w:val="bottom"/>
          </w:tcPr>
          <w:p>
            <w:pPr>
              <w:spacing w:after="0"/>
              <w:rPr>
                <w:sz w:val="14"/>
                <w:szCs w:val="14"/>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6"/>
              </w:rPr>
              <w:t>Amortization</w:t>
            </w: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related</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(10,145)</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$6,744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(1,244)</w:t>
            </w:r>
          </w:p>
        </w:tc>
        <w:tc>
          <w:tcPr>
            <w:tcW w:w="500" w:type="dxa"/>
            <w:vAlign w:val="bottom"/>
          </w:tcPr>
          <w:p>
            <w:pPr>
              <w:jc w:val="right"/>
              <w:spacing w:after="0"/>
              <w:rPr>
                <w:sz w:val="20"/>
                <w:szCs w:val="20"/>
                <w:color w:val="auto"/>
              </w:rPr>
            </w:pPr>
            <w:r>
              <w:rPr>
                <w:rFonts w:ascii="Arial" w:cs="Arial" w:eastAsia="Arial" w:hAnsi="Arial"/>
                <w:sz w:val="18"/>
                <w:szCs w:val="18"/>
                <w:color w:val="auto"/>
              </w:rPr>
              <w:t>2,126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(1,067)</w:t>
            </w:r>
          </w:p>
        </w:tc>
        <w:tc>
          <w:tcPr>
            <w:tcW w:w="500" w:type="dxa"/>
            <w:vAlign w:val="bottom"/>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r>
      <w:tr>
        <w:trPr>
          <w:trHeight w:val="27"/>
        </w:trPr>
        <w:tc>
          <w:tcPr>
            <w:tcW w:w="5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(11,389)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8,870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8,805</w:t>
            </w:r>
          </w:p>
        </w:tc>
        <w:tc>
          <w:tcPr>
            <w:tcW w:w="1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annual amortization expense for the years ending December 31, is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2015</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2017</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Thereafter</w:t>
            </w:r>
          </w:p>
        </w:tc>
        <w:tc>
          <w:tcPr>
            <w:tcW w:w="48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880" w:type="dxa"/>
            <w:vAlign w:val="bottom"/>
            <w:vMerge w:val="restart"/>
          </w:tcPr>
          <w:p>
            <w:pPr>
              <w:jc w:val="right"/>
              <w:ind w:right="3112"/>
              <w:spacing w:after="0"/>
              <w:rPr>
                <w:sz w:val="20"/>
                <w:szCs w:val="20"/>
                <w:color w:val="auto"/>
              </w:rPr>
            </w:pPr>
            <w:r>
              <w:rPr>
                <w:rFonts w:ascii="Arial" w:cs="Arial" w:eastAsia="Arial" w:hAnsi="Arial"/>
                <w:sz w:val="18"/>
                <w:szCs w:val="18"/>
                <w:color w:val="auto"/>
              </w:rPr>
              <w:t>46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2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participates in a collaborative arrangement, SimVentures</w:t>
      </w:r>
      <w:r>
        <w:rPr>
          <w:rFonts w:ascii="Arial" w:cs="Arial" w:eastAsia="Arial" w:hAnsi="Arial"/>
          <w:sz w:val="11"/>
          <w:szCs w:val="11"/>
          <w:color w:val="auto"/>
        </w:rPr>
        <w:t>TM</w:t>
      </w:r>
      <w:r>
        <w:rPr>
          <w:rFonts w:ascii="Arial" w:cs="Arial" w:eastAsia="Arial" w:hAnsi="Arial"/>
          <w:sz w:val="18"/>
          <w:szCs w:val="18"/>
          <w:color w:val="auto"/>
        </w:rPr>
        <w:t>, with Laerdal Medical A/S (Laerdal Medical). The Company receives 50 percent of the profits or losses generated from this collaborative arrangement. The parties did not form a separate legal entity as part of the collaborative arrangement; therefore, the Company accounts for SimVentures as a collaborative arrangement in accordance with applicable accounting guidance. For the year ended December 31, 2013, the Company recorded approximately $2.3 million of revenues and $2.3 million of expenses related to the collaborative arrangement. For the year ended December 31, 2012, the Company recorded approximately $1.7 million of revenues and $1.7 million of expenses related to the collaborative arrangement. The Company also recorded approximately $0.9 million and $1.3 million of capitalized software development costs for SimVentures during 2013 and 2012,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CONTENT RIGHTS AND DEFERRED SERVICE CREDITS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2012, the Company entered into a renewal agreement with a customer in which the Company was provided continued rights to distribute and resell courseware owned by the customer. In exchange for the receipt of an exclusive license to distribute and resell this courseware, the Company has provided, and will continue to provide, the customer with service credits that can be exchanged for future purchases of the Company’s products and services. The value assigned to the content rights and the deferred service credits was $500,000, which represents the estimated fair value of the assets relinquished. The content rights are classified within other prepaid expenses and other assets, and the deferred service credits are classified within accrued liabilities and other long-term liabilities on our condensed consolidated balance sheets.</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These exchangeable service credits will be issued annually through December 31, 2016, and will expire twenty-four months after issuance. Any unused credits will be forfeited upon expiration. During 2012 and 2013, the Company issued exchangeable service credits of $100,000, respectively, in accordance with this agreement, and is obligated to issue remaining service credits of $100,000 annually through 2016. The content rights are being amortized on a straight-line basis through December 31, 2016. Revenues for products or services provided in exchange for these service credits will be recognized in accordance with the Company’s revenue recognition policies.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These services are primarily focused on the delivery of workforce development products and services (HealthStream Workforce Development Solutions, formerly referred to as HealthStream Learning &amp; Talent Management), as well as survey and research services (HealthStream Research/Patient Experience Solutions).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2013, 2012 and 2011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89"/>
              </w:rPr>
              <w:t>Year ended December 31, 2013</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Workforce</w:t>
            </w: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Research/Patient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Development</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w w:val="88"/>
              </w:rPr>
              <w:t>Experience</w:t>
            </w: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Unallocated</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103,820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3"/>
              </w:rPr>
              <w:t>Cost of revenues (excluding depreciation and amortization)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39,478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18,301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(16,633)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*Segment assets</w:t>
            </w: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60,013</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34,727</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117,854</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212,594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gridSpan w:val="2"/>
            <w:vMerge w:val="continue"/>
          </w:tcPr>
          <w:p>
            <w:pPr>
              <w:spacing w:after="0"/>
              <w:rPr>
                <w:sz w:val="18"/>
                <w:szCs w:val="18"/>
                <w:color w:val="auto"/>
              </w:rPr>
            </w:pP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3,712</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00" w:type="dxa"/>
            <w:vAlign w:val="bottom"/>
            <w:vMerge w:val="restart"/>
          </w:tcPr>
          <w:p>
            <w:pPr>
              <w:jc w:val="right"/>
              <w:ind w:right="152"/>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 (continued)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2"/>
              </w:rPr>
              <w:t>Year ended December 31, 2012</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38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Workforce</w:t>
            </w: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Research/Patient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Development</w:t>
            </w:r>
          </w:p>
        </w:tc>
        <w:tc>
          <w:tcPr>
            <w:tcW w:w="12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Experience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Unallocated</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28,390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13,268</w:t>
            </w:r>
          </w:p>
        </w:tc>
        <w:tc>
          <w:tcPr>
            <w:tcW w:w="1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1,570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14,081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5,420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2,399</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0"/>
              </w:rPr>
              <w:t>$ (12,358)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*Segment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46,693</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23,978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$ 103,857</w:t>
            </w:r>
          </w:p>
        </w:tc>
        <w:tc>
          <w:tcPr>
            <w:tcW w:w="3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174,528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2"/>
              </w:rPr>
              <w:t>Year ended December 31, 2011</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38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Workforce</w:t>
            </w: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Research/Patient</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Development</w:t>
            </w:r>
          </w:p>
        </w:tc>
        <w:tc>
          <w:tcPr>
            <w:tcW w:w="12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Experience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Unallocated</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23,988</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18,842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12,224</w:t>
            </w:r>
          </w:p>
        </w:tc>
        <w:tc>
          <w:tcPr>
            <w:tcW w:w="1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1,566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10,871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4,733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1,632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*Segment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27,322</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26,088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$ 100,827</w:t>
            </w:r>
          </w:p>
        </w:tc>
        <w:tc>
          <w:tcPr>
            <w:tcW w:w="3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5,720</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royalties,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240" w:top="459" w:right="5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comprised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20" w:type="dxa"/>
            <w:vAlign w:val="bottom"/>
            <w:gridSpan w:val="6"/>
          </w:tcPr>
          <w:p>
            <w:pPr>
              <w:jc w:val="center"/>
              <w:ind w:left="317"/>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80" w:type="dxa"/>
            <w:vAlign w:val="bottom"/>
          </w:tcPr>
          <w:p>
            <w:pPr>
              <w:spacing w:after="0"/>
              <w:rPr>
                <w:sz w:val="14"/>
                <w:szCs w:val="14"/>
                <w:color w:val="auto"/>
              </w:rPr>
            </w:pPr>
          </w:p>
        </w:tc>
        <w:tc>
          <w:tcPr>
            <w:tcW w:w="308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federal</w:t>
            </w:r>
          </w:p>
        </w:tc>
        <w:tc>
          <w:tcPr>
            <w:tcW w:w="2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Current state</w:t>
            </w:r>
          </w:p>
        </w:tc>
        <w:tc>
          <w:tcPr>
            <w:tcW w:w="3540" w:type="dxa"/>
            <w:vAlign w:val="bottom"/>
            <w:gridSpan w:val="3"/>
          </w:tcPr>
          <w:p>
            <w:pPr>
              <w:jc w:val="right"/>
              <w:ind w:right="46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3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4,804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3,723</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state</w:t>
            </w:r>
          </w:p>
        </w:tc>
        <w:tc>
          <w:tcPr>
            <w:tcW w:w="25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5,932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4,404</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reconciliation of income taxes at the statutory federal income tax rate to the provision for income taxes included in the accompanying consolidated statements of income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61"/>
        </w:trPr>
        <w:tc>
          <w:tcPr>
            <w:tcW w:w="5260" w:type="dxa"/>
            <w:vAlign w:val="bottom"/>
          </w:tcPr>
          <w:p>
            <w:pPr>
              <w:spacing w:after="0"/>
              <w:rPr>
                <w:sz w:val="14"/>
                <w:szCs w:val="14"/>
                <w:color w:val="auto"/>
              </w:rPr>
            </w:pPr>
          </w:p>
        </w:tc>
        <w:tc>
          <w:tcPr>
            <w:tcW w:w="23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Federal tax provision at the statutory rate</w:t>
            </w:r>
          </w:p>
        </w:tc>
        <w:tc>
          <w:tcPr>
            <w:tcW w:w="1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$5,194</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$4,751</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2760" w:type="dxa"/>
            <w:vAlign w:val="bottom"/>
            <w:gridSpan w:val="3"/>
          </w:tcPr>
          <w:p>
            <w:pPr>
              <w:jc w:val="right"/>
              <w:ind w:right="460"/>
              <w:spacing w:after="0"/>
              <w:rPr>
                <w:sz w:val="20"/>
                <w:szCs w:val="20"/>
                <w:color w:val="auto"/>
              </w:rPr>
            </w:pPr>
            <w:r>
              <w:rPr>
                <w:rFonts w:ascii="Arial" w:cs="Arial" w:eastAsia="Arial" w:hAnsi="Arial"/>
                <w:sz w:val="18"/>
                <w:szCs w:val="18"/>
                <w:color w:val="auto"/>
              </w:rPr>
              <w:t>898</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974</w:t>
            </w: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valuation allowance</w:t>
            </w:r>
          </w:p>
        </w:tc>
        <w:tc>
          <w:tcPr>
            <w:tcW w:w="2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231</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207</w:t>
            </w: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6,424</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4,404</w:t>
            </w:r>
          </w:p>
        </w:tc>
        <w:tc>
          <w:tcPr>
            <w:tcW w:w="10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Management periodically assesses the realizability of its deferred tax assets, and to the extent that a recovery is not likely, a valuation allowance is established to reduce the deferred tax asset to the amount estimated to be recoverable. At December 31, 2013, a valuation allowance of $1.3 million exists, of which $1.1 million is comprised of the portion of net operating loss carryforwards attributable to the exercises of stock options. Any future reductions of the valuation allowance associated with the portion of the deferred tax asset comprised of stock option exercises would be recognized as an increase to common stock.</w:t>
      </w:r>
    </w:p>
    <w:p>
      <w:pPr>
        <w:spacing w:after="0" w:line="113"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As of December 31, 2013, the Company had federal and state net operating loss carryforwards of $18.3 million and $13.9 million, respectively. These loss carryforwards will expire in years 2014 through 2024. As of December 31, 2013, $1.1 million of the net operating loss carryforwards deferred tax asset is attributable to the exercise of stock options, and if realized, the tax benefit will be recorded as an increase to common stock.</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research and development tax credit carryforwards of $393,000 that expire in varying amounts through 2033. These credits were recognized in 2013 as a reduction to common stock. As of December 31, 2013, the Company had alternative minimum tax credit carryforwards of $592,000 that are available to offset future regular tax liabilities and they do not expire. Federal income tax payments of $28,000, $189,000 and $194,000, were made during the years ended December 31, 2013, 2012, and 2011, respectively. State income tax payments of $343,000, $238,000, and $193,000 were made during the years ended December 31, 2013, 2012, and 2011,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beginning and ending liability for gross unrecognized tax benefits at December 31, 2013 and 2012,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Additions for tax positions in the current year</w:t>
            </w: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w w:val="96"/>
              </w:rPr>
              <w:t>The components of the income tax liability at December 31, 2013 and 2012, are as follows (in thousands):</w:t>
            </w: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interest and penalties</w:t>
            </w: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None of the $167,000 of unrecognized tax benefits at December 31, 2013, if recognized, would affect the Company’s effective tax rate.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16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Company is subject to income taxation at the federal and various state levels. The Company is subject to U.S. federal tax examinations for tax years 2009 through 2013. Loss carryforwards and credit carryforwards generated or utilized in years earlier than 2009 are also subject to examination and adjustment. The Company has no income tax examinations in process.</w:t>
      </w:r>
    </w:p>
    <w:p>
      <w:pPr>
        <w:spacing w:after="0" w:line="140"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3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Deferred tax assets: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40"/>
              <w:spacing w:after="0"/>
              <w:rPr>
                <w:sz w:val="20"/>
                <w:szCs w:val="20"/>
                <w:color w:val="auto"/>
              </w:rPr>
            </w:pPr>
            <w:r>
              <w:rPr>
                <w:rFonts w:ascii="Arial" w:cs="Arial" w:eastAsia="Arial" w:hAnsi="Arial"/>
                <w:sz w:val="18"/>
                <w:szCs w:val="18"/>
                <w:color w:val="auto"/>
              </w:rPr>
              <w:t>Allowance for doubtful accounts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Accrued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40"/>
              <w:spacing w:after="0"/>
              <w:rPr>
                <w:sz w:val="20"/>
                <w:szCs w:val="20"/>
                <w:color w:val="auto"/>
              </w:rPr>
            </w:pPr>
            <w:r>
              <w:rPr>
                <w:rFonts w:ascii="Arial" w:cs="Arial" w:eastAsia="Arial" w:hAnsi="Arial"/>
                <w:sz w:val="18"/>
                <w:szCs w:val="18"/>
                <w:color w:val="auto"/>
              </w:rPr>
              <w:t>Tax credits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Stock based compensation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840"/>
              <w:spacing w:after="0"/>
              <w:rPr>
                <w:sz w:val="20"/>
                <w:szCs w:val="20"/>
                <w:color w:val="auto"/>
              </w:rPr>
            </w:pPr>
            <w:r>
              <w:rPr>
                <w:rFonts w:ascii="Arial" w:cs="Arial" w:eastAsia="Arial" w:hAnsi="Arial"/>
                <w:sz w:val="18"/>
                <w:szCs w:val="18"/>
                <w:color w:val="auto"/>
              </w:rPr>
              <w:t>Net operating loss carryforwards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3,485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840"/>
              <w:spacing w:after="0"/>
              <w:rPr>
                <w:sz w:val="20"/>
                <w:szCs w:val="20"/>
                <w:color w:val="auto"/>
              </w:rPr>
            </w:pPr>
            <w:r>
              <w:rPr>
                <w:rFonts w:ascii="Arial" w:cs="Arial" w:eastAsia="Arial" w:hAnsi="Arial"/>
                <w:sz w:val="18"/>
                <w:szCs w:val="18"/>
                <w:color w:val="auto"/>
              </w:rPr>
              <w:t>Less: Valuation allowance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(1,325)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(1,093)</w:t>
            </w: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allowance</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Deductible goodwill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Nondeductible intangible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Capitalized software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Basis difference on investments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8,479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(6,354)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(4,015)</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80" w:firstLine="8"/>
        <w:spacing w:after="0" w:line="391" w:lineRule="auto"/>
        <w:tabs>
          <w:tab w:leader="none" w:pos="263"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u w:val="single" w:color="auto"/>
          <w:color w:val="auto"/>
        </w:rPr>
        <w:t>Stock Incentive Plans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2010 Stock Incentive Plan (2010 Plan) and 2000 Stock Incentive Plan (2000 Plan; collectively, the 2010 Plan and the 2000 Plan referred to as the Plan) authorize the grant of options, restricted share units (RSU),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and RSUs granted has historically ranged from immediate vesting to annual vesting up to four years, beginning one year after the grant date. As of December 31, 2013, approximately 813,000 shares of unissued common stock remained reserved for future stock incentive grants under the Plan. The Company issues new shares of common stock when options are exercised or when RSUs become vested.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Activity</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 summary of activity and various other information relative to stock options for the year ended December 31, 2013 is presented in the tables below (in thousands, except exercise price).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13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Shares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85"/>
              </w:rPr>
              <w:t>4.29</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3.15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Expired</w:t>
            </w: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6.11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22,514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837</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5.73</w:t>
            </w:r>
          </w:p>
        </w:tc>
        <w:tc>
          <w:tcPr>
            <w:tcW w:w="1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5.06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aggregate intrinsic value for stock options in the table above represents the total difference between the Company’s closing stock price on December 31, 2013 (the last trading day of the year) of $32.63 and the option exercise price, multiplied by the number of in-the-money options as of December 31, 2013. The weighted average remaining contractual term of options outstanding at December 31, 2013 was 3.8 years. Options exercisable at December 31, 2013 have a weighted average remaining contractual term of 3.4 years.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information relative to option activity during the three years ended December 31, 2013 is as follows (in thousands, except weighted average grant date fair value):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Total grant date fair value of stock options vested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25,846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4,992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3,318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823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 Unit Activity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relative to RSUs for the year ended December 31, 2013 is follows (in thousands, except weighted average grant date fair value):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61"/>
        </w:trPr>
        <w:tc>
          <w:tcPr>
            <w:tcW w:w="496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400" w:type="dxa"/>
            <w:vAlign w:val="bottom"/>
          </w:tcPr>
          <w:p>
            <w:pPr>
              <w:spacing w:after="0"/>
              <w:rPr>
                <w:sz w:val="14"/>
                <w:szCs w:val="14"/>
                <w:color w:val="auto"/>
              </w:rPr>
            </w:pPr>
          </w:p>
        </w:tc>
        <w:tc>
          <w:tcPr>
            <w:tcW w:w="21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9"/>
              </w:rPr>
              <w:t>Grant Date Fair Value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23.07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Forfeited</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w:t>
            </w: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22.53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0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aggregate fair value of RSU awards that vested in 2013, as of the respective vesting dates, was approximately $345,000. A portion of RSUs that vested in 2013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2013 were 2,210, and were based on the value of the RSUs on their respective vesting dates as determined by the Company’s closing stock price. One stock option exercise was net-share settled during 2013, resulting in 7,606 shares withheld for settlement of employee tax obligations. Total payments related to RSUs and stock options for the employees’ tax obligations to taxing authorities were approximately $164,000 in 2013,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Total stock based compensation expense recorded for the three years ended December 31, 2013, which is recorded in our statements of income,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w w:val="99"/>
              </w:rPr>
              <w:t>Years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179</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104</w:t>
            </w:r>
          </w:p>
        </w:tc>
        <w:tc>
          <w:tcPr>
            <w:tcW w:w="10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464</w:t>
            </w:r>
          </w:p>
        </w:tc>
        <w:tc>
          <w:tcPr>
            <w:tcW w:w="100" w:type="dxa"/>
            <w:vAlign w:val="bottom"/>
          </w:tcPr>
          <w:p>
            <w:pPr>
              <w:spacing w:after="0"/>
              <w:rPr>
                <w:sz w:val="19"/>
                <w:szCs w:val="19"/>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788</w:t>
            </w:r>
          </w:p>
        </w:tc>
        <w:tc>
          <w:tcPr>
            <w:tcW w:w="100" w:type="dxa"/>
            <w:vAlign w:val="bottom"/>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 amortizes the fair value of all stock based awards, net of estimated forfeitures, on a straight-line basis over the requisite service period, which generally is the vesting period. As of December 31, 2013, total unrecognized compensation expense related to non-vested stock options and RSU’s was approximately $2.5 million, net of estimated forfeitures, with a weighted average expense recognition period remaining of 2.3 years. The Company realized approximately $3.7 million of excess tax benefits during the year ended December 31, 2013, which was recorded as an increase to common stock.</w:t>
      </w:r>
    </w:p>
    <w:p>
      <w:pPr>
        <w:spacing w:after="0" w:line="11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2013 or 2012. The ranges of assumptions used for determining the estimated fair value of stock options during 2011 were as follows:</w:t>
      </w:r>
    </w:p>
    <w:p>
      <w:pPr>
        <w:spacing w:after="0" w:line="13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shd w:val="clear" w:color="auto" w:fill="CCEEFF"/>
          </w:tcPr>
          <w:p>
            <w:pPr>
              <w:jc w:val="center"/>
              <w:ind w:left="2352"/>
              <w:spacing w:after="0"/>
              <w:rPr>
                <w:sz w:val="20"/>
                <w:szCs w:val="20"/>
                <w:color w:val="auto"/>
              </w:rPr>
            </w:pPr>
            <w:r>
              <w:rPr>
                <w:rFonts w:ascii="Arial" w:cs="Arial" w:eastAsia="Arial" w:hAnsi="Arial"/>
                <w:sz w:val="18"/>
                <w:szCs w:val="18"/>
                <w:color w:val="auto"/>
                <w:w w:val="88"/>
              </w:rPr>
              <w:t>1.05 – 2.39%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540" w:type="dxa"/>
            <w:vAlign w:val="bottom"/>
          </w:tcPr>
          <w:p>
            <w:pPr>
              <w:jc w:val="center"/>
              <w:ind w:left="2332"/>
              <w:spacing w:after="0"/>
              <w:rPr>
                <w:sz w:val="20"/>
                <w:szCs w:val="20"/>
                <w:color w:val="auto"/>
              </w:rPr>
            </w:pPr>
            <w:r>
              <w:rPr>
                <w:rFonts w:ascii="Arial" w:cs="Arial" w:eastAsia="Arial" w:hAnsi="Arial"/>
                <w:sz w:val="18"/>
                <w:szCs w:val="18"/>
                <w:color w:val="auto"/>
                <w:w w:val="87"/>
              </w:rPr>
              <w:t>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54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5 to 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3540" w:type="dxa"/>
            <w:vAlign w:val="bottom"/>
          </w:tcPr>
          <w:p>
            <w:pPr>
              <w:jc w:val="center"/>
              <w:ind w:left="2352"/>
              <w:spacing w:after="0"/>
              <w:rPr>
                <w:sz w:val="20"/>
                <w:szCs w:val="20"/>
                <w:color w:val="auto"/>
              </w:rPr>
            </w:pPr>
            <w:r>
              <w:rPr>
                <w:rFonts w:ascii="Arial" w:cs="Arial" w:eastAsia="Arial" w:hAnsi="Arial"/>
                <w:sz w:val="18"/>
                <w:szCs w:val="18"/>
                <w:color w:val="auto"/>
                <w:w w:val="90"/>
              </w:rPr>
              <w:t>0-5%</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40" w:type="dxa"/>
            <w:vAlign w:val="bottom"/>
            <w:shd w:val="clear" w:color="auto" w:fill="CCEEFF"/>
          </w:tcPr>
          <w:p>
            <w:pPr>
              <w:jc w:val="center"/>
              <w:ind w:left="2332"/>
              <w:spacing w:after="0"/>
              <w:rPr>
                <w:sz w:val="20"/>
                <w:szCs w:val="20"/>
                <w:color w:val="auto"/>
              </w:rPr>
            </w:pPr>
            <w:r>
              <w:rPr>
                <w:rFonts w:ascii="Arial" w:cs="Arial" w:eastAsia="Arial" w:hAnsi="Arial"/>
                <w:sz w:val="18"/>
                <w:szCs w:val="18"/>
                <w:color w:val="auto"/>
                <w:w w:val="88"/>
              </w:rPr>
              <w:t>50%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132"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u w:val="single" w:color="auto"/>
          <w:color w:val="auto"/>
        </w:rPr>
        <w:t>Expected life</w:t>
      </w:r>
      <w:r>
        <w:rPr>
          <w:rFonts w:ascii="Arial" w:cs="Arial" w:eastAsia="Arial" w:hAnsi="Arial"/>
          <w:sz w:val="15"/>
          <w:szCs w:val="15"/>
          <w:color w:val="auto"/>
        </w:rPr>
        <w:t xml:space="preserve"> is the period of time the option is expected to remain outstanding, and is based on historical experience. The contractual option life ranges from eight to ten years. The Company estimated the expected life of options granted to members of management to be five years and seven years for directors.</w:t>
      </w:r>
    </w:p>
    <w:p>
      <w:pPr>
        <w:spacing w:after="0" w:line="6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u w:val="single" w:color="auto"/>
          <w:color w:val="auto"/>
        </w:rPr>
        <w:t>Volatility</w:t>
      </w:r>
      <w:r>
        <w:rPr>
          <w:rFonts w:ascii="Arial" w:cs="Arial" w:eastAsia="Arial" w:hAnsi="Arial"/>
          <w:sz w:val="16"/>
          <w:szCs w:val="16"/>
          <w:color w:val="auto"/>
        </w:rPr>
        <w:t xml:space="preserve"> is the measure of the amount by which the price is expected to fluctuate. The Company estimated volatility based on the actual historical volatility of the Company’s common stock, and management believes future volatility will be similar to the Company’s historical volatility experience.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ind w:right="8780" w:firstLine="8"/>
        <w:spacing w:after="0" w:line="347" w:lineRule="auto"/>
        <w:tabs>
          <w:tab w:leader="none" w:pos="26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and 2012, the Company had no debt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maintains a Loan Agreement (the “Revolving Credit Facility”) with SunTrust Bank (“SunTrust”) in the aggregate principal amount of $20.0 million, which matures on July 21, 2014. The obligations under the revolving credit facility are guaranteed by each of the Company’s subsidiaries. The Company’s borrowings under the revolving credit facility bear interest at the 30-Day LIBOR Rate plus a margin of either 175 or 200 basis points determined in accordance with a pricing grid. Principal is payable in full on the maturity date. The Company is required to pay a commitment fee of 25 basis points per annum of the average daily unused portion of the revolving credit facility.</w:t>
      </w:r>
    </w:p>
    <w:p>
      <w:pPr>
        <w:spacing w:after="0" w:line="14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maximum total leverage ratio (consolidated debt/consolidated EBITDA) of 2.0 to 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funded debt to total capitalization may not exceed 40%;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tangible net worth may not be less than $1.00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2013, the Company believes it was in compliance with all covenants. There were no balances outstanding on the revolving credit facility as of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non-cancellable operating leases primarily for office space and office equipment.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$2.4 million, $2.2 million, and $1.9 million, for the years ended December 31, 2013, 2012, and 2011, respectively.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Future rental payment commitments at December 31, 2013 under non-cancelable operating leases, with initial terms of one year or more, are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2015</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2017</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160" w:type="dxa"/>
            <w:vAlign w:val="bottom"/>
            <w:vMerge w:val="restart"/>
          </w:tcPr>
          <w:p>
            <w:pPr>
              <w:jc w:val="right"/>
              <w:ind w:right="3112"/>
              <w:spacing w:after="0"/>
              <w:rPr>
                <w:sz w:val="20"/>
                <w:szCs w:val="20"/>
                <w:color w:val="auto"/>
              </w:rPr>
            </w:pPr>
            <w:r>
              <w:rPr>
                <w:rFonts w:ascii="Arial" w:cs="Arial" w:eastAsia="Arial" w:hAnsi="Arial"/>
                <w:sz w:val="18"/>
                <w:szCs w:val="18"/>
                <w:color w:val="auto"/>
              </w:rPr>
              <w:t>53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96"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 and services. The Company acquired HCCS to further advance its suite of workforce development solutions, including its offering of compliance solutions. The consideration paid for HCCS consisted of approximately $13.0 million in cash, subject to a post-closing working capital adjustment, and 81,614 shares of our common stock. The Company may make additional payments of up to $750,000, contingent upon achievement of certain performance milestones post-closing.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2013.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2013.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2013,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2013 that have materially affected, or that are reasonably likely to materially affect, HealthStream’s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2014 proxy statement for the 2014 Annual Meeting of Shareholders (2014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2014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2014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2014 Proxy Statement.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2014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(a)(3)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1"/>
                <w:szCs w:val="11"/>
                <w:color w:val="auto"/>
              </w:rPr>
              <w:t>(1)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w w:val="87"/>
              </w:rPr>
              <w:t>Stock Purchase Agreement, dated as of March 28, 2005, by and among HealthStream, Inc., Mel B. Thompson and Data Management &amp; Research,</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1"/>
                <w:szCs w:val="11"/>
                <w:color w:val="auto"/>
              </w:rPr>
              <w:t>(2)</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w w:val="87"/>
              </w:rPr>
              <w:t>Stock Purchase Agreement, dated as of March 12, 2007, by and among HealthStream, Inc., The Jackson Organization, Research Consultants, Inc.,</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David Jackson and the Jackson Charitable Remainder Trust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5"/>
              </w:rPr>
              <w:t>10.1^*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1"/>
                <w:szCs w:val="11"/>
                <w:color w:val="auto"/>
              </w:rPr>
              <w:t>(10)</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2010 Stock Incentive Plan, effective as of May 27,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5"/>
              </w:rPr>
              <w:t>10.3^*</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1"/>
                <w:szCs w:val="11"/>
                <w:color w:val="auto"/>
              </w:rPr>
              <w:t>(3)</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1"/>
                <w:szCs w:val="11"/>
                <w:color w:val="auto"/>
              </w:rPr>
              <w:t>(4)</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1"/>
                <w:szCs w:val="11"/>
                <w:color w:val="auto"/>
              </w:rPr>
              <w:t>(4)</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1"/>
                <w:szCs w:val="11"/>
                <w:color w:val="auto"/>
              </w:rPr>
              <w:t>(4)</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1"/>
                <w:szCs w:val="11"/>
                <w:color w:val="auto"/>
              </w:rPr>
              <w:t>(5)</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HealthStream, Inc. Restricted Share Unit Agreement (Officers)</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1"/>
                <w:szCs w:val="11"/>
                <w:color w:val="auto"/>
              </w:rPr>
              <w:t>(5)</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Form of HealthStream, Inc. Restricted Share Unit Agreement (Non-Employee Director)</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1"/>
                <w:szCs w:val="11"/>
                <w:color w:val="auto"/>
              </w:rPr>
              <w:t>(6)</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1"/>
                <w:szCs w:val="11"/>
                <w:color w:val="auto"/>
              </w:rPr>
              <w:t>(7)</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1"/>
                <w:szCs w:val="11"/>
                <w:color w:val="auto"/>
              </w:rPr>
              <w:t>(8)</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1"/>
                <w:szCs w:val="11"/>
                <w:color w:val="auto"/>
              </w:rPr>
              <w:t>(9)</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1"/>
                <w:szCs w:val="11"/>
                <w:color w:val="auto"/>
              </w:rPr>
              <w:t>(11)</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Fourth Amendment to Loan Agreement dated March 30, 2011 between HealthStream, Inc. and SunTrust Bank</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1"/>
                <w:szCs w:val="11"/>
                <w:color w:val="auto"/>
              </w:rPr>
              <w:t>(12)</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Fifth Amendment to Loan Agreement dated July 19, 2012 between HealthStream, Inc. and SunTrust Bank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9"/>
              </w:rPr>
              <w:t>10.16^</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Subsidiaries of HealthStream,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w w:val="99"/>
              </w:rPr>
              <w:t>101.1 SCH</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101.1 CAL</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101.1 DEF</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101.1 PRE</w:t>
            </w:r>
          </w:p>
        </w:tc>
        <w:tc>
          <w:tcPr>
            <w:tcW w:w="10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02" w:lineRule="exact"/>
        <w:rPr>
          <w:sz w:val="20"/>
          <w:szCs w:val="20"/>
          <w:color w:val="auto"/>
        </w:rPr>
      </w:pPr>
    </w:p>
    <w:p>
      <w:pPr>
        <w:ind w:left="1000" w:hanging="99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5" w:lineRule="exact"/>
        <w:rPr>
          <w:sz w:val="20"/>
          <w:szCs w:val="20"/>
          <w:color w:val="auto"/>
        </w:rPr>
      </w:pPr>
    </w:p>
    <w:p>
      <w:pPr>
        <w:ind w:left="1000" w:hanging="992"/>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1000" w:hanging="992"/>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9" w:lineRule="exact"/>
        <w:rPr>
          <w:rFonts w:ascii="Arial" w:cs="Arial" w:eastAsia="Arial" w:hAnsi="Arial"/>
          <w:sz w:val="18"/>
          <w:szCs w:val="18"/>
          <w:color w:val="auto"/>
        </w:rPr>
      </w:pPr>
    </w:p>
    <w:p>
      <w:pPr>
        <w:ind w:left="1000" w:hanging="992"/>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9" w:lineRule="exact"/>
        <w:rPr>
          <w:rFonts w:ascii="Arial" w:cs="Arial" w:eastAsia="Arial" w:hAnsi="Arial"/>
          <w:sz w:val="18"/>
          <w:szCs w:val="18"/>
          <w:color w:val="auto"/>
        </w:rPr>
      </w:pPr>
    </w:p>
    <w:p>
      <w:pPr>
        <w:ind w:left="1000" w:hanging="992"/>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9" w:lineRule="exact"/>
        <w:rPr>
          <w:rFonts w:ascii="Arial" w:cs="Arial" w:eastAsia="Arial" w:hAnsi="Arial"/>
          <w:sz w:val="18"/>
          <w:szCs w:val="18"/>
          <w:color w:val="auto"/>
        </w:rPr>
      </w:pPr>
    </w:p>
    <w:p>
      <w:pPr>
        <w:ind w:left="1000" w:hanging="992"/>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ectPr>
          <w:pgSz w:w="11900" w:h="16838" w:orient="portrait"/>
          <w:cols w:equalWidth="0" w:num="1">
            <w:col w:w="11280"/>
          </w:cols>
          <w:pgMar w:left="240" w:top="459" w:right="379" w:bottom="0" w:gutter="0" w:footer="0" w:header="0"/>
        </w:sectPr>
      </w:pPr>
    </w:p>
    <w:bookmarkStart w:id="60" w:name="page61"/>
    <w:bookmarkEnd w:id="60"/>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Quarterly Report on Form 10-Q, dated March 31, 2012.</w:t>
      </w:r>
    </w:p>
    <w:p>
      <w:pPr>
        <w:spacing w:after="0" w:line="15" w:lineRule="exact"/>
        <w:rPr>
          <w:rFonts w:ascii="Arial" w:cs="Arial" w:eastAsia="Arial" w:hAnsi="Arial"/>
          <w:sz w:val="18"/>
          <w:szCs w:val="18"/>
          <w:color w:val="auto"/>
        </w:rPr>
      </w:pPr>
    </w:p>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9" w:lineRule="exact"/>
        <w:rPr>
          <w:rFonts w:ascii="Arial" w:cs="Arial" w:eastAsia="Arial" w:hAnsi="Arial"/>
          <w:sz w:val="18"/>
          <w:szCs w:val="18"/>
          <w:color w:val="auto"/>
        </w:rPr>
      </w:pPr>
    </w:p>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9" w:lineRule="exact"/>
        <w:rPr>
          <w:rFonts w:ascii="Arial" w:cs="Arial" w:eastAsia="Arial" w:hAnsi="Arial"/>
          <w:sz w:val="18"/>
          <w:szCs w:val="18"/>
          <w:color w:val="auto"/>
        </w:rPr>
      </w:pPr>
    </w:p>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9" w:lineRule="exact"/>
        <w:rPr>
          <w:rFonts w:ascii="Arial" w:cs="Arial" w:eastAsia="Arial" w:hAnsi="Arial"/>
          <w:sz w:val="18"/>
          <w:szCs w:val="18"/>
          <w:color w:val="auto"/>
        </w:rPr>
      </w:pPr>
    </w:p>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9" w:lineRule="exact"/>
        <w:rPr>
          <w:rFonts w:ascii="Arial" w:cs="Arial" w:eastAsia="Arial" w:hAnsi="Arial"/>
          <w:sz w:val="18"/>
          <w:szCs w:val="18"/>
          <w:color w:val="auto"/>
        </w:rPr>
      </w:pPr>
    </w:p>
    <w:p>
      <w:pPr>
        <w:ind w:left="992" w:hanging="992"/>
        <w:spacing w:after="0"/>
        <w:tabs>
          <w:tab w:leader="none" w:pos="99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Appendix B of the Company’s Definitive Proxy Statement filed with the SEC on April 29, 2010.</w:t>
      </w:r>
    </w:p>
    <w:p>
      <w:pPr>
        <w:spacing w:after="0" w:line="32" w:lineRule="exact"/>
        <w:rPr>
          <w:rFonts w:ascii="Arial" w:cs="Arial" w:eastAsia="Arial" w:hAnsi="Arial"/>
          <w:sz w:val="16"/>
          <w:szCs w:val="16"/>
          <w:color w:val="auto"/>
        </w:rPr>
      </w:pPr>
    </w:p>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30, 2011.</w:t>
      </w:r>
    </w:p>
    <w:p>
      <w:pPr>
        <w:spacing w:after="0" w:line="9" w:lineRule="exact"/>
        <w:rPr>
          <w:rFonts w:ascii="Arial" w:cs="Arial" w:eastAsia="Arial" w:hAnsi="Arial"/>
          <w:sz w:val="18"/>
          <w:szCs w:val="18"/>
          <w:color w:val="auto"/>
        </w:rPr>
      </w:pPr>
    </w:p>
    <w:p>
      <w:pPr>
        <w:ind w:left="992" w:hanging="992"/>
        <w:spacing w:after="0"/>
        <w:tabs>
          <w:tab w:leader="none" w:pos="9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field on our Current Report on Form 8-K, dated July 20, 2012.</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1"/>
          </w:cols>
          <w:pgMar w:left="248" w:top="131"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4</w:t>
      </w:r>
      <w:r>
        <w:rPr>
          <w:rFonts w:ascii="Arial" w:cs="Arial" w:eastAsia="Arial" w:hAnsi="Arial"/>
          <w:sz w:val="11"/>
          <w:szCs w:val="11"/>
          <w:color w:val="auto"/>
        </w:rPr>
        <w:t>th</w:t>
      </w:r>
      <w:r>
        <w:rPr>
          <w:rFonts w:ascii="Arial" w:cs="Arial" w:eastAsia="Arial" w:hAnsi="Arial"/>
          <w:sz w:val="18"/>
          <w:szCs w:val="18"/>
          <w:color w:val="auto"/>
        </w:rPr>
        <w:t xml:space="preserve"> day of March, 2014.</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Title(s)</w:t>
            </w:r>
          </w:p>
        </w:tc>
        <w:tc>
          <w:tcPr>
            <w:tcW w:w="1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60" w:type="dxa"/>
            <w:vAlign w:val="bottom"/>
          </w:tcPr>
          <w:p>
            <w:pPr>
              <w:spacing w:after="0"/>
              <w:rPr>
                <w:sz w:val="14"/>
                <w:szCs w:val="14"/>
                <w:color w:val="auto"/>
              </w:rPr>
            </w:pPr>
          </w:p>
        </w:tc>
      </w:tr>
      <w:tr>
        <w:trPr>
          <w:trHeight w:val="424"/>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8"/>
        </w:trPr>
        <w:tc>
          <w:tcPr>
            <w:tcW w:w="2440" w:type="dxa"/>
            <w:vAlign w:val="bottom"/>
            <w:gridSpan w:val="2"/>
          </w:tcPr>
          <w:p>
            <w:pPr>
              <w:spacing w:after="0"/>
              <w:rPr>
                <w:sz w:val="20"/>
                <w:szCs w:val="20"/>
                <w:color w:val="auto"/>
              </w:rPr>
            </w:pPr>
            <w:r>
              <w:rPr>
                <w:rFonts w:ascii="Arial" w:cs="Arial" w:eastAsia="Arial" w:hAnsi="Arial"/>
                <w:sz w:val="18"/>
                <w:szCs w:val="18"/>
                <w:color w:val="auto"/>
              </w:rPr>
              <w:t>Robert A. Frist, Jr.</w:t>
            </w:r>
          </w:p>
        </w:tc>
        <w:tc>
          <w:tcPr>
            <w:tcW w:w="1840" w:type="dxa"/>
            <w:vAlign w:val="bottom"/>
          </w:tcPr>
          <w:p>
            <w:pPr>
              <w:spacing w:after="0"/>
              <w:rPr>
                <w:sz w:val="18"/>
                <w:szCs w:val="18"/>
                <w:color w:val="auto"/>
              </w:rPr>
            </w:pPr>
          </w:p>
        </w:tc>
        <w:tc>
          <w:tcPr>
            <w:tcW w:w="46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Chairman (Principal Executive Officer)</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7"/>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and Senior Vice President</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8"/>
        </w:trPr>
        <w:tc>
          <w:tcPr>
            <w:tcW w:w="244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1840" w:type="dxa"/>
            <w:vAlign w:val="bottom"/>
          </w:tcPr>
          <w:p>
            <w:pPr>
              <w:spacing w:after="0"/>
              <w:rPr>
                <w:sz w:val="18"/>
                <w:szCs w:val="18"/>
                <w:color w:val="auto"/>
              </w:rPr>
            </w:pPr>
          </w:p>
        </w:tc>
        <w:tc>
          <w:tcPr>
            <w:tcW w:w="468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HOMPSON</w:t>
            </w:r>
            <w:r>
              <w:rPr>
                <w:rFonts w:ascii="Arial" w:cs="Arial" w:eastAsia="Arial" w:hAnsi="Arial"/>
                <w:sz w:val="18"/>
                <w:szCs w:val="18"/>
                <w:color w:val="auto"/>
              </w:rPr>
              <w:t xml:space="preserve"> D</w:t>
            </w:r>
            <w:r>
              <w:rPr>
                <w:rFonts w:ascii="Arial" w:cs="Arial" w:eastAsia="Arial" w:hAnsi="Arial"/>
                <w:sz w:val="14"/>
                <w:szCs w:val="14"/>
                <w:color w:val="auto"/>
              </w:rPr>
              <w:t>ENT</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Thompson Dent</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w:t>
            </w:r>
            <w:r>
              <w:rPr>
                <w:rFonts w:ascii="Arial" w:cs="Arial" w:eastAsia="Arial" w:hAnsi="Arial"/>
                <w:sz w:val="14"/>
                <w:szCs w:val="14"/>
                <w:color w:val="auto"/>
              </w:rPr>
              <w:t>RANK</w:t>
            </w:r>
            <w:r>
              <w:rPr>
                <w:rFonts w:ascii="Arial" w:cs="Arial" w:eastAsia="Arial" w:hAnsi="Arial"/>
                <w:sz w:val="18"/>
                <w:szCs w:val="18"/>
                <w:color w:val="auto"/>
              </w:rPr>
              <w:t xml:space="preserve"> G</w:t>
            </w:r>
            <w:r>
              <w:rPr>
                <w:rFonts w:ascii="Arial" w:cs="Arial" w:eastAsia="Arial" w:hAnsi="Arial"/>
                <w:sz w:val="14"/>
                <w:szCs w:val="14"/>
                <w:color w:val="auto"/>
              </w:rPr>
              <w:t>ORDON</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Frank Gordon</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 M</w:t>
            </w:r>
            <w:r>
              <w:rPr>
                <w:rFonts w:ascii="Arial" w:cs="Arial" w:eastAsia="Arial" w:hAnsi="Arial"/>
                <w:sz w:val="14"/>
                <w:szCs w:val="14"/>
                <w:color w:val="auto"/>
              </w:rPr>
              <w:t>ARTIN</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C. Martin Harris</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L.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AREN</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Jeffrey L. McLaren</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ALE</w:t>
            </w:r>
            <w:r>
              <w:rPr>
                <w:rFonts w:ascii="Arial" w:cs="Arial" w:eastAsia="Arial" w:hAnsi="Arial"/>
                <w:sz w:val="18"/>
                <w:szCs w:val="18"/>
                <w:color w:val="auto"/>
              </w:rPr>
              <w:t xml:space="preserve"> P</w:t>
            </w:r>
            <w:r>
              <w:rPr>
                <w:rFonts w:ascii="Arial" w:cs="Arial" w:eastAsia="Arial" w:hAnsi="Arial"/>
                <w:sz w:val="14"/>
                <w:szCs w:val="14"/>
                <w:color w:val="auto"/>
              </w:rPr>
              <w:t>OLLEY</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Dale Polley</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R</w:t>
            </w:r>
            <w:r>
              <w:rPr>
                <w:rFonts w:ascii="Arial" w:cs="Arial" w:eastAsia="Arial" w:hAnsi="Arial"/>
                <w:sz w:val="14"/>
                <w:szCs w:val="14"/>
                <w:color w:val="auto"/>
              </w:rPr>
              <w:t>EBROVICK</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Linda Rebrovick</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S</w:t>
            </w:r>
            <w:r>
              <w:rPr>
                <w:rFonts w:ascii="Arial" w:cs="Arial" w:eastAsia="Arial" w:hAnsi="Arial"/>
                <w:sz w:val="14"/>
                <w:szCs w:val="14"/>
                <w:color w:val="auto"/>
              </w:rPr>
              <w:t>HMERLING</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Michael Shmerling</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S</w:t>
            </w:r>
            <w:r>
              <w:rPr>
                <w:rFonts w:ascii="Arial" w:cs="Arial" w:eastAsia="Arial" w:hAnsi="Arial"/>
                <w:sz w:val="14"/>
                <w:szCs w:val="14"/>
                <w:color w:val="auto"/>
              </w:rPr>
              <w:t>TEAD</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William Stead</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438"/>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EBORAH</w:t>
            </w:r>
            <w:r>
              <w:rPr>
                <w:rFonts w:ascii="Arial" w:cs="Arial" w:eastAsia="Arial" w:hAnsi="Arial"/>
                <w:sz w:val="18"/>
                <w:szCs w:val="18"/>
                <w:color w:val="auto"/>
              </w:rPr>
              <w:t xml:space="preserve"> T</w:t>
            </w:r>
            <w:r>
              <w:rPr>
                <w:rFonts w:ascii="Arial" w:cs="Arial" w:eastAsia="Arial" w:hAnsi="Arial"/>
                <w:sz w:val="14"/>
                <w:szCs w:val="14"/>
                <w:color w:val="auto"/>
              </w:rPr>
              <w:t>AYLOR</w:t>
            </w:r>
            <w:r>
              <w:rPr>
                <w:rFonts w:ascii="Arial" w:cs="Arial" w:eastAsia="Arial" w:hAnsi="Arial"/>
                <w:sz w:val="18"/>
                <w:szCs w:val="18"/>
                <w:color w:val="auto"/>
              </w:rPr>
              <w:t xml:space="preserve"> T</w:t>
            </w:r>
            <w:r>
              <w:rPr>
                <w:rFonts w:ascii="Arial" w:cs="Arial" w:eastAsia="Arial" w:hAnsi="Arial"/>
                <w:sz w:val="14"/>
                <w:szCs w:val="14"/>
                <w:color w:val="auto"/>
              </w:rPr>
              <w:t>ATE</w:t>
            </w:r>
          </w:p>
        </w:tc>
        <w:tc>
          <w:tcPr>
            <w:tcW w:w="1840" w:type="dxa"/>
            <w:vAlign w:val="bottom"/>
            <w:tcBorders>
              <w:bottom w:val="single" w:sz="8" w:color="auto"/>
            </w:tcBorders>
          </w:tcPr>
          <w:p>
            <w:pPr>
              <w:spacing w:after="0"/>
              <w:rPr>
                <w:sz w:val="24"/>
                <w:szCs w:val="24"/>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ind w:left="992"/>
              <w:spacing w:after="0"/>
              <w:rPr>
                <w:sz w:val="20"/>
                <w:szCs w:val="20"/>
                <w:color w:val="auto"/>
              </w:rPr>
            </w:pPr>
            <w:r>
              <w:rPr>
                <w:rFonts w:ascii="Arial" w:cs="Arial" w:eastAsia="Arial" w:hAnsi="Arial"/>
                <w:sz w:val="18"/>
                <w:szCs w:val="18"/>
                <w:color w:val="auto"/>
                <w:w w:val="88"/>
              </w:rPr>
              <w:t>March 4, 2014</w:t>
            </w:r>
          </w:p>
        </w:tc>
      </w:tr>
      <w:tr>
        <w:trPr>
          <w:trHeight w:val="217"/>
        </w:trPr>
        <w:tc>
          <w:tcPr>
            <w:tcW w:w="2440" w:type="dxa"/>
            <w:vAlign w:val="bottom"/>
            <w:gridSpan w:val="2"/>
          </w:tcPr>
          <w:p>
            <w:pPr>
              <w:spacing w:after="0"/>
              <w:rPr>
                <w:sz w:val="20"/>
                <w:szCs w:val="20"/>
                <w:color w:val="auto"/>
              </w:rPr>
            </w:pPr>
            <w:r>
              <w:rPr>
                <w:rFonts w:ascii="Arial" w:cs="Arial" w:eastAsia="Arial" w:hAnsi="Arial"/>
                <w:sz w:val="18"/>
                <w:szCs w:val="18"/>
                <w:color w:val="auto"/>
              </w:rPr>
              <w:t>Deborah Taylor Tate</w:t>
            </w:r>
          </w:p>
        </w:tc>
        <w:tc>
          <w:tcPr>
            <w:tcW w:w="1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370"/>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gridSpan w:val="2"/>
          </w:tcPr>
          <w:p>
            <w:pPr>
              <w:jc w:val="right"/>
              <w:ind w:right="812"/>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37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60" w:type="dxa"/>
            <w:vAlign w:val="bottom"/>
          </w:tcPr>
          <w:p>
            <w:pPr>
              <w:spacing w:after="0"/>
              <w:rPr>
                <w:sz w:val="24"/>
                <w:szCs w:val="2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Exhibit</w:t>
            </w:r>
          </w:p>
        </w:tc>
        <w:tc>
          <w:tcPr>
            <w:tcW w:w="4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40" w:type="dxa"/>
            <w:vAlign w:val="bottom"/>
          </w:tcPr>
          <w:p>
            <w:pPr>
              <w:spacing w:after="0"/>
              <w:rPr>
                <w:sz w:val="14"/>
                <w:szCs w:val="14"/>
                <w:color w:val="auto"/>
              </w:rPr>
            </w:pPr>
          </w:p>
        </w:tc>
      </w:tr>
      <w:tr>
        <w:trPr>
          <w:trHeight w:val="309"/>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22"/>
                <w:szCs w:val="22"/>
                <w:color w:val="auto"/>
                <w:vertAlign w:val="superscript"/>
              </w:rPr>
              <w:t>(1)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1"/>
              </w:rPr>
              <w:t>Stock Purchase Agreement, dated as of March 28, 2005, by and among HealthStream, Inc., Mel B. Thompson and Data Management &amp;</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Research, Inc.</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1"/>
                <w:szCs w:val="11"/>
                <w:color w:val="auto"/>
              </w:rPr>
              <w:t>(2)</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87"/>
              </w:rPr>
              <w:t>Stock Purchase Agreement, dated as of March 12, 2007, by and among HealthStream, Inc., The Jackson Organization, Research Consultants,</w:t>
            </w: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Inc., David Jackson and the Jackson Charitable Remainder Trust</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w w:val="93"/>
              </w:rPr>
              <w:t xml:space="preserve">10.2^ </w:t>
            </w:r>
            <w:r>
              <w:rPr>
                <w:rFonts w:ascii="Arial" w:cs="Arial" w:eastAsia="Arial" w:hAnsi="Arial"/>
                <w:sz w:val="11"/>
                <w:szCs w:val="11"/>
                <w:color w:val="auto"/>
                <w:w w:val="93"/>
              </w:rPr>
              <w:t>(10)</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2010 Stock Incentive Plan, effective as of May 27, 2010</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1"/>
                <w:szCs w:val="11"/>
                <w:color w:val="auto"/>
              </w:rPr>
              <w:t>(3)</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1"/>
                <w:szCs w:val="11"/>
                <w:color w:val="auto"/>
              </w:rPr>
              <w:t>(4)</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1"/>
                <w:szCs w:val="11"/>
                <w:color w:val="auto"/>
              </w:rPr>
              <w:t>(4)</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1"/>
                <w:szCs w:val="11"/>
                <w:color w:val="auto"/>
              </w:rPr>
              <w:t>(4)</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1"/>
                <w:szCs w:val="11"/>
                <w:color w:val="auto"/>
              </w:rPr>
              <w:t>(5)</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Restricted Share Unit Agreement (Officers)</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1"/>
                <w:szCs w:val="11"/>
                <w:color w:val="auto"/>
              </w:rPr>
              <w:t>(5)</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Restricted Share Unit Agreement (Non-Employee Director)</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1"/>
                <w:szCs w:val="11"/>
                <w:color w:val="auto"/>
              </w:rPr>
              <w:t>(6)</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1"/>
                <w:szCs w:val="11"/>
                <w:color w:val="auto"/>
              </w:rPr>
              <w:t>(7)</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10.12 </w:t>
            </w:r>
            <w:r>
              <w:rPr>
                <w:rFonts w:ascii="Arial" w:cs="Arial" w:eastAsia="Arial" w:hAnsi="Arial"/>
                <w:sz w:val="11"/>
                <w:szCs w:val="11"/>
                <w:color w:val="auto"/>
              </w:rPr>
              <w:t>(8)</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 xml:space="preserve">10.13 </w:t>
            </w:r>
            <w:r>
              <w:rPr>
                <w:rFonts w:ascii="Arial" w:cs="Arial" w:eastAsia="Arial" w:hAnsi="Arial"/>
                <w:sz w:val="11"/>
                <w:szCs w:val="11"/>
                <w:color w:val="auto"/>
              </w:rPr>
              <w:t>(9)</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w w:val="91"/>
              </w:rPr>
              <w:t xml:space="preserve">10.14 </w:t>
            </w:r>
            <w:r>
              <w:rPr>
                <w:rFonts w:ascii="Arial" w:cs="Arial" w:eastAsia="Arial" w:hAnsi="Arial"/>
                <w:sz w:val="11"/>
                <w:szCs w:val="11"/>
                <w:color w:val="auto"/>
                <w:w w:val="91"/>
              </w:rPr>
              <w:t>(11)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Fourth Amendment to Loan Agreement dated March 30, 2011 between HealthStream, Inc. and SunTrust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w w:val="91"/>
              </w:rPr>
              <w:t xml:space="preserve">10.15 </w:t>
            </w:r>
            <w:r>
              <w:rPr>
                <w:rFonts w:ascii="Arial" w:cs="Arial" w:eastAsia="Arial" w:hAnsi="Arial"/>
                <w:sz w:val="11"/>
                <w:szCs w:val="11"/>
                <w:color w:val="auto"/>
                <w:w w:val="91"/>
              </w:rPr>
              <w:t>(12)</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Fifth Amendment to Loan Agreement dated July 19, 2012 between HealthStream, Inc. and SunTrust Bank</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Subsidiaries of HealthStream, Inc.</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1080" w:type="dxa"/>
            <w:vAlign w:val="bottom"/>
            <w:gridSpan w:val="3"/>
          </w:tcPr>
          <w:p>
            <w:pPr>
              <w:spacing w:after="0"/>
              <w:rPr>
                <w:sz w:val="20"/>
                <w:szCs w:val="20"/>
                <w:color w:val="auto"/>
              </w:rPr>
            </w:pPr>
            <w:r>
              <w:rPr>
                <w:rFonts w:ascii="Arial" w:cs="Arial" w:eastAsia="Arial" w:hAnsi="Arial"/>
                <w:sz w:val="18"/>
                <w:szCs w:val="18"/>
                <w:color w:val="auto"/>
              </w:rPr>
              <w:t>101.1 INS</w:t>
            </w: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08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101.1 SCH</w:t>
            </w: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101.1 CAL</w:t>
            </w: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8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101.1 DEF</w:t>
            </w: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101.1 LAB</w:t>
            </w: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8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101.1 PRE</w:t>
            </w: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02" w:lineRule="exact"/>
        <w:rPr>
          <w:sz w:val="20"/>
          <w:szCs w:val="20"/>
          <w:color w:val="auto"/>
        </w:rPr>
      </w:pPr>
    </w:p>
    <w:p>
      <w:pPr>
        <w:ind w:left="1360" w:hanging="1352"/>
        <w:spacing w:after="0"/>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5" w:lineRule="exact"/>
        <w:rPr>
          <w:sz w:val="20"/>
          <w:szCs w:val="20"/>
          <w:color w:val="auto"/>
        </w:rPr>
      </w:pPr>
    </w:p>
    <w:p>
      <w:pPr>
        <w:ind w:left="1360" w:hanging="1352"/>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Quarterly Report on Form 10-Q, dated March 31, 2012.</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Appendix B of the Company’s Definitive Proxy Statement filed with the SEC on April 29, 2010.</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30, 2011.</w:t>
      </w:r>
    </w:p>
    <w:p>
      <w:pPr>
        <w:spacing w:after="0" w:line="9" w:lineRule="exact"/>
        <w:rPr>
          <w:rFonts w:ascii="Arial" w:cs="Arial" w:eastAsia="Arial" w:hAnsi="Arial"/>
          <w:sz w:val="18"/>
          <w:szCs w:val="18"/>
          <w:color w:val="auto"/>
        </w:rPr>
      </w:pPr>
    </w:p>
    <w:p>
      <w:pPr>
        <w:ind w:left="1360" w:hanging="1352"/>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from exhibit field on our Current Report on Form 8-K, dated July 20, 2012.</w:t>
      </w:r>
    </w:p>
    <w:p>
      <w:pPr>
        <w:sectPr>
          <w:pgSz w:w="11900" w:h="16838" w:orient="portrait"/>
          <w:cols w:equalWidth="0" w:num="1">
            <w:col w:w="11280"/>
          </w:cols>
          <w:pgMar w:left="240" w:top="459" w:right="379" w:bottom="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10.16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 for serving as directors of the Company. The following table sets forth current rates of cash compensation for the Company’s non-employee directors.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Retainers and Fees</w:t>
            </w:r>
          </w:p>
        </w:tc>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5"/>
                <w:szCs w:val="15"/>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Annual Retainer fee</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Board meeting fee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chair meeting fee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Committee member meeting fee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In addition to the cash compensation set forth above, each non-employee director is eligible to receive a nondiscretionary annual grant of restricted share units for conversion to shares of the Company’s common stock. The restricted share units are granted annually and vest ratably over a three year period.</w:t>
      </w:r>
    </w:p>
    <w:p>
      <w:pPr>
        <w:spacing w:after="0" w:line="56" w:lineRule="exact"/>
        <w:rPr>
          <w:sz w:val="20"/>
          <w:szCs w:val="20"/>
          <w:color w:val="auto"/>
        </w:rPr>
      </w:pPr>
    </w:p>
    <w:p>
      <w:pPr>
        <w:ind w:right="380" w:firstLine="8"/>
        <w:spacing w:after="0" w:line="275" w:lineRule="auto"/>
        <w:tabs>
          <w:tab w:leader="none" w:pos="20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fiscal 2013 performance bonuses provided to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including the individuals who the Company expects to be its Named Executive Officers for 2014.</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Executive Officer</w:t>
            </w:r>
          </w:p>
        </w:tc>
        <w:tc>
          <w:tcPr>
            <w:tcW w:w="2120" w:type="dxa"/>
            <w:vAlign w:val="bottom"/>
          </w:tcPr>
          <w:p>
            <w:pPr>
              <w:spacing w:after="0"/>
              <w:rPr>
                <w:sz w:val="15"/>
                <w:szCs w:val="15"/>
                <w:color w:val="auto"/>
              </w:rPr>
            </w:pPr>
          </w:p>
        </w:tc>
        <w:tc>
          <w:tcPr>
            <w:tcW w:w="2800" w:type="dxa"/>
            <w:vAlign w:val="bottom"/>
            <w:gridSpan w:val="3"/>
          </w:tcPr>
          <w:p>
            <w:pPr>
              <w:ind w:left="1620"/>
              <w:spacing w:after="0"/>
              <w:rPr>
                <w:sz w:val="20"/>
                <w:szCs w:val="20"/>
                <w:color w:val="auto"/>
              </w:rPr>
            </w:pPr>
            <w:r>
              <w:rPr>
                <w:rFonts w:ascii="Arial" w:cs="Arial" w:eastAsia="Arial" w:hAnsi="Arial"/>
                <w:sz w:val="14"/>
                <w:szCs w:val="14"/>
                <w:b w:val="1"/>
                <w:bCs w:val="1"/>
                <w:color w:val="auto"/>
                <w:w w:val="86"/>
              </w:rPr>
              <w:t>Current Base Salary</w:t>
            </w:r>
          </w:p>
        </w:tc>
        <w:tc>
          <w:tcPr>
            <w:tcW w:w="2700" w:type="dxa"/>
            <w:vAlign w:val="bottom"/>
            <w:gridSpan w:val="4"/>
          </w:tcPr>
          <w:p>
            <w:pPr>
              <w:ind w:left="1060"/>
              <w:spacing w:after="0"/>
              <w:rPr>
                <w:sz w:val="20"/>
                <w:szCs w:val="20"/>
                <w:color w:val="auto"/>
              </w:rPr>
            </w:pPr>
            <w:r>
              <w:rPr>
                <w:rFonts w:ascii="Arial" w:cs="Arial" w:eastAsia="Arial" w:hAnsi="Arial"/>
                <w:sz w:val="14"/>
                <w:szCs w:val="14"/>
                <w:b w:val="1"/>
                <w:bCs w:val="1"/>
                <w:color w:val="auto"/>
                <w:w w:val="90"/>
              </w:rPr>
              <w:t>Fiscal 2013 Bonus Amount</w:t>
            </w: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A. Frist, Jr.</w:t>
            </w:r>
          </w:p>
        </w:tc>
        <w:tc>
          <w:tcPr>
            <w:tcW w:w="1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269,850</w:t>
            </w:r>
          </w:p>
        </w:tc>
        <w:tc>
          <w:tcPr>
            <w:tcW w:w="10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35,209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 Edward Pearson</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256,200</w:t>
            </w:r>
          </w:p>
        </w:tc>
        <w:tc>
          <w:tcPr>
            <w:tcW w:w="16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33,428</w:t>
            </w:r>
          </w:p>
        </w:tc>
        <w:tc>
          <w:tcPr>
            <w:tcW w:w="10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E. Newman</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245,700</w:t>
            </w:r>
          </w:p>
        </w:tc>
        <w:tc>
          <w:tcPr>
            <w:tcW w:w="16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32,058</w:t>
            </w:r>
          </w:p>
        </w:tc>
        <w:tc>
          <w:tcPr>
            <w:tcW w:w="10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241,500</w:t>
            </w:r>
          </w:p>
        </w:tc>
        <w:tc>
          <w:tcPr>
            <w:tcW w:w="16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31,510</w:t>
            </w:r>
          </w:p>
        </w:tc>
        <w:tc>
          <w:tcPr>
            <w:tcW w:w="100" w:type="dxa"/>
            <w:vAlign w:val="bottom"/>
          </w:tcPr>
          <w:p>
            <w:pPr>
              <w:spacing w:after="0"/>
              <w:rPr>
                <w:sz w:val="18"/>
                <w:szCs w:val="18"/>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Doster</w:t>
            </w:r>
          </w:p>
        </w:tc>
        <w:tc>
          <w:tcPr>
            <w:tcW w:w="19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241,500</w:t>
            </w:r>
          </w:p>
        </w:tc>
        <w:tc>
          <w:tcPr>
            <w:tcW w:w="16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31,510</w:t>
            </w:r>
          </w:p>
        </w:tc>
        <w:tc>
          <w:tcPr>
            <w:tcW w:w="100" w:type="dxa"/>
            <w:vAlign w:val="bottom"/>
            <w:shd w:val="clear" w:color="auto" w:fill="CCEEFF"/>
          </w:tcPr>
          <w:p>
            <w:pPr>
              <w:spacing w:after="0"/>
              <w:rPr>
                <w:sz w:val="18"/>
                <w:szCs w:val="18"/>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202,125</w:t>
            </w:r>
          </w:p>
        </w:tc>
        <w:tc>
          <w:tcPr>
            <w:tcW w:w="16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right="700" w:firstLine="8"/>
        <w:spacing w:after="0" w:line="275" w:lineRule="auto"/>
        <w:tabs>
          <w:tab w:leader="none" w:pos="263"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the Company’s 2014 Proxy Statement.</w:t>
      </w:r>
    </w:p>
    <w:p>
      <w:pPr>
        <w:sectPr>
          <w:pgSz w:w="11900" w:h="16838" w:orient="portrait"/>
          <w:cols w:equalWidth="0" w:num="1">
            <w:col w:w="11420"/>
          </w:cols>
          <w:pgMar w:left="240" w:top="131"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2"/>
        </w:trPr>
        <w:tc>
          <w:tcPr>
            <w:tcW w:w="2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960" w:type="dxa"/>
            <w:vAlign w:val="bottom"/>
            <w:gridSpan w:val="2"/>
          </w:tcPr>
          <w:p>
            <w:pPr>
              <w:ind w:left="880"/>
              <w:spacing w:after="0"/>
              <w:rPr>
                <w:sz w:val="20"/>
                <w:szCs w:val="20"/>
                <w:color w:val="auto"/>
              </w:rPr>
            </w:pPr>
            <w:r>
              <w:rPr>
                <w:rFonts w:ascii="Arial" w:cs="Arial" w:eastAsia="Arial" w:hAnsi="Arial"/>
                <w:sz w:val="18"/>
                <w:szCs w:val="18"/>
                <w:color w:val="auto"/>
                <w:w w:val="96"/>
              </w:rPr>
              <w:t>EXHIBIT 21.1</w:t>
            </w:r>
          </w:p>
        </w:tc>
      </w:tr>
      <w:tr>
        <w:trPr>
          <w:trHeight w:val="378"/>
        </w:trPr>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560" w:type="dxa"/>
            <w:vAlign w:val="bottom"/>
            <w:gridSpan w:val="3"/>
          </w:tcPr>
          <w:p>
            <w:pPr>
              <w:ind w:left="80"/>
              <w:spacing w:after="0"/>
              <w:rPr>
                <w:sz w:val="20"/>
                <w:szCs w:val="20"/>
                <w:color w:val="auto"/>
              </w:rPr>
            </w:pPr>
            <w:r>
              <w:rPr>
                <w:rFonts w:ascii="Arial" w:cs="Arial" w:eastAsia="Arial" w:hAnsi="Arial"/>
                <w:sz w:val="18"/>
                <w:szCs w:val="18"/>
                <w:b w:val="1"/>
                <w:bCs w:val="1"/>
                <w:color w:val="auto"/>
              </w:rPr>
              <w:t>SUBSIDIARIES OF HEALTHSTREAM, INC.</w:t>
            </w:r>
          </w:p>
        </w:tc>
      </w:tr>
      <w:tr>
        <w:trPr>
          <w:trHeight w:val="342"/>
        </w:trPr>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color w:val="auto"/>
                <w:w w:val="87"/>
              </w:rPr>
              <w:t>State or Other Jurisdiction of</w:t>
            </w:r>
          </w:p>
        </w:tc>
      </w:tr>
      <w:tr>
        <w:trPr>
          <w:trHeight w:val="149"/>
        </w:trPr>
        <w:tc>
          <w:tcPr>
            <w:tcW w:w="2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Incorporation or</w:t>
            </w:r>
          </w:p>
        </w:tc>
      </w:tr>
      <w:tr>
        <w:trPr>
          <w:trHeight w:val="179"/>
        </w:trPr>
        <w:tc>
          <w:tcPr>
            <w:tcW w:w="3880" w:type="dxa"/>
            <w:vAlign w:val="bottom"/>
            <w:gridSpan w:val="2"/>
          </w:tcPr>
          <w:p>
            <w:pPr>
              <w:spacing w:after="0" w:line="159" w:lineRule="exact"/>
              <w:rPr>
                <w:sz w:val="20"/>
                <w:szCs w:val="20"/>
                <w:color w:val="auto"/>
              </w:rPr>
            </w:pPr>
            <w:r>
              <w:rPr>
                <w:rFonts w:ascii="Arial" w:cs="Arial" w:eastAsia="Arial" w:hAnsi="Arial"/>
                <w:sz w:val="14"/>
                <w:szCs w:val="14"/>
                <w:color w:val="auto"/>
              </w:rPr>
              <w:t>Names Under Which We Do Business</w:t>
            </w:r>
          </w:p>
        </w:tc>
        <w:tc>
          <w:tcPr>
            <w:tcW w:w="5600" w:type="dxa"/>
            <w:vAlign w:val="bottom"/>
          </w:tcPr>
          <w:p>
            <w:pPr>
              <w:spacing w:after="0"/>
              <w:rPr>
                <w:sz w:val="15"/>
                <w:szCs w:val="15"/>
                <w:color w:val="auto"/>
              </w:rPr>
            </w:pPr>
          </w:p>
        </w:tc>
        <w:tc>
          <w:tcPr>
            <w:tcW w:w="1960" w:type="dxa"/>
            <w:vAlign w:val="bottom"/>
            <w:gridSpan w:val="2"/>
          </w:tcPr>
          <w:p>
            <w:pPr>
              <w:jc w:val="center"/>
              <w:ind w:right="20"/>
              <w:spacing w:after="0" w:line="159" w:lineRule="exact"/>
              <w:rPr>
                <w:sz w:val="20"/>
                <w:szCs w:val="20"/>
                <w:color w:val="auto"/>
              </w:rPr>
            </w:pPr>
            <w:r>
              <w:rPr>
                <w:rFonts w:ascii="Arial" w:cs="Arial" w:eastAsia="Arial" w:hAnsi="Arial"/>
                <w:sz w:val="14"/>
                <w:szCs w:val="14"/>
                <w:color w:val="auto"/>
                <w:w w:val="88"/>
              </w:rPr>
              <w:t>Organization</w:t>
            </w:r>
          </w:p>
        </w:tc>
      </w:tr>
      <w:tr>
        <w:trPr>
          <w:trHeight w:val="209"/>
        </w:trPr>
        <w:tc>
          <w:tcPr>
            <w:tcW w:w="22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6"/>
              </w:rPr>
              <w:t>Data Management &amp; Research,</w:t>
            </w:r>
          </w:p>
        </w:tc>
        <w:tc>
          <w:tcPr>
            <w:tcW w:w="1680" w:type="dxa"/>
            <w:vAlign w:val="bottom"/>
          </w:tcPr>
          <w:p>
            <w:pPr>
              <w:ind w:left="60"/>
              <w:spacing w:after="0" w:line="188" w:lineRule="exact"/>
              <w:rPr>
                <w:sz w:val="20"/>
                <w:szCs w:val="20"/>
                <w:color w:val="auto"/>
              </w:rPr>
            </w:pPr>
            <w:r>
              <w:rPr>
                <w:rFonts w:ascii="Arial" w:cs="Arial" w:eastAsia="Arial" w:hAnsi="Arial"/>
                <w:sz w:val="18"/>
                <w:szCs w:val="18"/>
                <w:color w:val="auto"/>
              </w:rPr>
              <w:t>Inc.</w:t>
            </w:r>
          </w:p>
        </w:tc>
        <w:tc>
          <w:tcPr>
            <w:tcW w:w="560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0"/>
              </w:rPr>
              <w:t>Tennessee</w:t>
            </w:r>
          </w:p>
        </w:tc>
        <w:tc>
          <w:tcPr>
            <w:tcW w:w="20" w:type="dxa"/>
            <w:vAlign w:val="bottom"/>
          </w:tcPr>
          <w:p>
            <w:pPr>
              <w:spacing w:after="0"/>
              <w:rPr>
                <w:sz w:val="18"/>
                <w:szCs w:val="18"/>
                <w:color w:val="auto"/>
              </w:rPr>
            </w:pP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w w:val="88"/>
              </w:rPr>
              <w:t>The Jackson Organization, Research Consultants, Inc.</w:t>
            </w: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Maryland</w:t>
            </w: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Decision Critical, Inc.</w:t>
            </w: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81"/>
              </w:rPr>
              <w:t>Texas</w:t>
            </w: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Sy.Med Development, Inc.</w:t>
            </w: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80"/>
              </w:rPr>
              <w:t>Tennessee</w:t>
            </w: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Health Care Compliance Strategies, Inc.</w:t>
            </w: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2"/>
              </w:rPr>
              <w:t>New York</w:t>
            </w: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HealthStream Acquisition I, Inc.</w:t>
            </w: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80"/>
              </w:rPr>
              <w:t>Tennessee</w:t>
            </w:r>
          </w:p>
        </w:tc>
      </w:tr>
      <w:tr>
        <w:trPr>
          <w:trHeight w:val="324"/>
        </w:trPr>
        <w:tc>
          <w:tcPr>
            <w:tcW w:w="3880" w:type="dxa"/>
            <w:vAlign w:val="bottom"/>
            <w:gridSpan w:val="2"/>
          </w:tcPr>
          <w:p>
            <w:pPr>
              <w:spacing w:after="0"/>
              <w:rPr>
                <w:sz w:val="20"/>
                <w:szCs w:val="20"/>
                <w:color w:val="auto"/>
              </w:rPr>
            </w:pPr>
            <w:r>
              <w:rPr>
                <w:rFonts w:ascii="Arial" w:cs="Arial" w:eastAsia="Arial" w:hAnsi="Arial"/>
                <w:sz w:val="18"/>
                <w:szCs w:val="18"/>
                <w:color w:val="auto"/>
              </w:rPr>
              <w:t>HealthStream Acquisition II, Inc.</w:t>
            </w:r>
          </w:p>
        </w:tc>
        <w:tc>
          <w:tcPr>
            <w:tcW w:w="5600" w:type="dxa"/>
            <w:vAlign w:val="bottom"/>
          </w:tcPr>
          <w:p>
            <w:pPr>
              <w:spacing w:after="0"/>
              <w:rPr>
                <w:sz w:val="24"/>
                <w:szCs w:val="24"/>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80"/>
              </w:rPr>
              <w:t>Tennessee</w:t>
            </w:r>
          </w:p>
        </w:tc>
      </w:tr>
    </w:tbl>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ind w:right="2800" w:firstLine="2804"/>
        <w:spacing w:after="0" w:line="391"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Registration Statement (Form S-8 No. 333-167241) pertaining to the 2010 Stock Incentive Plan of HealthStream, Inc.,</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Registration Statement (Form S-8 No. 333-37440) pertaining to the 1994 Employee Stock Option Plan, 2000 Stock Incentive Plan and Employee Stock Purchase Plan of HealthStream, Inc.,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Registration Statement (Form S-3 No. 333-175863) of HealthStream, Inc.;</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of our reports dated March 4, 2014, with respect to the consolidated financial statements of HealthStream, Inc., and the effectiveness of internal control over financial reporting of HealthStream, Inc., included in this Annual Report (Form 10-K) of HealthStream, Inc. for the year ended December 31, 2013.</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60" w:firstLine="1"/>
        <w:spacing w:after="0" w:line="357" w:lineRule="auto"/>
        <w:tabs>
          <w:tab w:leader="none" w:pos="110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260" w:firstLine="1"/>
        <w:spacing w:after="0" w:line="259"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60" w:firstLine="1"/>
        <w:spacing w:after="0" w:line="332" w:lineRule="auto"/>
        <w:tabs>
          <w:tab w:leader="none" w:pos="11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color w:val="auto"/>
              </w:rPr>
              <w:t>Date: March 4, 2014</w:t>
            </w:r>
          </w:p>
        </w:tc>
        <w:tc>
          <w:tcPr>
            <w:tcW w:w="5460" w:type="dxa"/>
            <w:vAlign w:val="bottom"/>
          </w:tcPr>
          <w:p>
            <w:pPr>
              <w:ind w:left="1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r>
        <w:trPr>
          <w:trHeight w:val="201"/>
        </w:trPr>
        <w:tc>
          <w:tcPr>
            <w:tcW w:w="3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5460" w:type="dxa"/>
            <w:vAlign w:val="bottom"/>
          </w:tcPr>
          <w:p>
            <w:pPr>
              <w:ind w:left="100"/>
              <w:spacing w:after="0" w:line="201" w:lineRule="exact"/>
              <w:rPr>
                <w:sz w:val="20"/>
                <w:szCs w:val="20"/>
                <w:color w:val="auto"/>
              </w:rPr>
            </w:pPr>
            <w:r>
              <w:rPr>
                <w:rFonts w:ascii="Arial" w:cs="Arial" w:eastAsia="Arial" w:hAnsi="Arial"/>
                <w:sz w:val="18"/>
                <w:szCs w:val="18"/>
                <w:color w:val="auto"/>
              </w:rPr>
              <w:t>Robert A. Frist, Jr.</w:t>
            </w:r>
          </w:p>
        </w:tc>
      </w:tr>
      <w:tr>
        <w:trPr>
          <w:trHeight w:val="222"/>
        </w:trPr>
        <w:tc>
          <w:tcPr>
            <w:tcW w:w="3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60" w:firstLine="1"/>
        <w:spacing w:after="0" w:line="357" w:lineRule="auto"/>
        <w:tabs>
          <w:tab w:leader="none" w:pos="11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260" w:firstLine="1"/>
        <w:spacing w:after="0" w:line="259"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60" w:firstLine="1"/>
        <w:spacing w:after="0" w:line="332" w:lineRule="auto"/>
        <w:tabs>
          <w:tab w:leader="none" w:pos="1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color w:val="auto"/>
              </w:rPr>
              <w:t>Date: March 4, 2014</w:t>
            </w:r>
          </w:p>
        </w:tc>
        <w:tc>
          <w:tcPr>
            <w:tcW w:w="5460" w:type="dxa"/>
            <w:vAlign w:val="bottom"/>
          </w:tcPr>
          <w:p>
            <w:pPr>
              <w:ind w:left="10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r>
        <w:trPr>
          <w:trHeight w:val="201"/>
        </w:trPr>
        <w:tc>
          <w:tcPr>
            <w:tcW w:w="3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5460" w:type="dxa"/>
            <w:vAlign w:val="bottom"/>
          </w:tcPr>
          <w:p>
            <w:pPr>
              <w:ind w:left="100"/>
              <w:spacing w:after="0" w:line="201" w:lineRule="exact"/>
              <w:rPr>
                <w:sz w:val="20"/>
                <w:szCs w:val="20"/>
                <w:color w:val="auto"/>
              </w:rPr>
            </w:pPr>
            <w:r>
              <w:rPr>
                <w:rFonts w:ascii="Arial" w:cs="Arial" w:eastAsia="Arial" w:hAnsi="Arial"/>
                <w:sz w:val="18"/>
                <w:szCs w:val="18"/>
                <w:color w:val="auto"/>
              </w:rPr>
              <w:t>Gerard M. Hayden, Jr.</w:t>
            </w:r>
          </w:p>
        </w:tc>
      </w:tr>
      <w:tr>
        <w:trPr>
          <w:trHeight w:val="222"/>
        </w:trPr>
        <w:tc>
          <w:tcPr>
            <w:tcW w:w="3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2013, as filed with the Securities and Exchange Commission on the date hereof (the “Report”), Robert A. Frist, Jr., Chief Executive Officer of the Company certifies,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ectPr>
          <w:pgSz w:w="11900" w:h="16838" w:orient="portrait"/>
          <w:cols w:equalWidth="0" w:num="1">
            <w:col w:w="11420"/>
          </w:cols>
          <w:pgMar w:left="240" w:top="13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2013,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2"/>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2"/>
    </w:lvl>
  </w:abstractNum>
  <w:abstractNum w:abstractNumId="15">
    <w:nsid w:val="6763845E"/>
    <w:multiLevelType w:val="hybridMultilevel"/>
    <w:lvl w:ilvl="0">
      <w:lvlJc w:val="left"/>
      <w:lvlText w:val="%1."/>
      <w:numFmt w:val="decimal"/>
      <w:start w:val="13"/>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5"/>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upperLetter"/>
      <w:start w:val="35"/>
    </w:lvl>
  </w:abstractNum>
  <w:abstractNum w:abstractNumId="25">
    <w:nsid w:val="836C40E"/>
    <w:multiLevelType w:val="hybridMultilevel"/>
    <w:lvl w:ilvl="0">
      <w:lvlJc w:val="left"/>
      <w:lvlText w:val="%1."/>
      <w:numFmt w:val="upperLetter"/>
      <w:start w:val="6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2019-12-06T22:13:54Z</dcterms:created>
  <dcterms:modified xsi:type="dcterms:W3CDTF">2019-12-06T22:13:54Z</dcterms:modified>
</cp:coreProperties>
</file>