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GORDON FRANK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5"/>
        <w:gridCol w:w="918"/>
        <w:gridCol w:w="787"/>
        <w:gridCol w:w="609"/>
        <w:gridCol w:w="346"/>
        <w:gridCol w:w="878"/>
        <w:gridCol w:w="438"/>
        <w:gridCol w:w="755"/>
        <w:gridCol w:w="1143"/>
        <w:gridCol w:w="984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24.63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212,404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100,418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Crofton Capital</w:t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11,386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Joel Company</w:t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Custodial account for minor child - Gavin B. Gordon</w:t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Custodial account for minor child - Cameron L. Gordon</w:t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Custodial account for minor child - Taylor K. Gordon</w:t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Frank E. Gordon 2003 Family Trust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3,654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represent stock the reporting person elected to receive in lieu of cash payable for service on the Company's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RSU's are subject to a three year vesting schedule, contingent upon continued service at the time of vesting. The RSU's vest annually beginning May 28, 2027 in three equal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Not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E. Gordon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9231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725</Words>
  <Characters>3847</Characters>
  <CharactersWithSpaces>4478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