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5820" w:type="dxa"/>
            <w:vAlign w:val="bottom"/>
          </w:tcPr>
          <w:p>
            <w:pPr>
              <w:jc w:val="center"/>
              <w:ind w:right="3199"/>
              <w:spacing w:after="0"/>
              <w:rPr>
                <w:sz w:val="20"/>
                <w:szCs w:val="20"/>
                <w:color w:val="auto"/>
              </w:rPr>
            </w:pPr>
            <w:r>
              <w:rPr>
                <w:rFonts w:ascii="Arial" w:cs="Arial" w:eastAsia="Arial" w:hAnsi="Arial"/>
                <w:sz w:val="18"/>
                <w:szCs w:val="18"/>
                <w:b w:val="1"/>
                <w:bCs w:val="1"/>
                <w:color w:val="auto"/>
                <w:w w:val="83"/>
              </w:rPr>
              <w:t>Tennessee</w:t>
            </w:r>
          </w:p>
        </w:tc>
        <w:tc>
          <w:tcPr>
            <w:tcW w:w="2320" w:type="dxa"/>
            <w:vAlign w:val="bottom"/>
          </w:tcPr>
          <w:p>
            <w:pPr>
              <w:jc w:val="right"/>
              <w:ind w:right="599"/>
              <w:spacing w:after="0"/>
              <w:rPr>
                <w:sz w:val="20"/>
                <w:szCs w:val="20"/>
                <w:color w:val="auto"/>
              </w:rPr>
            </w:pPr>
            <w:r>
              <w:rPr>
                <w:rFonts w:ascii="Arial" w:cs="Arial" w:eastAsia="Arial" w:hAnsi="Arial"/>
                <w:sz w:val="18"/>
                <w:szCs w:val="18"/>
                <w:b w:val="1"/>
                <w:bCs w:val="1"/>
                <w:color w:val="auto"/>
              </w:rPr>
              <w:t>62-1443555</w:t>
            </w:r>
          </w:p>
        </w:tc>
      </w:tr>
      <w:tr>
        <w:trPr>
          <w:trHeight w:val="149"/>
        </w:trPr>
        <w:tc>
          <w:tcPr>
            <w:tcW w:w="5820" w:type="dxa"/>
            <w:vAlign w:val="bottom"/>
          </w:tcPr>
          <w:p>
            <w:pPr>
              <w:jc w:val="center"/>
              <w:ind w:right="31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20" w:type="dxa"/>
            <w:vAlign w:val="bottom"/>
          </w:tcPr>
          <w:p>
            <w:pPr>
              <w:jc w:val="center"/>
              <w:ind w:left="39"/>
              <w:spacing w:after="0" w:line="149" w:lineRule="exact"/>
              <w:rPr>
                <w:sz w:val="20"/>
                <w:szCs w:val="20"/>
                <w:color w:val="auto"/>
              </w:rPr>
            </w:pPr>
            <w:r>
              <w:rPr>
                <w:rFonts w:ascii="Arial" w:cs="Arial" w:eastAsia="Arial" w:hAnsi="Arial"/>
                <w:sz w:val="14"/>
                <w:szCs w:val="14"/>
                <w:b w:val="1"/>
                <w:bCs w:val="1"/>
                <w:color w:val="auto"/>
                <w:w w:val="95"/>
              </w:rPr>
              <w:t>(I.R.S. Employer Identification No.)</w:t>
            </w:r>
          </w:p>
        </w:tc>
      </w:tr>
      <w:tr>
        <w:trPr>
          <w:trHeight w:val="186"/>
        </w:trPr>
        <w:tc>
          <w:tcPr>
            <w:tcW w:w="5820" w:type="dxa"/>
            <w:vAlign w:val="bottom"/>
          </w:tcPr>
          <w:p>
            <w:pPr>
              <w:jc w:val="center"/>
              <w:ind w:right="3179"/>
              <w:spacing w:after="0"/>
              <w:rPr>
                <w:sz w:val="20"/>
                <w:szCs w:val="20"/>
                <w:color w:val="auto"/>
              </w:rPr>
            </w:pPr>
            <w:r>
              <w:rPr>
                <w:rFonts w:ascii="Arial" w:cs="Arial" w:eastAsia="Arial" w:hAnsi="Arial"/>
                <w:sz w:val="14"/>
                <w:szCs w:val="14"/>
                <w:b w:val="1"/>
                <w:bCs w:val="1"/>
                <w:color w:val="auto"/>
                <w:w w:val="94"/>
              </w:rPr>
              <w:t>incorporation or organization)</w:t>
            </w:r>
          </w:p>
        </w:tc>
        <w:tc>
          <w:tcPr>
            <w:tcW w:w="2320" w:type="dxa"/>
            <w:vAlign w:val="bottom"/>
          </w:tcPr>
          <w:p>
            <w:pPr>
              <w:spacing w:after="0"/>
              <w:rPr>
                <w:sz w:val="16"/>
                <w:szCs w:val="16"/>
                <w:color w:val="auto"/>
              </w:rPr>
            </w:pPr>
          </w:p>
        </w:tc>
      </w:tr>
      <w:tr>
        <w:trPr>
          <w:trHeight w:val="412"/>
        </w:trPr>
        <w:tc>
          <w:tcPr>
            <w:tcW w:w="5820" w:type="dxa"/>
            <w:vAlign w:val="bottom"/>
          </w:tcPr>
          <w:p>
            <w:pPr>
              <w:jc w:val="center"/>
              <w:ind w:right="3199"/>
              <w:spacing w:after="0"/>
              <w:rPr>
                <w:sz w:val="20"/>
                <w:szCs w:val="20"/>
                <w:color w:val="auto"/>
              </w:rPr>
            </w:pPr>
            <w:r>
              <w:rPr>
                <w:rFonts w:ascii="Arial" w:cs="Arial" w:eastAsia="Arial" w:hAnsi="Arial"/>
                <w:sz w:val="18"/>
                <w:szCs w:val="18"/>
                <w:b w:val="1"/>
                <w:bCs w:val="1"/>
                <w:color w:val="auto"/>
                <w:w w:val="88"/>
              </w:rPr>
              <w:t>209 10th Avenue South, Suite 450</w:t>
            </w:r>
          </w:p>
        </w:tc>
        <w:tc>
          <w:tcPr>
            <w:tcW w:w="2320" w:type="dxa"/>
            <w:vAlign w:val="bottom"/>
          </w:tcPr>
          <w:p>
            <w:pPr>
              <w:spacing w:after="0"/>
              <w:rPr>
                <w:sz w:val="24"/>
                <w:szCs w:val="24"/>
                <w:color w:val="auto"/>
              </w:rPr>
            </w:pPr>
          </w:p>
        </w:tc>
      </w:tr>
      <w:tr>
        <w:trPr>
          <w:trHeight w:val="225"/>
        </w:trPr>
        <w:tc>
          <w:tcPr>
            <w:tcW w:w="5820" w:type="dxa"/>
            <w:vAlign w:val="bottom"/>
          </w:tcPr>
          <w:p>
            <w:pPr>
              <w:jc w:val="center"/>
              <w:ind w:right="3199"/>
              <w:spacing w:after="0"/>
              <w:rPr>
                <w:sz w:val="20"/>
                <w:szCs w:val="20"/>
                <w:color w:val="auto"/>
              </w:rPr>
            </w:pPr>
            <w:r>
              <w:rPr>
                <w:rFonts w:ascii="Arial" w:cs="Arial" w:eastAsia="Arial" w:hAnsi="Arial"/>
                <w:sz w:val="18"/>
                <w:szCs w:val="18"/>
                <w:b w:val="1"/>
                <w:bCs w:val="1"/>
                <w:color w:val="auto"/>
                <w:w w:val="86"/>
              </w:rPr>
              <w:t>Nashville, Tennessee</w:t>
            </w:r>
          </w:p>
        </w:tc>
        <w:tc>
          <w:tcPr>
            <w:tcW w:w="2320" w:type="dxa"/>
            <w:vAlign w:val="bottom"/>
          </w:tcPr>
          <w:p>
            <w:pPr>
              <w:jc w:val="right"/>
              <w:ind w:right="799"/>
              <w:spacing w:after="0"/>
              <w:rPr>
                <w:sz w:val="20"/>
                <w:szCs w:val="20"/>
                <w:color w:val="auto"/>
              </w:rPr>
            </w:pPr>
            <w:r>
              <w:rPr>
                <w:rFonts w:ascii="Arial" w:cs="Arial" w:eastAsia="Arial" w:hAnsi="Arial"/>
                <w:sz w:val="18"/>
                <w:szCs w:val="18"/>
                <w:b w:val="1"/>
                <w:bCs w:val="1"/>
                <w:color w:val="auto"/>
              </w:rPr>
              <w:t>37203</w:t>
            </w:r>
          </w:p>
        </w:tc>
      </w:tr>
      <w:tr>
        <w:trPr>
          <w:trHeight w:val="186"/>
        </w:trPr>
        <w:tc>
          <w:tcPr>
            <w:tcW w:w="5820" w:type="dxa"/>
            <w:vAlign w:val="bottom"/>
          </w:tcPr>
          <w:p>
            <w:pPr>
              <w:jc w:val="center"/>
              <w:ind w:right="31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5820" w:type="dxa"/>
            <w:vAlign w:val="bottom"/>
          </w:tcPr>
          <w:p>
            <w:pPr>
              <w:jc w:val="right"/>
              <w:ind w:right="1079"/>
              <w:spacing w:after="0"/>
              <w:rPr>
                <w:sz w:val="20"/>
                <w:szCs w:val="20"/>
                <w:color w:val="auto"/>
              </w:rPr>
            </w:pPr>
            <w:r>
              <w:rPr>
                <w:rFonts w:ascii="Arial" w:cs="Arial" w:eastAsia="Arial" w:hAnsi="Arial"/>
                <w:sz w:val="18"/>
                <w:szCs w:val="18"/>
                <w:b w:val="1"/>
                <w:bCs w:val="1"/>
                <w:color w:val="auto"/>
              </w:rPr>
              <w:t>(615) 301-3100</w:t>
            </w:r>
          </w:p>
        </w:tc>
        <w:tc>
          <w:tcPr>
            <w:tcW w:w="2320" w:type="dxa"/>
            <w:vAlign w:val="bottom"/>
          </w:tcPr>
          <w:p>
            <w:pPr>
              <w:spacing w:after="0"/>
              <w:rPr>
                <w:sz w:val="24"/>
                <w:szCs w:val="24"/>
                <w:color w:val="auto"/>
              </w:rPr>
            </w:pPr>
          </w:p>
        </w:tc>
      </w:tr>
      <w:tr>
        <w:trPr>
          <w:trHeight w:val="186"/>
        </w:trPr>
        <w:tc>
          <w:tcPr>
            <w:tcW w:w="5820" w:type="dxa"/>
            <w:vAlign w:val="bottom"/>
          </w:tcPr>
          <w:p>
            <w:pPr>
              <w:jc w:val="center"/>
              <w:ind w:left="22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3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As of November 2, 2016, there were 31,739,741 shares of the registrant’s common stock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r>
      <w:tr>
        <w:trPr>
          <w:trHeight w:val="165"/>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w w:val="90"/>
              </w:rPr>
              <w:t>Number</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Part I.</w:t>
            </w:r>
          </w:p>
        </w:tc>
        <w:tc>
          <w:tcPr>
            <w:tcW w:w="99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00" w:type="dxa"/>
            <w:vAlign w:val="bottom"/>
          </w:tcPr>
          <w:p>
            <w:pPr>
              <w:spacing w:after="0"/>
              <w:rPr>
                <w:sz w:val="23"/>
                <w:szCs w:val="23"/>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0" w:type="dxa"/>
            <w:vAlign w:val="bottom"/>
            <w:tcBorders>
              <w:top w:val="single" w:sz="8" w:color="0000EE"/>
            </w:tcBorders>
          </w:tcPr>
          <w:p>
            <w:pPr>
              <w:spacing w:after="0"/>
              <w:rPr>
                <w:sz w:val="24"/>
                <w:szCs w:val="24"/>
                <w:color w:val="auto"/>
              </w:rPr>
            </w:pPr>
          </w:p>
        </w:tc>
        <w:tc>
          <w:tcPr>
            <w:tcW w:w="8360" w:type="dxa"/>
            <w:vAlign w:val="bottom"/>
            <w:gridSpan w:val="11"/>
          </w:tcPr>
          <w:p>
            <w:pPr>
              <w:spacing w:after="0"/>
              <w:rPr>
                <w:sz w:val="24"/>
                <w:szCs w:val="24"/>
                <w:color w:val="auto"/>
              </w:rPr>
            </w:pPr>
          </w:p>
        </w:tc>
        <w:tc>
          <w:tcPr>
            <w:tcW w:w="500" w:type="dxa"/>
            <w:vAlign w:val="bottom"/>
          </w:tcPr>
          <w:p>
            <w:pPr>
              <w:spacing w:after="0"/>
              <w:rPr>
                <w:sz w:val="24"/>
                <w:szCs w:val="24"/>
                <w:color w:val="auto"/>
              </w:rPr>
            </w:pPr>
          </w:p>
        </w:tc>
      </w:tr>
      <w:tr>
        <w:trPr>
          <w:trHeight w:val="304"/>
        </w:trPr>
        <w:tc>
          <w:tcPr>
            <w:tcW w:w="880" w:type="dxa"/>
            <w:vAlign w:val="bottom"/>
          </w:tcPr>
          <w:p>
            <w:pPr>
              <w:spacing w:after="0"/>
              <w:rPr>
                <w:sz w:val="24"/>
                <w:szCs w:val="24"/>
                <w:color w:val="auto"/>
              </w:rPr>
            </w:pPr>
          </w:p>
        </w:tc>
        <w:tc>
          <w:tcPr>
            <w:tcW w:w="99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2016 (Unaudited) and December 31, 2015</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8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(Unaudited) – Three and Nine Months ended September 30, 2016 and 2015</w:t>
              </w:r>
            </w:hyperlink>
          </w:p>
        </w:tc>
        <w:tc>
          <w:tcPr>
            <w:tcW w:w="104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880" w:type="dxa"/>
            <w:vAlign w:val="bottom"/>
          </w:tcPr>
          <w:p>
            <w:pPr>
              <w:spacing w:after="0"/>
              <w:rPr>
                <w:sz w:val="24"/>
                <w:szCs w:val="24"/>
                <w:color w:val="auto"/>
              </w:rPr>
            </w:pPr>
          </w:p>
        </w:tc>
        <w:tc>
          <w:tcPr>
            <w:tcW w:w="9940" w:type="dxa"/>
            <w:vAlign w:val="bottom"/>
            <w:gridSpan w:val="18"/>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Comprehensive Income (Unaudited) – Three and Nine Months ended September 30, 2016</w:t>
              </w:r>
            </w:hyperlink>
          </w:p>
        </w:tc>
        <w:tc>
          <w:tcPr>
            <w:tcW w:w="50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and 2015</w:t>
              </w:r>
            </w:hyperlink>
          </w:p>
        </w:tc>
        <w:tc>
          <w:tcPr>
            <w:tcW w:w="8500" w:type="dxa"/>
            <w:vAlign w:val="bottom"/>
            <w:tcBorders>
              <w:top w:val="single" w:sz="8" w:color="0000EE"/>
            </w:tcBorders>
            <w:gridSpan w:val="13"/>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880" w:type="dxa"/>
            <w:vAlign w:val="bottom"/>
          </w:tcPr>
          <w:p>
            <w:pPr>
              <w:spacing w:after="0"/>
              <w:rPr>
                <w:sz w:val="24"/>
                <w:szCs w:val="24"/>
                <w:color w:val="auto"/>
              </w:rPr>
            </w:pPr>
          </w:p>
        </w:tc>
        <w:tc>
          <w:tcPr>
            <w:tcW w:w="83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Shareholders’ Equity (Unaudited) – Nine Months ended September 30, 2016</w:t>
              </w:r>
            </w:hyperlink>
          </w:p>
        </w:tc>
        <w:tc>
          <w:tcPr>
            <w:tcW w:w="160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880" w:type="dxa"/>
            <w:vAlign w:val="bottom"/>
          </w:tcPr>
          <w:p>
            <w:pPr>
              <w:spacing w:after="0"/>
              <w:rPr>
                <w:sz w:val="24"/>
                <w:szCs w:val="24"/>
                <w:color w:val="auto"/>
              </w:rPr>
            </w:pPr>
          </w:p>
        </w:tc>
        <w:tc>
          <w:tcPr>
            <w:tcW w:w="84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 – Nine Months ended September 30, 2016 and 2015</w:t>
              </w:r>
            </w:hyperlink>
          </w:p>
        </w:tc>
        <w:tc>
          <w:tcPr>
            <w:tcW w:w="150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880" w:type="dxa"/>
            <w:vAlign w:val="bottom"/>
          </w:tcPr>
          <w:p>
            <w:pPr>
              <w:spacing w:after="0"/>
              <w:rPr>
                <w:sz w:val="24"/>
                <w:szCs w:val="24"/>
                <w:color w:val="auto"/>
              </w:rPr>
            </w:pPr>
          </w:p>
        </w:tc>
        <w:tc>
          <w:tcPr>
            <w:tcW w:w="49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502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48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816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994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50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Unregistered Sales of Equity Securities and Use of Proceeds</w:t>
              </w:r>
            </w:hyperlink>
          </w:p>
        </w:tc>
        <w:tc>
          <w:tcPr>
            <w:tcW w:w="558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94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40" w:type="dxa"/>
            <w:vAlign w:val="bottom"/>
            <w:gridSpan w:val="1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7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Signature</w:t>
              </w:r>
            </w:hyperlink>
          </w:p>
        </w:tc>
        <w:tc>
          <w:tcPr>
            <w:tcW w:w="9240" w:type="dxa"/>
            <w:vAlign w:val="bottom"/>
            <w:gridSpan w:val="1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7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908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540" w:type="dxa"/>
            <w:vAlign w:val="bottom"/>
            <w:gridSpan w:val="2"/>
          </w:tcPr>
          <w:p>
            <w:pPr>
              <w:ind w:left="380"/>
              <w:spacing w:after="0"/>
              <w:rPr>
                <w:sz w:val="20"/>
                <w:szCs w:val="20"/>
                <w:color w:val="auto"/>
              </w:rPr>
            </w:pPr>
            <w:r>
              <w:rPr>
                <w:rFonts w:ascii="Arial" w:cs="Arial" w:eastAsia="Arial" w:hAnsi="Arial"/>
                <w:sz w:val="18"/>
                <w:szCs w:val="18"/>
                <w:b w:val="1"/>
                <w:bCs w:val="1"/>
                <w:i w:val="1"/>
                <w:iCs w:val="1"/>
                <w:color w:val="auto"/>
              </w:rPr>
              <w:t>Financial Statements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20" w:type="dxa"/>
            <w:vAlign w:val="bottom"/>
          </w:tcPr>
          <w:p>
            <w:pPr>
              <w:jc w:val="center"/>
              <w:ind w:left="890"/>
              <w:spacing w:after="0"/>
              <w:rPr>
                <w:sz w:val="20"/>
                <w:szCs w:val="20"/>
                <w:color w:val="auto"/>
              </w:rPr>
            </w:pPr>
            <w:r>
              <w:rPr>
                <w:rFonts w:ascii="Arial" w:cs="Arial" w:eastAsia="Arial" w:hAnsi="Arial"/>
                <w:sz w:val="18"/>
                <w:szCs w:val="18"/>
                <w:b w:val="1"/>
                <w:bCs w:val="1"/>
                <w:color w:val="auto"/>
              </w:rPr>
              <w:t>HEALTHSTREAM, INC.</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72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72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5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720" w:type="dxa"/>
            <w:vAlign w:val="bottom"/>
            <w:shd w:val="clear" w:color="auto" w:fill="CCEEFF"/>
          </w:tcPr>
          <w:p>
            <w:pPr>
              <w:jc w:val="center"/>
              <w:ind w:right="1710"/>
              <w:spacing w:after="0"/>
              <w:rPr>
                <w:sz w:val="20"/>
                <w:szCs w:val="20"/>
                <w:color w:val="auto"/>
              </w:rPr>
            </w:pPr>
            <w:r>
              <w:rPr>
                <w:rFonts w:ascii="Arial" w:cs="Arial" w:eastAsia="Arial" w:hAnsi="Arial"/>
                <w:sz w:val="18"/>
                <w:szCs w:val="18"/>
                <w:b w:val="1"/>
                <w:bCs w:val="1"/>
                <w:color w:val="auto"/>
                <w:w w:val="94"/>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39,820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60,747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66,976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Accounts receivable, net of allowance for doubtful accounts of $603 and $303 at September 30, 2016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 respectively</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46,166</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Accounts receivable – unbilled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2,296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 royalties, net of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16,466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Other prepaid expenses and other current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173,079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10,403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Capitalized software development, net of accumulated amortization of $29,717 and $24,130 at September 30, 2016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December 31, 2015, respectively</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15,749</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109,796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83,073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Intangible assets, net of accumulated amortization of $14,038 and $8,685 at September 30, 2016 and December 31,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2015, respectively</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80,771</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Non-marketable equity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3,289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540" w:type="dxa"/>
            <w:vAlign w:val="bottom"/>
            <w:gridSpan w:val="2"/>
          </w:tcPr>
          <w:p>
            <w:pPr>
              <w:ind w:left="5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394,051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720" w:type="dxa"/>
            <w:vAlign w:val="bottom"/>
            <w:shd w:val="clear" w:color="auto" w:fill="CCEEFF"/>
          </w:tcPr>
          <w:p>
            <w:pPr>
              <w:jc w:val="center"/>
              <w:ind w:right="1690"/>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Accrued royalties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13,885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Accrued compensation and related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2,028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65,029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65,098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540" w:type="dxa"/>
            <w:vAlign w:val="bottom"/>
            <w:gridSpan w:val="2"/>
          </w:tcPr>
          <w:p>
            <w:pPr>
              <w:ind w:left="5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95,240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Deferred revenue, noncurrent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6,735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40" w:type="dxa"/>
            <w:vAlign w:val="bottom"/>
            <w:gridSpan w:val="2"/>
          </w:tcPr>
          <w:p>
            <w:pPr>
              <w:spacing w:after="0"/>
              <w:rPr>
                <w:sz w:val="8"/>
                <w:szCs w:val="8"/>
                <w:color w:val="auto"/>
              </w:rPr>
            </w:pPr>
          </w:p>
        </w:tc>
        <w:tc>
          <w:tcPr>
            <w:tcW w:w="7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9"/>
              </w:rPr>
              <w:t>Common stock, no par value, 75,000 shares authorized; 31,739 and 31,647 shares issued and outstanding at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September 30, 2016 and December 31, 2015, respectively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280,759</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286,389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540" w:type="dxa"/>
            <w:vAlign w:val="bottom"/>
            <w:gridSpan w:val="2"/>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394,051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7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58,367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53,835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167,237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 (excluding depreciation and amortization)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24,889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23,126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70,410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7,261</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6,195</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21,524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10,285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8,891</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25,396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2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1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57,081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49,510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161,149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141,457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11,679</w:t>
            </w:r>
          </w:p>
        </w:tc>
        <w:tc>
          <w:tcPr>
            <w:tcW w:w="0" w:type="dxa"/>
            <w:vAlign w:val="bottom"/>
          </w:tcPr>
          <w:p>
            <w:pPr>
              <w:spacing w:after="0"/>
              <w:rPr>
                <w:sz w:val="1"/>
                <w:szCs w:val="1"/>
                <w:color w:val="auto"/>
              </w:rPr>
            </w:pP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Basic</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31,739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31,643</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31,714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32,107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32,029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6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4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81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$ 1,162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$4,066</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$ 6,810</w:t>
            </w:r>
          </w:p>
        </w:tc>
        <w:tc>
          <w:tcPr>
            <w:tcW w:w="100" w:type="dxa"/>
            <w:vAlign w:val="bottom"/>
            <w:shd w:val="clear" w:color="auto" w:fill="CCEEFF"/>
          </w:tcPr>
          <w:p>
            <w:pPr>
              <w:spacing w:after="0"/>
              <w:rPr>
                <w:sz w:val="18"/>
                <w:szCs w:val="18"/>
                <w:color w:val="auto"/>
              </w:rPr>
            </w:pPr>
          </w:p>
        </w:tc>
      </w:tr>
      <w:tr>
        <w:trPr>
          <w:trHeight w:val="324"/>
        </w:trPr>
        <w:tc>
          <w:tcPr>
            <w:tcW w:w="818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taxes: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$ 1,149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2,645</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$ 6,800</w:t>
            </w: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02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Common Stock</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Retained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020" w:type="dxa"/>
            <w:vAlign w:val="bottom"/>
            <w:gridSpan w:val="4"/>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Shares</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Earnings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31,647</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$278,799</w:t>
            </w: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$ 1,591</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4,066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1,516</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Tax benefits from equity awards</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w w:val="98"/>
              </w:rPr>
              <w:t>Common stock issued under stock plans, net of shares withheld for employee</w:t>
            </w: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taxes</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92</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(217)</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31,739</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280,759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$ 5,657</w:t>
            </w: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9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4,066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6,810</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15,976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12,148</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Stock 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2,787</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benefits from equity awards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(3,721)</w:t>
            </w: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Provision for doubtful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non-marketable equity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938</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Accounts and unbilled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(6,855)</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2,649</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royalties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Other 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(595)</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(2,501)</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royalties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w:t>
            </w: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Accrued liabilities and accrued compensation and related expenses and other long-term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3,082</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5,426</w:t>
            </w:r>
          </w:p>
        </w:tc>
      </w:tr>
      <w:tr>
        <w:trPr>
          <w:trHeight w:val="230"/>
        </w:trPr>
        <w:tc>
          <w:tcPr>
            <w:tcW w:w="20" w:type="dxa"/>
            <w:vAlign w:val="bottom"/>
          </w:tcPr>
          <w:p>
            <w:pPr>
              <w:spacing w:after="0"/>
              <w:rPr>
                <w:sz w:val="20"/>
                <w:szCs w:val="20"/>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14,983</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Business combinations, net of cash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w w:val="89"/>
              </w:rPr>
              <w:t>(53,078)</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(88,075)</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88,197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38,440</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w w:val="89"/>
              </w:rPr>
              <w:t>(82,771)</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(77,774)</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Payments to acquire equity method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Payments to acquire cost method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long lived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(5,329)</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(6,012)</w:t>
            </w:r>
          </w:p>
        </w:tc>
      </w:tr>
      <w:tr>
        <w:trPr>
          <w:trHeight w:val="230"/>
        </w:trPr>
        <w:tc>
          <w:tcPr>
            <w:tcW w:w="20" w:type="dxa"/>
            <w:vAlign w:val="bottom"/>
          </w:tcPr>
          <w:p>
            <w:pPr>
              <w:spacing w:after="0"/>
              <w:rPr>
                <w:sz w:val="20"/>
                <w:szCs w:val="20"/>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(57,617)</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(140,750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98,014</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Proceeds from borrowings under revolving line of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28,000</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revolving line of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Payment of earn-outs related to business combinations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(633)</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equity awards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3,721</w:t>
            </w: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(753)</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100,677</w:t>
            </w:r>
          </w:p>
        </w:tc>
        <w:tc>
          <w:tcPr>
            <w:tcW w:w="100" w:type="dxa"/>
            <w:vAlign w:val="bottom"/>
            <w:shd w:val="clear" w:color="auto" w:fill="CCEEFF"/>
          </w:tcPr>
          <w:p>
            <w:pPr>
              <w:spacing w:after="0"/>
              <w:rPr>
                <w:sz w:val="18"/>
                <w:szCs w:val="18"/>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(42,190)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(14,554)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82,010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81,995</w:t>
            </w: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39,820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67,441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nine months ended September 30, 2016 are not necessarily indicative of the results that may be expected for the year ending December 31, 2016.</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balance sheet at December 31, 2015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2015 included in the Company’s Annual Report on Form 10-K (the “Form 10-K”), filed with the Securities and Exchange Commission on February 26,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The Company has adopted Accounting Standards Update (“ASU”) 2015-16,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Under the provisions of the revised guidance, acquirers in a business combination must recognize adjustments to provisional amounts that are identified during the measurement period in the reporting period in which the adjustment amounts are determined. The acquirer must record, in the same period’s financial statements, the effect on earnings of changes in depreciation, amortization, or other income effects, if any, as a result of the change to the provisional amounts, calculated as if the accounting had been completed at the acquisition date. The Company recorded a measurement period adjustment during the period ended March 31, 2016. See Note 7 Business Combinations for further discussion.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supersedes the revenue recognition requirements in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and most industry-specific revenue 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2017, and early adoption is permitted for the first interim period within annual reporting periods beginning after December 15, 2016. The Company is currently reviewing this standard to determine the method of adoption and to assess the impact on its future consolidated financial statements.</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lessees to recognize assets and liabilities for most leases. The recognition, measurement and presentation of expenses and cash flows arising from a lease by a lessee is not expected to significantly change under such guidance; however, the Company is currently reviewing this standard to determine the method of adoption and to assess the impact on its future consolidated financial statements. The standard will be effective for the first interim period within annual reporting periods beginning after December 15, 2018, and early adoption is permitted.</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which serves to simplify several aspects of the accounting for share-based payment transactions, including the income tax consequences, classification of awards as either equity or liabilities, and classification on the statement of cash flows. The standard will be effective for the first interim period within annual reporting periods beginning after December 15, 2016, and early adoption is permitted in any interim or annual period. The Company is currently reviewing this standard to determine the method of adoption and to assess the impact on its future consolidated financial statements.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March 2016, the FASB issued ASU 2016-01, </w:t>
      </w:r>
      <w:r>
        <w:rPr>
          <w:rFonts w:ascii="Arial" w:cs="Arial" w:eastAsia="Arial" w:hAnsi="Arial"/>
          <w:sz w:val="17"/>
          <w:szCs w:val="17"/>
          <w:i w:val="1"/>
          <w:iCs w:val="1"/>
          <w:color w:val="auto"/>
        </w:rPr>
        <w:t>Financial Instruments – Overall (Sub Topic 825-10)</w:t>
      </w:r>
      <w:r>
        <w:rPr>
          <w:rFonts w:ascii="Arial" w:cs="Arial" w:eastAsia="Arial" w:hAnsi="Arial"/>
          <w:sz w:val="17"/>
          <w:szCs w:val="17"/>
          <w:color w:val="auto"/>
        </w:rPr>
        <w:t>, which addresses certain aspects of the recognition, measurement, presentation, and disclosure of financial instruments. The guidance will, among other things, require equity method investments (except those accounted for under the equity method of accounting or those that result in consolidation of the investee) to be measured at fair value with changes in fair value recognized in net income. The standard will be effective for the first interim period within annual reporting periods beginning after December 15, 2017, and early adoption is permitted for only limited aspects of such guidance. The Company is currently reviewing this standard to determine the method of adoption and to assess the impact on its future consolidated financial statements.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1"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During the nine months ended September 30, 2016 and 2015, the Company recorded a provision for income taxes of approximately $2.5 million and $4.9 million, respectively. The Company’s effective tax rate for the nine months ended September 30, 2016 and 2015 was 38.0% and 41.7%, respectively. The Company’s effective tax rate primarily reflects the statutory corporate income tax rate, the net effect of state taxes, and the effect of various permanent tax differences. During the nine months ended September 30, 2016, the Company recorded a reduction of approximately $300,000 to the liability for gross unrecognized tax benefits. During the nine months ended September 30, 2015, the Company recorded a reduction of approximately $1.8 million to the liability for gross unrecognized tax benefits, resulting from the filing of a change in tax accounting method with the IRS for tangible property and deferred revenue. Of this total reduction, approximately $115,000 had an impact on the effective tax rate for the third quarter of 2015.</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Company has stock awards outstanding under three stock incentive plans, the Company’s 2010 Stock Incentive Plan, the Company’s 2000 Stock Incentive Plan, as amended, and the Company’s 2016 Omnibus Incentive Plan, which shareholders approved at the annual meeting of shareholders held on May 26, 2016. The Company accounts for its stock based compensation plans using the fair-value based method for costs related to share-based payments, including stock options and restricted share units (“RSUs”). During the nine months ended September 30, 2016, the Company issued 111,808 RSUs, subject to time-based vesting, with a weighted average grant date fair value of $20.49 per share, measured based on the closing fair market value of the Company’s stock on the date of grant. During the nine months ended September 30, 2015, the Company issued 80,355 RSUs with a weighted average grant date fair value of $25.56 per share, and the Company issued 49,310 stock awards with a weighted average grant date fair value of $30.42 per share. Both measurements were based on the closing fair market value of the Company’s stock on the date of grant.</w:t>
      </w:r>
    </w:p>
    <w:p>
      <w:pPr>
        <w:spacing w:after="0" w:line="16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During the three months ended September 30, 2015, the Company issued 30,000 performance-based RSUs, the vesting of which is contingent upon meeting certain performance criteria over a five year period. The measurement date for 8,750 of these performance-based RSUs was established during the three months ended September 30, 2015 with a grant-date fair value of $23.40 per share, and the measurement date for 5,000 of these awards was established during the three months ended March 31, 2016 with a grant-date fair value of $20.20 per share. Both measurements were based on the closing fair market value of the Company’s stock on the date of grant. The performance criteria for the remaining 16,250 performance-based RSUs will be established on an annual basis by the Company’s Compensation Committee; therefore, the measurement date and fair value of the awards cannot be determined until the performance criteria is established.</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stock based compensation expense recorded for the three and nine months ended September 30, 2016 and 2015, which is recorded in the condensed consolidated statements of income, is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3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Product development</w:t>
            </w: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 based compensation expense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1,516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000" w:type="dxa"/>
            <w:vAlign w:val="bottom"/>
            <w:vMerge w:val="restart"/>
          </w:tcPr>
          <w:p>
            <w:pPr>
              <w:jc w:val="right"/>
              <w:ind w:right="2130"/>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spacing w:after="0"/>
              <w:rPr>
                <w:sz w:val="18"/>
                <w:szCs w:val="18"/>
                <w:color w:val="auto"/>
              </w:rPr>
            </w:pPr>
          </w:p>
        </w:tc>
        <w:tc>
          <w:tcPr>
            <w:tcW w:w="3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Awards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June 2015, the Company’s Chief Executive Officer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HealthStream, Inc. common stock to over 600 employees who were not otherwise eligible to receive equity awards and had at least one year of service with the Company. The Company recognized approximately $1.5 million of stock based compensation expense for these stock awards during the three months ended June 30, 2015 based on the closing fair market value of the Company’s stock on the date of the Company’s approval of these grants. In connection with these equity awards, effective in the second quarter of 2015, the Company withheld shares with value equivalent to the employees’ minimum statutory obligation for the applicable income and other employment taxes, and remitted the cash to the appropriate taxing authorities. The total shares withheld were 17,279, and were based on the value of the stock awards on the date of the Company’s approval of these grants, as determined by the Company’s closing stock price on that date. Total payments related to the employees’ tax obligations to taxing authorities for these stock awards were approximately $526,000, and are reflected as a financing activity within the condensed consolidated statements of cash flows for the nine months ended September 30, 2015. These share withholdings had the effect of share repurchases by the Company as they reduced and retired the number of shares otherwise issuable as a result of the stock awards and did not represent an expense to the Company.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Basic earnings per share is computed by dividing the net income available to common shareholders for the period by the weighted-average number of common shares outstanding during the period. Diluted earnings per share is computed by dividing the net income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was approximately 21,000 and 26,000 for the three months ended September 30, 2016 and 2015, respectively, and approximately 42,000 and 13,000 for the nine months ended September 30, 2016 and 2015, respectively.</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nine months ended September 30, 2016 and 2015 (in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2,614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4,066</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720"/>
              <w:spacing w:after="0"/>
              <w:rPr>
                <w:sz w:val="20"/>
                <w:szCs w:val="20"/>
                <w:color w:val="auto"/>
              </w:rPr>
            </w:pPr>
            <w:r>
              <w:rPr>
                <w:rFonts w:ascii="Arial" w:cs="Arial" w:eastAsia="Arial" w:hAnsi="Arial"/>
                <w:sz w:val="18"/>
                <w:szCs w:val="18"/>
                <w:color w:val="auto"/>
              </w:rPr>
              <w:t>Weighted-average shares outstanding</w:t>
            </w:r>
          </w:p>
        </w:tc>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31,739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31,643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31,714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29,527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Effect of dilutive shares</w:t>
            </w:r>
          </w:p>
        </w:tc>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4540" w:type="dxa"/>
            <w:vAlign w:val="bottom"/>
          </w:tcPr>
          <w:p>
            <w:pPr>
              <w:ind w:left="720"/>
              <w:spacing w:after="0"/>
              <w:rPr>
                <w:sz w:val="20"/>
                <w:szCs w:val="20"/>
                <w:color w:val="auto"/>
              </w:rPr>
            </w:pPr>
            <w:r>
              <w:rPr>
                <w:rFonts w:ascii="Arial" w:cs="Arial" w:eastAsia="Arial" w:hAnsi="Arial"/>
                <w:sz w:val="18"/>
                <w:szCs w:val="18"/>
                <w:color w:val="auto"/>
              </w:rPr>
              <w:t>Weighted-average diluted shares</w:t>
            </w:r>
          </w:p>
        </w:tc>
        <w:tc>
          <w:tcPr>
            <w:tcW w:w="3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32,107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32,029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32,050</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w:t>
            </w:r>
          </w:p>
        </w:tc>
        <w:tc>
          <w:tcPr>
            <w:tcW w:w="3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3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200" w:type="dxa"/>
            <w:vAlign w:val="bottom"/>
            <w:vMerge w:val="restart"/>
          </w:tcPr>
          <w:p>
            <w:pPr>
              <w:jc w:val="right"/>
              <w:ind w:right="1890"/>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spacing w:after="0"/>
              <w:rPr>
                <w:sz w:val="18"/>
                <w:szCs w:val="18"/>
                <w:color w:val="auto"/>
              </w:rPr>
            </w:pPr>
          </w:p>
        </w:tc>
        <w:tc>
          <w:tcPr>
            <w:tcW w:w="3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September 30, 2016 and December 31, 2015, the fair value of marketable securities, which were all classified as available for sale, included the following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9"/>
          </w:tcPr>
          <w:p>
            <w:pPr>
              <w:ind w:left="240"/>
              <w:spacing w:after="0"/>
              <w:rPr>
                <w:sz w:val="20"/>
                <w:szCs w:val="20"/>
                <w:color w:val="auto"/>
              </w:rPr>
            </w:pPr>
            <w:r>
              <w:rPr>
                <w:rFonts w:ascii="Arial" w:cs="Arial" w:eastAsia="Arial" w:hAnsi="Arial"/>
                <w:sz w:val="14"/>
                <w:szCs w:val="14"/>
                <w:b w:val="1"/>
                <w:bCs w:val="1"/>
                <w:color w:val="auto"/>
              </w:rPr>
              <w:t>September 30, 2016</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4"/>
          </w:tcPr>
          <w:p>
            <w:pPr>
              <w:jc w:val="center"/>
              <w:ind w:right="480"/>
              <w:spacing w:after="0" w:line="119" w:lineRule="exact"/>
              <w:rPr>
                <w:sz w:val="20"/>
                <w:szCs w:val="20"/>
                <w:color w:val="auto"/>
              </w:rPr>
            </w:pPr>
            <w:r>
              <w:rPr>
                <w:rFonts w:ascii="Arial" w:cs="Arial" w:eastAsia="Arial" w:hAnsi="Arial"/>
                <w:sz w:val="13"/>
                <w:szCs w:val="13"/>
                <w:b w:val="1"/>
                <w:bCs w:val="1"/>
                <w:color w:val="auto"/>
              </w:rPr>
              <w:t>Adjusted</w:t>
            </w:r>
          </w:p>
        </w:tc>
        <w:tc>
          <w:tcPr>
            <w:tcW w:w="40" w:type="dxa"/>
            <w:vAlign w:val="bottom"/>
          </w:tcPr>
          <w:p>
            <w:pPr>
              <w:spacing w:after="0"/>
              <w:rPr>
                <w:sz w:val="10"/>
                <w:szCs w:val="10"/>
                <w:color w:val="auto"/>
              </w:rPr>
            </w:pPr>
          </w:p>
        </w:tc>
        <w:tc>
          <w:tcPr>
            <w:tcW w:w="9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6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1120" w:type="dxa"/>
            <w:vAlign w:val="bottom"/>
            <w:gridSpan w:val="5"/>
          </w:tcPr>
          <w:p>
            <w:pPr>
              <w:jc w:val="right"/>
              <w:ind w:right="500"/>
              <w:spacing w:after="0"/>
              <w:rPr>
                <w:sz w:val="20"/>
                <w:szCs w:val="20"/>
                <w:color w:val="auto"/>
              </w:rPr>
            </w:pPr>
            <w:r>
              <w:rPr>
                <w:rFonts w:ascii="Arial" w:cs="Arial" w:eastAsia="Arial" w:hAnsi="Arial"/>
                <w:sz w:val="18"/>
                <w:szCs w:val="18"/>
                <w:color w:val="auto"/>
                <w:w w:val="92"/>
              </w:rPr>
              <w:t>$43,720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4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340"/>
              <w:spacing w:after="0"/>
              <w:rPr>
                <w:sz w:val="20"/>
                <w:szCs w:val="20"/>
                <w:color w:val="auto"/>
              </w:rPr>
            </w:pPr>
            <w:r>
              <w:rPr>
                <w:rFonts w:ascii="Arial" w:cs="Arial" w:eastAsia="Arial" w:hAnsi="Arial"/>
                <w:sz w:val="18"/>
                <w:szCs w:val="18"/>
                <w:color w:val="auto"/>
              </w:rPr>
              <w:t>(36)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43,687</w:t>
            </w: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Government-sponsored enterprise debt securities</w:t>
            </w:r>
          </w:p>
        </w:tc>
        <w:tc>
          <w:tcPr>
            <w:tcW w:w="112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17,054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17,060</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60,774</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ind w:left="480"/>
              <w:spacing w:after="0"/>
              <w:rPr>
                <w:sz w:val="20"/>
                <w:szCs w:val="20"/>
                <w:color w:val="auto"/>
              </w:rPr>
            </w:pPr>
            <w:r>
              <w:rPr>
                <w:rFonts w:ascii="Arial" w:cs="Arial" w:eastAsia="Arial" w:hAnsi="Arial"/>
                <w:sz w:val="15"/>
                <w:szCs w:val="15"/>
                <w:color w:val="auto"/>
                <w:w w:val="71"/>
              </w:rPr>
              <w:t>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7"/>
                <w:szCs w:val="17"/>
                <w:color w:val="auto"/>
                <w:w w:val="72"/>
              </w:rPr>
              <w:t>(36)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60,747</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6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ind w:left="240"/>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6240" w:type="dxa"/>
            <w:vAlign w:val="bottom"/>
          </w:tcPr>
          <w:p>
            <w:pPr>
              <w:spacing w:after="0"/>
              <w:rPr>
                <w:sz w:val="10"/>
                <w:szCs w:val="10"/>
                <w:color w:val="auto"/>
              </w:rPr>
            </w:pPr>
          </w:p>
        </w:tc>
        <w:tc>
          <w:tcPr>
            <w:tcW w:w="1120" w:type="dxa"/>
            <w:vAlign w:val="bottom"/>
            <w:gridSpan w:val="5"/>
          </w:tcPr>
          <w:p>
            <w:pPr>
              <w:jc w:val="right"/>
              <w:ind w:right="540"/>
              <w:spacing w:after="0" w:line="119" w:lineRule="exact"/>
              <w:rPr>
                <w:sz w:val="20"/>
                <w:szCs w:val="20"/>
                <w:color w:val="auto"/>
              </w:rPr>
            </w:pPr>
            <w:r>
              <w:rPr>
                <w:rFonts w:ascii="Arial" w:cs="Arial" w:eastAsia="Arial" w:hAnsi="Arial"/>
                <w:sz w:val="13"/>
                <w:szCs w:val="13"/>
                <w:b w:val="1"/>
                <w:bCs w:val="1"/>
                <w:color w:val="auto"/>
              </w:rPr>
              <w:t>Adjusted</w:t>
            </w:r>
          </w:p>
        </w:tc>
        <w:tc>
          <w:tcPr>
            <w:tcW w:w="96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10"/>
                <w:szCs w:val="10"/>
                <w:color w:val="auto"/>
              </w:rPr>
            </w:pPr>
          </w:p>
        </w:tc>
        <w:tc>
          <w:tcPr>
            <w:tcW w:w="10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6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Certificates of deposit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$ 1,000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26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66,046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65,976</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77,046</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w w:val="72"/>
              </w:rPr>
              <w:t>(70)</w:t>
            </w:r>
          </w:p>
        </w:tc>
        <w:tc>
          <w:tcPr>
            <w:tcW w:w="32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66,976</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September 30, 2016, the Company does not consider any of its marketable securities to be other than temporarily impaired. During the nine months ended September 30, 2016 and 2015, the Company did not reclassify any items out of accumulated other comprehensive income to net income. All investments in marketable securities are classified as a current asset on the balance sheet because the underlying securities mature within one year from the balance sheet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Morrisey Associates, Inc.</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August 8, 2016, Echo, Inc. (“Echo”), a wholly owned subsidiary of the Company, acquired all of the outstanding stock of Morrisey Associates, Inc. (“MAI”), a Chicago, Illinois based company that provides credentialing and privileging software to healthcare professionals. The acquisition of MAI allows the Company to expand its credentialing and privileging product offerings and solutions to healthcare organizations. The consideration paid for MAI consisted of approximately $48.0 million in cash, which the Company funded with cash on hand, and was not subject to any post-closing working capital or similar adjustment. The Company incurred approximately $953,000 in transaction costs, of which $805,000 were incurred during the three months ended September 30, 2016 and $148,000 were incurred during the six months ended June 30, 2016. The transaction costs were recorded in other general and administrative expenses in the condensed consolidated statements of income for such periods. The results of operations for MAI have been included in the Company’s condensed consolidated financial statements from the date of acquisition, and are also included in the HealthStream Provider Solutions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A summary of the purchase price is as follows (in thousands):</w:t>
            </w:r>
          </w:p>
        </w:tc>
        <w:tc>
          <w:tcPr>
            <w:tcW w:w="2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48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paid at closing</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Cash held in escrow</w:t>
            </w:r>
          </w:p>
        </w:tc>
        <w:tc>
          <w:tcPr>
            <w:tcW w:w="2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consideration paid</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assets acquired and liabilities assumed as of the date of acquisition (in thousands):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Prepaid royalties and other prepaid assets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Deferred tax assets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20,502</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Intangible assets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27,400</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Deferred revenue</w:t>
            </w:r>
          </w:p>
        </w:tc>
        <w:tc>
          <w:tcPr>
            <w:tcW w:w="20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(4,201)</w:t>
            </w:r>
          </w:p>
        </w:tc>
      </w:tr>
      <w:tr>
        <w:trPr>
          <w:trHeight w:val="27"/>
        </w:trPr>
        <w:tc>
          <w:tcPr>
            <w:tcW w:w="5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48,000</w:t>
            </w:r>
          </w:p>
        </w:tc>
        <w:tc>
          <w:tcPr>
            <w:tcW w:w="120" w:type="dxa"/>
            <w:vAlign w:val="bottom"/>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360"/>
          </w:cols>
          <w:pgMar w:left="240" w:top="459" w:right="299" w:bottom="1440" w:gutter="0" w:footer="0" w:header="0"/>
        </w:sect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459" w:right="2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 (continued)</w:t>
      </w:r>
    </w:p>
    <w:p>
      <w:pPr>
        <w:spacing w:after="0" w:line="16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excess of preliminary purchase price over the preliminary fair values of net tangible and intangible assets will be recorded as goodwill. The preliminary fair values of tangible and identifiable intangible assets and deferred revenue are based on management’s estimates and assumptions. The preliminary fair values of assets acquired and liabilities assumed are considered preliminary and are based on the information that was available at the time of the acquisition. The preliminary fair values of assets acquired and liabilities assumed are subject to change during the measurement period (up to one year from the acquisition date) as the Company finalizes the valuation of these items. The goodwill balance is primarily attributed to the assembled workforce, additional market opportunities from offering MAI’s products, and expected synergies from integrating MAI with other products or other combined functional areas within the Company. The goodwill balance is deductible for U.S. income tax purposes. The net tangible assets include deferred revenue, which was preliminarily adjusted down from a book value at the acquisition date of $9.1 million to an estimated fair value of $4.2 million. The preliminary $4.9 million write-down of deferred revenue will result in lower revenues than would have otherwise been recognized for such services.</w:t>
      </w:r>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sets forth the preliminary components of identifiable intangible assets and their estimated useful lives as of the acquisition date (in thousands):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4"/>
              </w:rPr>
              <w:t>Preliminary</w:t>
            </w:r>
          </w:p>
        </w:tc>
        <w:tc>
          <w:tcPr>
            <w:tcW w:w="4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Useful</w:t>
            </w:r>
          </w:p>
        </w:tc>
      </w:t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life</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5,400</w:t>
            </w:r>
          </w:p>
        </w:tc>
        <w:tc>
          <w:tcPr>
            <w:tcW w:w="4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 years</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years</w:t>
            </w:r>
          </w:p>
        </w:tc>
      </w:tr>
      <w:tr>
        <w:trPr>
          <w:trHeight w:val="223"/>
        </w:trPr>
        <w:tc>
          <w:tcPr>
            <w:tcW w:w="6760" w:type="dxa"/>
            <w:vAlign w:val="bottom"/>
          </w:tcPr>
          <w:p>
            <w:pPr>
              <w:ind w:left="360"/>
              <w:spacing w:after="0"/>
              <w:rPr>
                <w:sz w:val="20"/>
                <w:szCs w:val="20"/>
                <w:color w:val="auto"/>
              </w:rPr>
            </w:pPr>
            <w:r>
              <w:rPr>
                <w:rFonts w:ascii="Arial" w:cs="Arial" w:eastAsia="Arial" w:hAnsi="Arial"/>
                <w:sz w:val="18"/>
                <w:szCs w:val="18"/>
                <w:color w:val="auto"/>
              </w:rPr>
              <w:t>Total preliminary intangible assets subject to amortization</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27,400</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amounts of revenue and operating income (loss) of MAI included in the Company’s condensed consolidated statement of income from the date of acquisition of August 8, 2016 to the period ending September 30, 2016 are as follows (in thousands):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(1,023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unaudited pro forma financial information summarizes the combined results of operations of the Company and MAI, which was significant for purposes of the unaudited pro forma financial information disclosure, as though the companies were combined as of January 1, 2015 (in thousands, except per share data):</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60,711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56,622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176,401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159,009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These unaudited pro forma combined results of operations include certain adjustments arising from the acquisition such as adjustment for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period presented or to project the Company’s results of operations in any future period.</w:t>
      </w:r>
    </w:p>
    <w:p>
      <w:pPr>
        <w:spacing w:after="0" w:line="154"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The unaudited pro forma financial information for the three and nine months ended September 30, 2016 and 2015 combines the historical results of the Company and MAI for the three and nine months ended September 30, 2016 and 2015 and the pro forma adjustments listed above.</w:t>
      </w: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HealthLine Systems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March 16, 2015, the Company acquired all of the membership interests of HealthLine Systems, LLC (“HLS”), a San Diego, California based company that specializes in credentialing, privileging, call center, and quality management solutions for the healthcare industry. The acquisition of HLS enabled the Company to provide a comprehensive solution set for healthcare provider credentialing, privileging, enrollment, referral, onboarding, and analytics in support of HealthStream’s approach to talent management for healthcare organizations. The consideration paid for HLS consisted of approximately $90.3 million in cash (taking into account an estimated closing working capital adjustment and amounts due to the seller as of September 30, 2016). The Company incurred approximately $1.3 million in transaction costs associated with the acquisition, of which $965,000 were incurred during the three months ended March 31, 2015 and $329,000 were incurred during the year ended December 31, 2014. The transaction costs were recorded in other general and administrative expenses in the condensed consolidated statements of income for such periods. The results of operations for HLS have been included in the Company’s condensed consolidated financial statements from the date of acquisition, and are also included in the HealthStream Provider Solutions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A summary of the purchase price is as follows (in thousands):</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7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paid at closing</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$87,450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Consideration due to the seller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held in escrow</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Total consideration paid</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90,309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assets acquired and liabilities assumed as of the date of acquisition (in thousands):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3,052</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Prepaid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43,798</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47,200</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(1,085)</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(5,979)</w:t>
            </w:r>
          </w:p>
        </w:tc>
      </w:tr>
      <w:tr>
        <w:trPr>
          <w:trHeight w:val="223"/>
        </w:trPr>
        <w:tc>
          <w:tcPr>
            <w:tcW w:w="7040" w:type="dxa"/>
            <w:vAlign w:val="bottom"/>
          </w:tcPr>
          <w:p>
            <w:pPr>
              <w:ind w:left="36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90,309</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excess of purchase price over the fair values of net tangible and intangible assets has been recorded as goodwill. The fair values of tangible and identifiable intangible assets, deferred tax assets, deferred revenue, and other liabilities are based on management’s estimates and assumptions. Included in the assets and liabilities assumed is an estimated indemnification asset of $300,000 and a contingent liability of $700,000, both of which are associated with tax liabilities. The contingent liability is measured based on management’s estimate of a range of probable outcomes. The goodwill balance is primarily attributed to the assembled workforce, additional market opportunities from offering HLS’s products, and expected synergies from integrating HLS with other products or other combined functional areas within the Company. During the three months ended March 31, 2016, the Company received notice of an indemnification claim from the former owners of HLS pursuant to the terms of the membership interest purchase agreement. The terms of such agreement require the Company to indemnify such owners for incremental taxes incurred as the result of the structure of the acquisition, which had favorable tax aspects to the Company. The Company recorded a measurement period adjustment in relation to the claim that increased goodwill by approximately $2.2 million during the three months ended March 31, 2016. The additional goodwill is deductible for U.S. income tax purposes. The goodwill balance excluding such measurement period adjustment is also deductible for U.S. income tax purposes. During the three months ended September 30, 2016, the Company agreed to settle this indemnification claim for approximately $2.4 million in respect of such tax indemnification provision in the membership interest purchase agreement, a difference of approximately $200,000 from the aforementioned $2.2 million measurement period adjustment. The Company surpassed the one year measurement period as of the period ended March 31, 2016; accordingly, in accordance with requisite accounting guidance, the $200,000 difference has been reflected as a charge against net income for the period ended September 30, 2016. The net tangible assets include deferred revenue, which was adjusted down from a book value at the acquisition date of $15.0 million to an estimated fair value of $6.0 million. The $9.0 million write-down of deferred revenue will result in lower revenues than would have otherwise been recognized for such services.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and their estimated useful lives as of the acquisition date (in thousands):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Fair value</w:t>
            </w:r>
          </w:p>
        </w:tc>
        <w:tc>
          <w:tcPr>
            <w:tcW w:w="4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Useful life</w:t>
            </w: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$ 42,600</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Developed technology</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3,700</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 years</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years</w:t>
            </w:r>
          </w:p>
        </w:tc>
      </w:tr>
      <w:tr>
        <w:trPr>
          <w:trHeight w:val="223"/>
        </w:trPr>
        <w:tc>
          <w:tcPr>
            <w:tcW w:w="6840" w:type="dxa"/>
            <w:vAlign w:val="bottom"/>
          </w:tcPr>
          <w:p>
            <w:pPr>
              <w:ind w:left="360"/>
              <w:spacing w:after="0"/>
              <w:rPr>
                <w:sz w:val="20"/>
                <w:szCs w:val="20"/>
                <w:color w:val="auto"/>
              </w:rPr>
            </w:pPr>
            <w:r>
              <w:rPr>
                <w:rFonts w:ascii="Arial" w:cs="Arial" w:eastAsia="Arial" w:hAnsi="Arial"/>
                <w:sz w:val="18"/>
                <w:szCs w:val="18"/>
                <w:color w:val="auto"/>
              </w:rPr>
              <w:t>Total intangible assets subject to amortization</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$ 47,200</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amounts of revenue and operating income (loss) of HLS included in the Company’s condensed consolidated statement of income from the date of acquisition of March 16, 2015 to the period ending September 30, 2015 are as follows (in thousands):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$ 5,351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(1,899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unaudited pro forma financial information summarizes the combined results of operations of the Company and HLS, which was significant for purposes of the unaudited pro forma financial information disclosure, as though the companies were combined as of January 1, 2014 (in thousands, except per share data):</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58,644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55,741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168,908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161,954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These unaudited pro forma combined results of operations include certain adjustments arising from the acquisition such as adjustment for amortization of intangible assets, depreciation of property and equipment, fair value adjustments of acquired deferred revenue balances, and interest expense associated with borrowings under a revolving credit facility by the Company to partially fund the acquisition. The unaudited pro forma combined results of operations is for informational purposes only and is not indicative of what the Company’s results of operations would have been had the transaction occurred at the beginning of the period presented or to project the Company’s results of operations in any future period.</w:t>
      </w:r>
    </w:p>
    <w:p>
      <w:pPr>
        <w:spacing w:after="0" w:line="17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unaudited pro forma financial information for the three and nine months ended September 30, 2016 and 2015 combines the historical results of the Company and HLS for the three and nine months ended September 30, 2016 and 2015 and the pro forma adjustments listed above.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 Combinations</w:t>
      </w:r>
    </w:p>
    <w:p>
      <w:pPr>
        <w:spacing w:after="0" w:line="117"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On June 30, 2016, the Company acquired all of the stock of Performance Management Services, Inc. (“PMSI”), a Company based in Tustin, California focused on competency-based performance development for nurses, for $4.0 million in cash and up to an additional $500,000 of contingent consideration. The acquisition, including associated transaction costs, is not considered material to the Company’s financial statements. The Company accounted for the acquisition as a business combination and has allocated the purchase consideration based on preliminary estimates of fair value. The Company expects to finalize its estimates of fair value as soon as practicable, but not later than one year from the date of acquisition. The results of operations for PMSI are included in the Company’s condensed consolidated financial statements from the date of acquisition and are included in the HealthStream Workforce Solutions segment.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 (continued)</w:t>
      </w:r>
    </w:p>
    <w:p>
      <w:pPr>
        <w:spacing w:after="0" w:line="1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July 25, 2016, the Company purchased all of the outstanding stock of Nursing Registry Consultants Corporation (“Nurse Competency”) not previously held by the Company for approximately $1.0 million in cash and up to an additional $75,000 in contingent consideration. Nurse Competency provides SaaS-based clinical assessment and testing products to the healthcare industry. The Company previously held a 32% minority equity interest in Nurse Competency and had accounted for such interest as an equity method investment. The fair value of the minority equity interest as of the July 25, 2016 acquisition date was approximately $484,000 and was determined in accordance with the fair value of the controlling interest acquired with consideration given to acquisition premiums, where applicable. The Company recorded a gain of approximately $225,000 to account for the difference between the noted acquisition date fair value of the minority equity interest and the carrying value as of such date. The gain is included in other income (expense), net in the condensed consolidated statements of income for the three and nine months ended September 30, 2016. The Company accounted for the acquisition as a business combination and has allocated the purchase consideration based on preliminary estimates of fair value. The Company expects to finalize its estimates of fair value as soon as practicable, but not later than one year from the date of acquisition. The results of operations for Nurse Competency are included in the Company’s condensed consolidated financial statements from the date of acquisition and are included in the HealthStream Workforce Solutions segment.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nine months ended September 30, 2016 are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Workforce</w:t>
            </w: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Patient</w:t>
            </w:r>
          </w:p>
        </w:tc>
        <w:tc>
          <w:tcPr>
            <w:tcW w:w="24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Provider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Experience</w:t>
            </w:r>
          </w:p>
        </w:tc>
        <w:tc>
          <w:tcPr>
            <w:tcW w:w="2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$ 12,336</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$46,583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business combinations</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HealthLine Systems, LLC</w:t>
            </w: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Acquisition of Morrisey Associates, Inc.</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20,502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$ 16,377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24,154</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69,265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During the three months ended March 31, 2016, the Company recorded approximately $2.2 million of additional goodwill in relation to the March 2015 acquisition of HealthLine Systems, LLC. Such amount relates to the measurement period adjustment previously discussed under the above caption “</w:t>
      </w:r>
      <w:r>
        <w:rPr>
          <w:rFonts w:ascii="Arial" w:cs="Arial" w:eastAsia="Arial" w:hAnsi="Arial"/>
          <w:sz w:val="18"/>
          <w:szCs w:val="18"/>
          <w:i w:val="1"/>
          <w:iCs w:val="1"/>
          <w:color w:val="auto"/>
        </w:rPr>
        <w:t>HealthLine Systems.</w:t>
      </w:r>
      <w:r>
        <w:rPr>
          <w:rFonts w:ascii="Arial" w:cs="Arial" w:eastAsia="Arial" w:hAnsi="Arial"/>
          <w:sz w:val="18"/>
          <w:szCs w:val="18"/>
          <w:color w:val="auto"/>
        </w:rPr>
        <w:t>”</w:t>
      </w: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12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Company provides services to healthcare organizations and other members within the healthcare industry. The Company’s services are focused on the delivery of workforce development products and services (HealthStream Workforce Solutions), survey and research services (HealthStream Patient Experience Solutions), and provider credentialing, privileging, call center and enrollment products and services (HealthStream Provider Solutions).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three and nine months ended September 30, 2016 and 2015 (in thousands).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11"/>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9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r>
      <w:tr>
        <w:trPr>
          <w:trHeight w:val="196"/>
        </w:trPr>
        <w:tc>
          <w:tcPr>
            <w:tcW w:w="4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 net:</w:t>
            </w:r>
          </w:p>
        </w:tc>
        <w:tc>
          <w:tcPr>
            <w:tcW w:w="1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Workforce</w:t>
            </w:r>
          </w:p>
        </w:tc>
        <w:tc>
          <w:tcPr>
            <w:tcW w:w="2680" w:type="dxa"/>
            <w:vAlign w:val="bottom"/>
            <w:gridSpan w:val="7"/>
          </w:tcPr>
          <w:p>
            <w:pPr>
              <w:jc w:val="right"/>
              <w:ind w:right="80"/>
              <w:spacing w:after="0"/>
              <w:rPr>
                <w:sz w:val="20"/>
                <w:szCs w:val="20"/>
                <w:color w:val="auto"/>
              </w:rPr>
            </w:pPr>
            <w:r>
              <w:rPr>
                <w:rFonts w:ascii="Arial" w:cs="Arial" w:eastAsia="Arial" w:hAnsi="Arial"/>
                <w:sz w:val="18"/>
                <w:szCs w:val="18"/>
                <w:color w:val="auto"/>
              </w:rPr>
              <w:t>$43,015</w:t>
            </w:r>
          </w:p>
        </w:tc>
        <w:tc>
          <w:tcPr>
            <w:tcW w:w="1080" w:type="dxa"/>
            <w:vAlign w:val="bottom"/>
            <w:gridSpan w:val="6"/>
          </w:tcPr>
          <w:p>
            <w:pPr>
              <w:jc w:val="right"/>
              <w:ind w:right="180"/>
              <w:spacing w:after="0"/>
              <w:rPr>
                <w:sz w:val="20"/>
                <w:szCs w:val="20"/>
                <w:color w:val="auto"/>
              </w:rPr>
            </w:pPr>
            <w:r>
              <w:rPr>
                <w:rFonts w:ascii="Arial" w:cs="Arial" w:eastAsia="Arial" w:hAnsi="Arial"/>
                <w:sz w:val="18"/>
                <w:szCs w:val="18"/>
                <w:color w:val="auto"/>
              </w:rPr>
              <w:t>$41,092</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$124,489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118,488</w:t>
            </w: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268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8,931</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25,862</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25,545</w:t>
            </w: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Provider</w:t>
            </w:r>
          </w:p>
        </w:tc>
        <w:tc>
          <w:tcPr>
            <w:tcW w:w="2000" w:type="dxa"/>
            <w:vAlign w:val="bottom"/>
            <w:gridSpan w:val="2"/>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6,421</w:t>
            </w:r>
          </w:p>
        </w:tc>
        <w:tc>
          <w:tcPr>
            <w:tcW w:w="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3,951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16,886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9,103</w:t>
            </w:r>
          </w:p>
        </w:tc>
      </w:tr>
      <w:tr>
        <w:trPr>
          <w:trHeight w:val="27"/>
        </w:trPr>
        <w:tc>
          <w:tcPr>
            <w:tcW w:w="9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2000" w:type="dxa"/>
            <w:vAlign w:val="bottom"/>
            <w:gridSpan w:val="2"/>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58,367</w:t>
            </w:r>
          </w:p>
        </w:tc>
        <w:tc>
          <w:tcPr>
            <w:tcW w:w="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53,835</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167,237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153,136</w:t>
            </w:r>
          </w:p>
        </w:tc>
      </w:tr>
      <w:tr>
        <w:trPr>
          <w:trHeight w:val="20"/>
        </w:trPr>
        <w:tc>
          <w:tcPr>
            <w:tcW w:w="9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3"/>
        </w:trPr>
        <w:tc>
          <w:tcPr>
            <w:tcW w:w="9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80" w:type="dxa"/>
            <w:vAlign w:val="bottom"/>
            <w:gridSpan w:val="12"/>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9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11"/>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6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r>
      <w:tr>
        <w:trPr>
          <w:trHeight w:val="196"/>
        </w:trPr>
        <w:tc>
          <w:tcPr>
            <w:tcW w:w="4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from operations:</w:t>
            </w:r>
          </w:p>
        </w:tc>
        <w:tc>
          <w:tcPr>
            <w:tcW w:w="1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Workforce</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$ 9,386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5"/>
          </w:tcPr>
          <w:p>
            <w:pPr>
              <w:jc w:val="right"/>
              <w:ind w:right="140"/>
              <w:spacing w:after="0"/>
              <w:rPr>
                <w:sz w:val="20"/>
                <w:szCs w:val="20"/>
                <w:color w:val="auto"/>
              </w:rPr>
            </w:pPr>
            <w:r>
              <w:rPr>
                <w:rFonts w:ascii="Arial" w:cs="Arial" w:eastAsia="Arial" w:hAnsi="Arial"/>
                <w:sz w:val="18"/>
                <w:szCs w:val="18"/>
                <w:color w:val="auto"/>
              </w:rPr>
              <w:t>$10,386</w:t>
            </w:r>
          </w:p>
        </w:tc>
        <w:tc>
          <w:tcPr>
            <w:tcW w:w="180" w:type="dxa"/>
            <w:vAlign w:val="bottom"/>
          </w:tcPr>
          <w:p>
            <w:pPr>
              <w:spacing w:after="0"/>
              <w:rPr>
                <w:sz w:val="18"/>
                <w:szCs w:val="18"/>
                <w:color w:val="auto"/>
              </w:rPr>
            </w:pP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$ 29,034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29,789</w:t>
            </w:r>
          </w:p>
        </w:tc>
        <w:tc>
          <w:tcPr>
            <w:tcW w:w="8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2480" w:type="dxa"/>
            <w:vAlign w:val="bottom"/>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471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Provider</w:t>
            </w:r>
          </w:p>
        </w:tc>
        <w:tc>
          <w:tcPr>
            <w:tcW w:w="2480" w:type="dxa"/>
            <w:vAlign w:val="bottom"/>
            <w:gridSpan w:val="4"/>
          </w:tcPr>
          <w:p>
            <w:pPr>
              <w:jc w:val="right"/>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(852)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(1,638)</w:t>
            </w: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2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(6,016)</w:t>
            </w:r>
          </w:p>
        </w:tc>
        <w:tc>
          <w:tcPr>
            <w:tcW w:w="1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(21,946)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(18,209)</w:t>
            </w:r>
          </w:p>
        </w:tc>
      </w:tr>
      <w:tr>
        <w:trPr>
          <w:trHeight w:val="223"/>
        </w:trPr>
        <w:tc>
          <w:tcPr>
            <w:tcW w:w="4660" w:type="dxa"/>
            <w:vAlign w:val="bottom"/>
            <w:gridSpan w:val="2"/>
          </w:tcPr>
          <w:p>
            <w:pPr>
              <w:ind w:left="720"/>
              <w:spacing w:after="0"/>
              <w:rPr>
                <w:sz w:val="20"/>
                <w:szCs w:val="20"/>
                <w:color w:val="auto"/>
              </w:rPr>
            </w:pPr>
            <w:r>
              <w:rPr>
                <w:rFonts w:ascii="Arial" w:cs="Arial" w:eastAsia="Arial" w:hAnsi="Arial"/>
                <w:sz w:val="18"/>
                <w:szCs w:val="18"/>
                <w:color w:val="auto"/>
              </w:rPr>
              <w:t>Total income from operations</w:t>
            </w:r>
          </w:p>
        </w:tc>
        <w:tc>
          <w:tcPr>
            <w:tcW w:w="17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$ 1,286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$ 4,325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11,679</w:t>
            </w:r>
          </w:p>
        </w:tc>
        <w:tc>
          <w:tcPr>
            <w:tcW w:w="8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3"/>
        </w:trPr>
        <w:tc>
          <w:tcPr>
            <w:tcW w:w="9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assets *</w:t>
            </w: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Workforce</w:t>
            </w:r>
          </w:p>
        </w:tc>
        <w:tc>
          <w:tcPr>
            <w:tcW w:w="260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93,350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82,375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35,724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34,902</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Provider</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152,162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100,948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112,815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161,344</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37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480" w:type="dxa"/>
            <w:vAlign w:val="bottom"/>
            <w:gridSpan w:val="4"/>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394,051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379,569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hanging="212"/>
        <w:spacing w:after="0" w:line="271" w:lineRule="auto"/>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maintains a Loan Agreement (the “Revolving Credit Facility”) with SunTrust Bank (“SunTrust”) in the aggregate principal amount of $50.0 million, which matures on November 24, 2017.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2017,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31"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September 30, 2016, the Company was in material compliance with all covenants. There were no balances outstanding on the Revolving Credit Facility as of September 30, 2016. During the three months ended June 30, 2015, the Company repaid approximately $28.0 million of balances previously outstanding under the Revolving Credit Facility from proceeds received in the Company’s public offering of 3,869,750 shares which closed on May 28,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During the three months ended June 30, 2015, the Company’s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common stock to over 600 employees, with a fair market value of approximately $1.5 million. Mr. Frist contributed 4,931 of the contributed shares noted above to take into account the estimated Company costs, such as administrative expenses and employer payroll taxes associated with the grants. (See Note 4 Stock Based Compensation).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8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2015, appearing in our Annual Report on Form 10-K that was filed with the Securities and Exchange Commission (“SEC”) on February 26, 2016, (the “2015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6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“Item 1A. Risk Factors” and other disclosures in our 2015 Form 10-K, and the information regarding forward-looking statements and other disclosures in our earnings releases, and other filings with the SEC from time to time,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our current expectations.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HealthStream provides workforce, patient experience, and provider solutions for healthcare organizations—all designed to assess and develop the people that deliver patient care which, in turn, supports the improvement of business and clinical outcomes. Our workforce products are used by healthcare organizations to meet a broad range of their training, certification, competency assessment, performance appraisal, and development needs. Our patient experience products provide our customers information about patients’ experiences and how to improve them, workforce engagement, physician relations, and community perceptions of their services. Our provider products are used by healthcare organizations for their provider credentialing, privileging, call center, and enrollment needs. HealthStream’s customers include healthcare organizations, pharmaceutical and medical device companies, and other participants in the healthcare industry.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third quarter of 2016 include:</w:t>
      </w:r>
    </w:p>
    <w:p>
      <w:pPr>
        <w:spacing w:after="0" w:line="13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of $58.4 million in the third quarter of 2016, up 8% from $53.8 million in the third quarter of 2015.</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of $1.2 million in the third quarter of 2016, down 70% from $4.3 million in the third quarter of 2015.</w:t>
      </w:r>
    </w:p>
    <w:p>
      <w:pPr>
        <w:spacing w:after="0" w:line="130"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of $1.3 million in the third quarter of 2016, down 56% from $2.6 million in the third quarter of 2015, and earnings per share (EPS) of $0.04 per share (diluted) in the third quarter of 2016, compared to $0.08 per share (diluted) in the third quarter of 2015.</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of $7.8 million in the third quarter of 2016, down 17% from $9.3 million in the third quarter of 2015.</w:t>
      </w:r>
    </w:p>
    <w:p>
      <w:pPr>
        <w:spacing w:after="0" w:line="126" w:lineRule="exact"/>
        <w:rPr>
          <w:rFonts w:ascii="Arial" w:cs="Arial" w:eastAsia="Arial" w:hAnsi="Arial"/>
          <w:sz w:val="18"/>
          <w:szCs w:val="18"/>
          <w:color w:val="auto"/>
        </w:rPr>
      </w:pPr>
    </w:p>
    <w:p>
      <w:pPr>
        <w:ind w:left="800" w:hanging="346"/>
        <w:spacing w:after="0" w:line="253" w:lineRule="auto"/>
        <w:tabs>
          <w:tab w:leader="none" w:pos="800" w:val="left"/>
        </w:tabs>
        <w:numPr>
          <w:ilvl w:val="1"/>
          <w:numId w:val="3"/>
        </w:numPr>
        <w:rPr>
          <w:rFonts w:ascii="Arial" w:cs="Arial" w:eastAsia="Arial" w:hAnsi="Arial"/>
          <w:sz w:val="14"/>
          <w:szCs w:val="14"/>
          <w:color w:val="auto"/>
        </w:rPr>
      </w:pPr>
      <w:r>
        <w:rPr>
          <w:rFonts w:ascii="Arial" w:cs="Arial" w:eastAsia="Arial" w:hAnsi="Arial"/>
          <w:sz w:val="14"/>
          <w:szCs w:val="14"/>
          <w:color w:val="auto"/>
        </w:rPr>
        <w:t>Adjusted EBITDA is a non-GAAP financial measure. A reconciliation of adjusted EBITDA to net income, and disclosure regarding why we believe Adjusted EBITDA provides useful information to investors is included later in this report.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acquired Morrisey Associates, Inc. (“MAI”), a Chicago, Illinois based company which provides credentialing and privileging software to healthcare professionals, in August 2016. The results of operations for MAI have been included in our condensed consolidated financial statements from the date of acquisition, and are also included in the HealthStream Provider Solutions segment. The purchase price for MAI was approximately $48 million, payable in cash at closing.</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acquired all of the remaining outstanding stock of Nursing Registry Consultants Corporation (“Nurse Competency”), a provider of SaaS-Based clinical assessment and testing products to the healthcare industry, in which we previously held a 32% minority equity interest. The results of operations for Nurse Competency are included in our condensed consolidated financial statements from the date of acquisition and are included in the HealthStream Workforce Solutions segment. The purchase price payable by us in connection with this acquisition was approximately $1.0 million in cash and up to an additional $75,000 in contingent consideration.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regarding these business combinations, please see Note 7 in the Notes to Condensed Consolidated Financial Statements.</w:t>
      </w:r>
    </w:p>
    <w:p>
      <w:pPr>
        <w:sectPr>
          <w:pgSz w:w="11900" w:h="16838" w:orient="portrait"/>
          <w:cols w:equalWidth="0" w:num="1">
            <w:col w:w="11380"/>
          </w:cols>
          <w:pgMar w:left="240" w:top="459" w:right="279" w:bottom="1440" w:gutter="0" w:footer="0" w:header="0"/>
        </w:sectPr>
      </w:pP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40" w:top="459" w:right="2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7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2015 Form 10-K, which contains additional information regarding our accounting policies and other disclosures required by US GAAP. There have been no changes in our critical accounting policies and estimates from those reported in our 2015 Form 10-K.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2016 Compared to Three Months Ended September 30, 2015</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Revenues, net. </w:t>
      </w:r>
      <w:r>
        <w:rPr>
          <w:rFonts w:ascii="Arial" w:cs="Arial" w:eastAsia="Arial" w:hAnsi="Arial"/>
          <w:sz w:val="17"/>
          <w:szCs w:val="17"/>
          <w:color w:val="auto"/>
        </w:rPr>
        <w:t>Revenues increased approximately $4.5 million, or 8%, to $58.4 million for the three months ended September 30, 2016 from $53.8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September 30, 2015. A comparison of revenues by business segment is as follows (in thousands):</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34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19"/>
        </w:trPr>
        <w:tc>
          <w:tcPr>
            <w:tcW w:w="6160" w:type="dxa"/>
            <w:vAlign w:val="bottom"/>
          </w:tcPr>
          <w:p>
            <w:pPr>
              <w:spacing w:after="0"/>
              <w:rPr>
                <w:sz w:val="10"/>
                <w:szCs w:val="10"/>
                <w:color w:val="auto"/>
              </w:rPr>
            </w:pPr>
          </w:p>
        </w:tc>
        <w:tc>
          <w:tcPr>
            <w:tcW w:w="60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4"/>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by Business Segment:</w:t>
            </w:r>
          </w:p>
        </w:tc>
        <w:tc>
          <w:tcPr>
            <w:tcW w:w="6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Workforce</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$43,015</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$41,092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8,792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Provider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6,421</w:t>
            </w:r>
          </w:p>
        </w:tc>
        <w:tc>
          <w:tcPr>
            <w:tcW w:w="6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6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58,367</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53,835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 of Revenues</w:t>
            </w:r>
          </w:p>
        </w:tc>
        <w:tc>
          <w:tcPr>
            <w:tcW w:w="32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w:t>
            </w:r>
          </w:p>
        </w:tc>
        <w:tc>
          <w:tcPr>
            <w:tcW w:w="3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74%</w:t>
            </w:r>
          </w:p>
        </w:tc>
        <w:tc>
          <w:tcPr>
            <w:tcW w:w="220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76%</w:t>
            </w: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Patient Experience</w:t>
            </w:r>
          </w:p>
        </w:tc>
        <w:tc>
          <w:tcPr>
            <w:tcW w:w="3220" w:type="dxa"/>
            <w:vAlign w:val="bottom"/>
          </w:tcPr>
          <w:p>
            <w:pPr>
              <w:jc w:val="right"/>
              <w:ind w:right="390"/>
              <w:spacing w:after="0"/>
              <w:rPr>
                <w:sz w:val="20"/>
                <w:szCs w:val="20"/>
                <w:color w:val="auto"/>
              </w:rPr>
            </w:pPr>
            <w:r>
              <w:rPr>
                <w:rFonts w:ascii="Arial" w:cs="Arial" w:eastAsia="Arial" w:hAnsi="Arial"/>
                <w:sz w:val="18"/>
                <w:szCs w:val="18"/>
                <w:color w:val="auto"/>
              </w:rPr>
              <w:t>15%</w:t>
            </w:r>
          </w:p>
        </w:tc>
        <w:tc>
          <w:tcPr>
            <w:tcW w:w="2200" w:type="dxa"/>
            <w:vAlign w:val="bottom"/>
          </w:tcPr>
          <w:p>
            <w:pPr>
              <w:jc w:val="right"/>
              <w:ind w:right="1330"/>
              <w:spacing w:after="0"/>
              <w:rPr>
                <w:sz w:val="20"/>
                <w:szCs w:val="20"/>
                <w:color w:val="auto"/>
              </w:rPr>
            </w:pPr>
            <w:r>
              <w:rPr>
                <w:rFonts w:ascii="Arial" w:cs="Arial" w:eastAsia="Arial" w:hAnsi="Arial"/>
                <w:sz w:val="18"/>
                <w:szCs w:val="18"/>
                <w:color w:val="auto"/>
              </w:rPr>
              <w:t>17%</w:t>
            </w: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w:t>
            </w:r>
          </w:p>
        </w:tc>
        <w:tc>
          <w:tcPr>
            <w:tcW w:w="3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w:t>
            </w:r>
          </w:p>
        </w:tc>
        <w:tc>
          <w:tcPr>
            <w:tcW w:w="220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Revenues for HealthStream Workforce Solutions increased approximately $1.9 million, or 5%, over the third quarter of 2015. Revenues from our subscription-based workforce products increased approximately $1.8 million, or 5%, but were negatively impacted by a decline in ICD-10 readiness revenues. Revenues from ICD-10 readiness products declined by $5.0 million to $1.3 million in the third quarter of 2016 compared to $6.3 million in the prior year third quarter. The requirement mandated by CMS for healthcare organizations to transition to the ICD-10 coding system was effective in October 2015, and generated significant demand for our ICD-10 readiness training courseware from 2012 through 2015. However, as a result of the effectiveness of such mandate in October 2015, sales of that product have ceased and there will not be renewals of the specific ICD-10 readiness product. Accordingly, revenues and operating income contributions from this product will continue to significantly decline during 2016. In addition, revenues for the third quarter of 2016 were positively impacted by growth in our courseware subscriptions and our enterprise applications. Our Workforce Solutions annualized revenue per implemented subscriber metric was $37.80 per subscriber for the third quarter of 2016 compared to $35.82 per subscriber for the third quarter of 2015. Our implemented subscriber base decreased by 1% over the prior year third quarter to 4.39 million implemented subscribers at September 30, 2016 compared to 4.45 million implemented subscribers at September 30, 2015. The decrease is primarily due to expiration of subscriptions of ICD-10 readiness products. Additionally, total subscribers decreased by 1% over the prior year third quarter, with 4.47 million total subscribers at September 30, 2016 compared to 4.53 million total subscribers at September 30, 2015.</w:t>
      </w:r>
    </w:p>
    <w:p>
      <w:pPr>
        <w:sectPr>
          <w:pgSz w:w="11900" w:h="16838" w:orient="portrait"/>
          <w:cols w:equalWidth="0" w:num="1">
            <w:col w:w="11420"/>
          </w:cols>
          <w:pgMar w:left="240" w:top="459"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Revenues for HealthStream Patient Experience Solutions increased approximately $139,000, or 2%, over the third quarter of 2015. Revenues from Patient Insights™ surveys, our survey research product that generates recurring revenues, decreased by $361,000, or 5%, over the prior year third quarter. This decline is partially due to changes in product mix, such as the adoption of our e-survey products, which have both lower revenue and cost per survey than our traditional phone survey products. Revenues from other products, including surveys conducted on annual or bi-annual cycles and consulting/coaching services, collectively increased by $500,000, or 27%, compared to the prior year third quarter due to more engagements.</w:t>
      </w:r>
    </w:p>
    <w:p>
      <w:pPr>
        <w:spacing w:after="0" w:line="173"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Revenues for HealthStream Provider Solutions increased approximately $2.5 million, or 63%, over the third quarter of 2015. Revenues from both the HealthLine Systems, LLC (“HLS”) and MAI acquisitions, which were consummated in March 2015 and August 2016, respectively, accounted for the majority of the increase in revenues during the third quarter of 2016.</w:t>
      </w:r>
    </w:p>
    <w:p>
      <w:pPr>
        <w:spacing w:after="0" w:line="18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$1.8 million, or 8%, to $24.9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2016 from $23.1 million for the three months ended September 30, 2015. Cost of revenues as a percentage of revenues was approximately 43% of revenues for both the three months ended September 30, 2016 and 2015. Cost of revenues for HealthStream Workforce Solutions increased approximately $868,000 to $17.4 million and approximated 41% and 40% of revenues for HealthStream Workforce Solutions for the three months ended September 30, 2016 and 2015, respectively. The increase in both amount and as a percentage of revenues is primarily associated with increased royalties paid by us resulting from growth in courseware subscription revenues, increased personnel costs, and other support costs. Cost of revenues for HealthStream Patient Experience Solutions decreased approximately $151,000 to $5.3 million and approximated 60% and 62% of revenues for HealthStream Patient Experience Solutions for the three months ended September 30, 2016 and 2015, respectively. The decrease in amount and as a percentage of revenues is primarily the result of lower personnel costs associated with a decline in phone based survey volumes. Cost of revenues for HealthStream Provider Solutions increased approximately $1.0 million to $2.1 million and approximated 33% and 28% of HealthStream Provider Solutions revenues for the three months ended September 30, 2016 and 2015, respectively. The increase in amount is primarily the result of increased personnel costs, including additional personnel from MAI.</w:t>
      </w:r>
    </w:p>
    <w:p>
      <w:pPr>
        <w:spacing w:after="0" w:line="18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approximately $1.1 million, or 17%, to $7.3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2016 from $6.2 million for the three months ended September 30, 2015. Product development expenses as a percentage of revenues were approximately 12% of revenues for both the three months ended September 30, 2016 and 2015, respectively.</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Product development expenses for HealthStream Workforce Solutions increased approximately $402,000 and approximated 12% of revenues for HealthStream Workforce Solutions for both the three months ended September 30, 2016 and 2015, respectively. The increase in amount is due to additional personnel and related expenses associated with new product development initiatives for our subscription-based products. Product development expenses for HealthStream Patient Experience Solutions increased approximately $399,000 and approximated 12% and 8% of revenues for HealthStream Patient Experience Solutions for the three months ended September 30, 2016 and 2015, respectively. The increase in both amount and as a percentage of revenues is due to additional personnel and related expenses associated with new product development initiatives. Product development expenses for HealthStream Provider Solutions increased approximately $266,000 and approximated 15% and 17% of revenues for HealthStream Provider Solutions for the three months ended September 30, 2016 and 2015, respectively. The increase in amount is primarily the result of increased personnel costs, including additional personnel from MAI.</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$1.9 million, or 23%, to $10.3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2016 from $8.4 million for the three months ended September 30, 2015. Sales and marketing expenses were approximately 18% and 16% of revenues for the three months ended September 30, 2016 and 2015, respectively.</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Sales and marketing expenses for HealthStream Workforce Solutions increased approximately $1.1 million and approximated 17% and 15% of revenues for HealthStream Workforce Solutions for the three months ended September 30, 2016 and 2015, respectively. The increase in both amount and as a percentage of revenues is primarily due to additional personnel and related expenses, sales commissions, and increased marketing spending. Sales and marketing expenses for HealthStream Patient Experience Solutions increased approximately $75,000, and approximated 12% and 11% of revenues for HealthStream Patient Experience Solutions for the three months ended September 30, 2016 and 2015, respectively. Sales and marketing expenses for HealthStream Provider Solutions increased approximately $634,000, and approximated 25% of revenues for HealthStream Provider Solutions for both the three months ended September 30, 2016 and 2015, respectively. The increase in amount is primarily associated with increased personnel costs, sales commissions, and marketing spending.</w:t>
      </w:r>
    </w:p>
    <w:p>
      <w:pPr>
        <w:spacing w:after="0" w:line="19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$1.7 million, or 24%, to $8.9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September 30, 2016 from $7.2 million for the three months ended September 30, 2015. Other general and administrative expenses as a percentage of revenues were approximately 15% and 13% of revenues for the three months ended September 30, 2016 and 2015, respectively.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Other general and administrative expenses for HealthStream Workforce Solutions increased approximately $298,000 compared to the prior year third quarter primarily as a result of increased technology infrastructure investments. Other general and administrative expenses for HealthStream Patient Experience Solutions increased approximately $125,000 over the prior year third quarter due to additional personnel and facility costs. Other general and administrative expenses for HealthStream Provider Solutions increased approximately $153,000 over the prior year third quarter primarily due to increased facility costs. The unallocated corporate portion of other general and administrative expenses increased approximately $1.1 million over the prior year third quarter, primarily related to due diligence costs and additional personnel expenses. During the third quarter of 2016, we incurred approximately $850,000 of expenses associated with the ongoing evaluation of business development opportunities, including the acquisitions of MAI and Nurse Competency.</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$1.1 million, or 24%, to $5.7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from $4.6 million for the three months ended September 30, 2015. The increase primarily resulted from amortization of capitalized software development, amortization of intangible assets from recent acquisitions (including amortization of software acquired for resale), and depreciation expense associated with capital expenditures.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was approximately income of $337,000 for the three months ended September 30, 2016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income of $28,000 for the three months ended September 30, 2015. The increase is primarily associated with a gain recorded in relation to the acquisition of all of the remaining outstanding stock of Nurse Competency. See Note 7 in the Notes to Condensed Consolidated Financial Statements for further discussion.</w:t>
      </w:r>
    </w:p>
    <w:p>
      <w:pPr>
        <w:spacing w:after="0" w:line="18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approximately $461,000 for the three months ended September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$1.7 million for the three months ended September 30, 2015. The Company’s effective tax rate was approximately 28% for the three months ended September 30, 2016 compared to approximately 40% for the three months ended September 30, 2015. The effective tax rate for the third quarter of 2016 was positively influenced by certain tax benefits realized upon filing tax returns during the period as well as estimated increases in research and development tax credits for 2016.</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approximately $1.4 million, or 53%, to $1.2 million for the three months ended September 30, 2016 from $2.6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2015. Earnings per diluted share were $0.04 and $0.08 per share for the three months ended September 30, 2016 and 2015, respectively. The decline resulted from the factors mentioned above.</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decreased approximately 17% to approximately $7.8 million for the three months ended September 30, 2016 compared to $9.3 million for the three months ended September 30, 2015. This decline resulted from the factors mentioned above. See Reconciliation of Non-GAAP Financial Measures below for our reconciliation of this calculation to measures under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2016 Compared to Nine Months Ended September 30, 2015</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$14.1 million, or 9%, to $167.2 million for the nine months ended September 30, 2016 from $153.1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2015. A comparison of revenues by business segment is as follows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2460" w:type="dxa"/>
            <w:vAlign w:val="bottom"/>
            <w:gridSpan w:val="2"/>
            <w:vMerge w:val="restart"/>
          </w:tcPr>
          <w:p>
            <w:pPr>
              <w:jc w:val="right"/>
              <w:ind w:right="116"/>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0"/>
                <w:szCs w:val="10"/>
                <w:color w:val="auto"/>
              </w:rPr>
            </w:pPr>
          </w:p>
        </w:tc>
        <w:tc>
          <w:tcPr>
            <w:tcW w:w="6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by Business Segment:</w:t>
            </w:r>
          </w:p>
        </w:tc>
        <w:tc>
          <w:tcPr>
            <w:tcW w:w="17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Workforce</w:t>
            </w:r>
          </w:p>
        </w:tc>
        <w:tc>
          <w:tcPr>
            <w:tcW w:w="3120" w:type="dxa"/>
            <w:vAlign w:val="bottom"/>
            <w:gridSpan w:val="3"/>
          </w:tcPr>
          <w:p>
            <w:pPr>
              <w:jc w:val="right"/>
              <w:ind w:right="660"/>
              <w:spacing w:after="0"/>
              <w:rPr>
                <w:sz w:val="20"/>
                <w:szCs w:val="20"/>
                <w:color w:val="auto"/>
              </w:rPr>
            </w:pPr>
            <w:r>
              <w:rPr>
                <w:rFonts w:ascii="Arial" w:cs="Arial" w:eastAsia="Arial" w:hAnsi="Arial"/>
                <w:sz w:val="18"/>
                <w:szCs w:val="18"/>
                <w:color w:val="auto"/>
              </w:rPr>
              <w:t>$124,489</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w w:val="82"/>
              </w:rPr>
              <w:t>$ 118,488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3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25,862</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25,545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Provider</w:t>
            </w:r>
          </w:p>
        </w:tc>
        <w:tc>
          <w:tcPr>
            <w:tcW w:w="1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16,886</w:t>
            </w:r>
          </w:p>
        </w:tc>
        <w:tc>
          <w:tcPr>
            <w:tcW w:w="6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9,103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167,237</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153,136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 of Revenues</w:t>
            </w:r>
          </w:p>
        </w:tc>
        <w:tc>
          <w:tcPr>
            <w:tcW w:w="34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Workforce</w:t>
            </w:r>
          </w:p>
        </w:tc>
        <w:tc>
          <w:tcPr>
            <w:tcW w:w="3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74%</w:t>
            </w:r>
          </w:p>
        </w:tc>
        <w:tc>
          <w:tcPr>
            <w:tcW w:w="22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77%</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Patient Experience</w:t>
            </w:r>
          </w:p>
        </w:tc>
        <w:tc>
          <w:tcPr>
            <w:tcW w:w="3420" w:type="dxa"/>
            <w:vAlign w:val="bottom"/>
          </w:tcPr>
          <w:p>
            <w:pPr>
              <w:jc w:val="right"/>
              <w:ind w:right="430"/>
              <w:spacing w:after="0"/>
              <w:rPr>
                <w:sz w:val="20"/>
                <w:szCs w:val="20"/>
                <w:color w:val="auto"/>
              </w:rPr>
            </w:pPr>
            <w:r>
              <w:rPr>
                <w:rFonts w:ascii="Arial" w:cs="Arial" w:eastAsia="Arial" w:hAnsi="Arial"/>
                <w:sz w:val="18"/>
                <w:szCs w:val="18"/>
                <w:color w:val="auto"/>
              </w:rPr>
              <w:t>16%</w:t>
            </w:r>
          </w:p>
        </w:tc>
        <w:tc>
          <w:tcPr>
            <w:tcW w:w="2240" w:type="dxa"/>
            <w:vAlign w:val="bottom"/>
          </w:tcPr>
          <w:p>
            <w:pPr>
              <w:jc w:val="right"/>
              <w:ind w:right="1310"/>
              <w:spacing w:after="0"/>
              <w:rPr>
                <w:sz w:val="20"/>
                <w:szCs w:val="20"/>
                <w:color w:val="auto"/>
              </w:rPr>
            </w:pPr>
            <w:r>
              <w:rPr>
                <w:rFonts w:ascii="Arial" w:cs="Arial" w:eastAsia="Arial" w:hAnsi="Arial"/>
                <w:sz w:val="18"/>
                <w:szCs w:val="18"/>
                <w:color w:val="auto"/>
              </w:rPr>
              <w:t>17%</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Provider</w:t>
            </w:r>
          </w:p>
        </w:tc>
        <w:tc>
          <w:tcPr>
            <w:tcW w:w="3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10%</w:t>
            </w:r>
          </w:p>
        </w:tc>
        <w:tc>
          <w:tcPr>
            <w:tcW w:w="22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Revenues for HealthStream Workforce Solutions, which are primarily subscription-based, increased approximately $6.0 million, or 5%, over the first nine months of 2015. Revenues in 2016 were positively influenced by growth in courseware subscriptions and our enterprise applications, but were partially offset by an expected decline in ICD-10 readiness revenues. Revenues from ICD-10 readiness products declined by $12.8 million to $7.4 million in the first nine months of 2016 compared to $20.2 million in the first nine months of 2015.</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Revenues for HealthStream Patient Experience Solutions increased approximately $317,000, or 1%, over the first nine months of 2015. Revenues from Patient Insights™ surveys, our survey research product that generates recurring revenues, were comparable between periods. Revenues from other products, including surveys conducted on annual or bi-annual cycles and consulting/coaching services, collectively increased by $319,000, or 6%, compared to the first nine months of 2015 due to more engagements.</w:t>
      </w:r>
    </w:p>
    <w:p>
      <w:pPr>
        <w:sectPr>
          <w:pgSz w:w="11900" w:h="16838" w:orient="portrait"/>
          <w:cols w:equalWidth="0" w:num="1">
            <w:col w:w="11380"/>
          </w:cols>
          <w:pgMar w:left="240" w:top="459" w:right="279" w:bottom="1440" w:gutter="0" w:footer="0" w:header="0"/>
        </w:sectPr>
      </w:pP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80"/>
          </w:cols>
          <w:pgMar w:left="240" w:top="459" w:right="27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Revenues for HealthStream Provider Solutions increased approximately $7.8 million, or 85%, over the first nine months of 2015. The increase resulted primarily from the HLS acquisition, which was consummated on March 16, 2015.</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$4.7 million, or 7%, to $70.4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2016 from $65.7 million for the nine months ended September 30, 2015. Cost of revenues as a percentage of revenues was approximately 42% of revenues for the nine months ended September 30, 2016 compared to approximately 43% of revenues for the nine months ended September 30, 2015. Cost of revenues for HealthStream Workforce Solutions increased approximately $2.6 million to $49.2 million and approximated 39% of revenues for HealthStream Workforce Solutions for both the nine months ended September 30, 2016 and 2015, respectively. The increase in amount is primarily associated with increased royalties paid by us resulting from growth in courseware subscription revenues, increased personnel costs, and other support costs. The increase was partially offset by a decrease in stock based compensation. Cost of revenues for HealthStream Patient Experience Solutions decreased approximately $91,000 to $16.6 million and approximated 64% and 65% of revenues for HealthStream Patient Experience Solutions for the nine months ended September 30, 2016 and 2015, respectively. Cost of revenues for HealthStream Provider Solutions increased approximately $2.1 million to $4.6 million and approximated 27% of HealthStream Provider Solutions revenues for both the nine months ended September 30, 2016 and 2015, respectively. The increase in amount is primarily the result of increased personnel and related costs, including additional personnel from MAI.</w:t>
      </w:r>
    </w:p>
    <w:p>
      <w:pPr>
        <w:spacing w:after="0" w:line="173"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approximately $4.9 million, or 29%, to $21.5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2016 from $16.6 million for the nine months ended September 30, 2015. Product development expenses as a percentage of revenues were approximately 13% and 11% of revenues for the nine months ended September 30, 2016 and 2015, respectively.</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Product development expenses for HealthStream Workforce Solutions increased approximately $1.4 million and approximated 12% of revenues for HealthStream Workforce Solutions for both the nine months ended September 30, 2016 and 2015, respectively. The increase in amount is due to additional personnel expenses associated with new product development initiatives for our subscription-based products. This increase was partially offset by lower stock based compensation. Product development expenses for HealthStream Patient Experience Solutions increased approximately $2.3 million and approximated 14% and 5% of revenues for HealthStream Patient Experience Solutions for the nine months ended September 30, 2016 and 2015, respectively. The increase in both amount and as a percentage of revenue is due to additional personnel expenses associated with new product development initiatives. Product development expenses for HealthStream Provider Solutions increased approximately $1.2 million and approximated 16% of revenues for HealthStream Provider Solutions for both the nine months ended September 30, 2016 and 2015, respectively. The increase in amount is primarily the result of increased personnel costs, including additional personnel from MAI.</w:t>
      </w:r>
    </w:p>
    <w:p>
      <w:pPr>
        <w:spacing w:after="0" w:line="182"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$1.8 million, or 7%, to $27.8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2016 from $26.0 million for the nine months ended September 30, 2015. Sales and marketing expenses were approximately 17% of revenues for both the nine months ended September 30, 2016 and 2015.</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Sales and marketing expenses for HealthStream Workforce Solutions increased approximately $484,000 and approximated 16% and 17% of revenues for HealthStream Workforce Solutions for the nine months ended September 30, 2016 and 2015, respectively. The increase in amount is mainly due to additional personnel, sales commissions, and increased marketing spending. These expense increases were partially offset by a reduction of expenses associated with our annual customer Summit, which was held during the second quarter of 2015, but will be held during the fourth quarter of 2016. Sales and marketing expenses for HealthStream Patient Experience Solutions decreased approximately $299,000, and approximated 12% and 13% of revenues for HealthStream Patient Experience Solutions for the nine months ended September 30, 2016 and 2015, respectively. The decrease in amount and as a percentage of revenues is primarily due to reduced personnel costs. Sales and marketing expenses for HealthStream Provider Solutions increased approximately $1.2 million, and approximated 21% and 26% of revenues for HealthStream Provider Solutions for the nine months ended September 30, 2016 and 2015, respectively. The increase in amount is primarily the result of increased personnel costs, sales commissions, and marketing spending.</w:t>
      </w:r>
    </w:p>
    <w:p>
      <w:pPr>
        <w:spacing w:after="0" w:line="167"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$4.5 million, or 22%, to $25.4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2016 from $20.9 million for the nine months ended September 30, 2015. Other general and administrative expenses as a percentage of revenues were approximately 15% and 14% of revenues for the nine months ended September 30, 2016 and 2015, respectively.</w:t>
      </w:r>
    </w:p>
    <w:p>
      <w:pPr>
        <w:spacing w:after="0" w:line="14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Other general and administrative expenses for HealthStream Workforce Solutions increased approximately $1.1 million over the first nine months of 2015 primarily associated with increased technology infrastructure investments. Other general and administrative expenses for HealthStream Patient Experience Solutions increased approximately $388,000 over the first nine months of 2015 due to additional personnel and facility costs. Other general and administrative expenses for HealthStream Provider Solutions increased approximately $973,000 over the first nine months of 2015 primarily associated with increased personnel expenses and facility costs. The unallocated corporate portion of other general and administrative expenses increased approximately $2.1 million over the first nine months of 2015, primarily associated with additional personnel and related costs, due diligence costs of $300,000, and costs associated with the implementation of a new financial systems platform of $600,000, which was substantially completed during the second quarter of 2016.</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$3.8 million, or 32%, to $16.0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from $12.2 million for the nine months ended September 30, 2015. The increase primarily resulted from amortization of capitalized software development, amortization of intangible assets from recent acquisitions (including amortization of software acquired for resale), and depreciation expense associated with capital expenditures.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Other income (expense), net was income of approximately $465,000 for the nine months ended September 30, 2016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an expense of $7,000 for the nine months ended September 30, 2015. The increase is primarily associated with a gain recorded in relation to the acquisition of all of the remaining outstanding stock of Nurse Competency (See Note 7 in the Notes to Condensed Consolidated Financial Statements for further discussion), an increase in interest income from investments in marketable securities and lower interest expense.</w:t>
      </w:r>
    </w:p>
    <w:p>
      <w:pPr>
        <w:spacing w:after="0" w:line="17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The Company recorded a provision for income taxes of approximately $2.5 million for the nine months ended September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$4.9 million for the nine months ended September 30, 2015. The Company’s effective tax rate was approximately 38% for the nine months ended September 30, 2016 compared to approximately 42% for the nine months ended September 30, 2015.</w:t>
      </w:r>
    </w:p>
    <w:p>
      <w:pPr>
        <w:spacing w:after="0" w:line="16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approximately $2.7 million, or 12%, to $4.1 million for the nine months ended September 30, 2016 compared to $6.8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2015. Earnings per diluted share were $0.13 per share for the nine months ended September 30, 2016 compared to $0.23 per diluted share for the nine months ended September 30, 2015.</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decreased approximately 11% to approximately $23.7 million for the nine months ended September 30, 2016 compared to $26.5 million for the nine months ended September 30, 2015. The decrease resulted from the factors mentioned above. See Reconciliation of Non-GAAP Financial Measures below for our reconciliation of this calculation to measures under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report contains certain non-GAAP financial measures, including, non-GAAP net income, non-GAAP operating income, and adjusted EBITDA, which are used by management in analyzing its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order to better assess the Company’s financial results, management believes that adjusted EBITDA is an appropriate measure for evaluating the operating performance of the Company and provides useful information to investors because adjusted EBITDA reflects net income adjusted for certain non-cash and non-operating items. We believe that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recent years, including the March 2015 acquisition of HLS and the August 2016 acquisition of MAI, the Company has acquired businesses whose net tangible assets include deferred revenue. In accordance with GAAP reporting requirements, following the completion of any such acquisition, the Company may record a write-down of deferred revenue to fair value as defined in GAAP. If the Company is required to record a write-down of deferred revenue, it may result in lower recognized revenue, operating income and net income in subsequent periods.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therewith, this report presents below non-GAAP operating income and non-GAAP net income, which in each such case reflects the corresponding GAAP figures adjusted to exclude the impact of the deferred revenue write-down associated with fair value accounting for acquired businesses as referenced above. Management believes that the presentation of these non-GAAP financial measures assists investors in understanding the Company’s performance between periods by excluding the impact of this deferred revenue write-down and provides a useful measure of the ongoing performance of the Company. Both on a quarterly and year-to-date basis, the revenue for the acquired business is deferred and typically recognized over a one-to-two year period following the completion of any particular acquisition, so our GAAP operating income and net income for this one-to-two year period will not reflect the full amount that would have been reported if the acquired deferred revenue was not written down to fair value. A reconciliation of these non-GAAP financial measures to the corresponding GAAP measures is set forth below.</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Interest income</w:t>
            </w:r>
          </w:p>
        </w:tc>
        <w:tc>
          <w:tcPr>
            <w:tcW w:w="2580" w:type="dxa"/>
            <w:vAlign w:val="bottom"/>
            <w:gridSpan w:val="3"/>
          </w:tcPr>
          <w:p>
            <w:pPr>
              <w:jc w:val="right"/>
              <w:ind w:right="12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Income tax provision</w:t>
            </w:r>
          </w:p>
        </w:tc>
        <w:tc>
          <w:tcPr>
            <w:tcW w:w="2580" w:type="dxa"/>
            <w:vAlign w:val="bottom"/>
            <w:gridSpan w:val="3"/>
          </w:tcPr>
          <w:p>
            <w:pPr>
              <w:jc w:val="right"/>
              <w:ind w:right="180"/>
              <w:spacing w:after="0"/>
              <w:rPr>
                <w:sz w:val="20"/>
                <w:szCs w:val="20"/>
                <w:color w:val="auto"/>
              </w:rPr>
            </w:pPr>
            <w:r>
              <w:rPr>
                <w:rFonts w:ascii="Arial" w:cs="Arial" w:eastAsia="Arial" w:hAnsi="Arial"/>
                <w:sz w:val="18"/>
                <w:szCs w:val="18"/>
                <w:color w:val="auto"/>
              </w:rPr>
              <w:t>461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2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15,976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12,148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$ 7,763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9,308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23,703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26,510</w:t>
            </w: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00" w:type="dxa"/>
            <w:vAlign w:val="bottom"/>
            <w:gridSpan w:val="2"/>
          </w:tcPr>
          <w:p>
            <w:pPr>
              <w:spacing w:after="0"/>
              <w:rPr>
                <w:sz w:val="20"/>
                <w:szCs w:val="20"/>
                <w:color w:val="auto"/>
              </w:rPr>
            </w:pPr>
            <w:r>
              <w:rPr>
                <w:rFonts w:ascii="Arial" w:cs="Arial" w:eastAsia="Arial" w:hAnsi="Arial"/>
                <w:sz w:val="18"/>
                <w:szCs w:val="18"/>
                <w:color w:val="auto"/>
              </w:rPr>
              <w:t>GAAP operating income</w:t>
            </w:r>
          </w:p>
        </w:tc>
        <w:tc>
          <w:tcPr>
            <w:tcW w:w="2580" w:type="dxa"/>
            <w:vAlign w:val="bottom"/>
            <w:gridSpan w:val="3"/>
          </w:tcPr>
          <w:p>
            <w:pPr>
              <w:jc w:val="right"/>
              <w:ind w:right="180"/>
              <w:spacing w:after="0"/>
              <w:rPr>
                <w:sz w:val="20"/>
                <w:szCs w:val="20"/>
                <w:color w:val="auto"/>
              </w:rPr>
            </w:pPr>
            <w:r>
              <w:rPr>
                <w:rFonts w:ascii="Arial" w:cs="Arial" w:eastAsia="Arial" w:hAnsi="Arial"/>
                <w:sz w:val="18"/>
                <w:szCs w:val="18"/>
                <w:color w:val="auto"/>
              </w:rPr>
              <w:t>$ 1,286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4,325</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6,088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2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18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$ 2,469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6,424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2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$ 1,162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Adjustment for deferred revenue write-down, net of tax</w:t>
            </w:r>
          </w:p>
        </w:tc>
        <w:tc>
          <w:tcPr>
            <w:tcW w:w="1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3,875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Net cash provided by operating activities was approximately $15.0 million and $25.5 million during the nine months ended September 30, 2016 and 2015, respectively. The decrease in cash flows from operating activities was significantly impacted by increases in accounts receivable, resulting from slower collections, as well as reduced deferred revenue balances compared to the prior year period. The number of days sales outstanding (“DSO”) was 68 days for the third quarter of 2016 compared to 57 days for the third quarter of 2015. The increase in DSO resulted primarily from slower collections in the Provider Solutions segment.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7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Net cash used in investing activities was approximately $57.6 million and $140.7 million for the nine months ended September 30, 2016 and 2015, respectively. During 2016, the Company utilized $53.1 million (net of cash acquired) for acquisitions, purchased $82.8 million of marketable securities, purchased $3.9 million of property and equipment and spent $7.1 million for capitalized software development. These uses of cash were partially offset by maturities of marketable securities of $88.2 million and proceeds from the sale of long lived assets of $975,000. During 2015, the Company utilized $88.1 million (net of cash acquired) for acquisitions, purchased $77.8 million of marketable securities, purchased $6.0 million of property and equipment, spent $5.3 million for capitalized software development, and made $2.0 million in non-marketable equity investments. These uses of cash were partially offset by maturities of marketable securities of $38.4 million.</w:t>
      </w:r>
    </w:p>
    <w:p>
      <w:pPr>
        <w:spacing w:after="0" w:line="18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Cash provided by financing activities was approximately $444,000 and $100.7 million for the nine months ended September 30, 2016 and 2015, respectively. During 2016 the primary source of cash from financing activities resulted from $661,000 of excess tax benefits from equity awards and $94,000 of proceeds from the exercise of employee stock options. The primary uses of cash during 2016 related to $311,000 for payments of payroll taxes from stock based compensation arrangements. The primary sources of cash from financing activities for 2015 resulted from $98.0 million in proceeds from the issuance of</w:t>
      </w:r>
    </w:p>
    <w:p>
      <w:pPr>
        <w:spacing w:after="0" w:line="2"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3.9 million shares of our common stock in our underwritten public offering that was completed on May 28, 2015, $3.7 million of excess tax benefits from equity awards, and $328,000 of proceeds from the exercise of employee stock options. The primary uses of cash during 2015 related to payments of payroll taxes from stock based compensation arrangements of $753,000, and earn-outs for prior business combinations of $633,000.</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balance sheet reflects positive working capital of $77.8 million at September 30, 2016 compared to $120.4 million at December 31, 2015. The decrease in working capital was primarily due to the use of cash to fund acquisitions of approximately $53.1 million and slower collections from customers resulting in higher accounts receivable balances. The Company’s primary source of liquidity is $100.6 million of cash and cash equivalents and marketable securities. The Company also has a $50.0 million revolving credit facility, all of which was available for additional borrowing at September 30, 2016.</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believe that our existing cash and cash equivalents, marketable securities, cash generated from operations, and available borrowings under our revolving credit facility will be sufficient to meet anticipated cash needs for working capital, new product development and capital expenditures for at least the next 12 months. Over the past ten years, we have utilized our federal and state net operating loss carryforwards to offset taxable income, thereby reducing our tax liabilities. The federal net operating loss carryforwards have been fully utilized as of December 31, 2015; therefore, actual income tax payments are expected to increase significantly in the future and will more closely approximate the provision for income taxes.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Company’s growth strategy includes acquiring businesses that provide complementary products and services. It is anticipated that future acquisitions,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values at the time of borrowing. As of September 30, 2016, we were in material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is exposed to market risk from changes in interest rates. We do not have any foreign currency exchange rate risk or commodity price risk. There were no balances outstanding on the Revolving Credit Facility as of or during the nine months ended September 30, 2016. We are subject to interest rate market risk associated with any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$100.6 million at September 30, 2016. Assuming a hypothetical 10% decrease in interest rates for invested balances, interest income from cash and investments would decrease on an annualized basis by approximately $68,000.</w:t>
      </w:r>
    </w:p>
    <w:p>
      <w:pPr>
        <w:spacing w:after="0" w:line="16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2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began using a new enterprise accounting system in the second quarter of 2016. The implementation of the new accounting system required the Company to modify various internal controls and processes. There have been no other changes in the Company’s internal control over financial reporting that occurred during the period covered by this Quarterly Report that have materially affected, or are likely to materially affect,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On February 16, 2016, the Company announced a share repurchase program authorized by the Company’s Board of Directors under which the Company may purchase up to $25,000,000 of its common stock. The share repurchase program will terminate on the earlier of December 31, 2016 or when the maximum dollar amount has been expended. The table below sets forth activity under the stock repurchase plan for the three months ended September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Total number of shares (or</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Maximum number (or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rPr>
              <w:t>(b)</w:t>
            </w:r>
          </w:p>
        </w:tc>
        <w:tc>
          <w:tcPr>
            <w:tcW w:w="7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 purchased as part of</w:t>
            </w:r>
          </w:p>
        </w:tc>
        <w:tc>
          <w:tcPr>
            <w:tcW w:w="680" w:type="dxa"/>
            <w:vAlign w:val="bottom"/>
          </w:tcPr>
          <w:p>
            <w:pPr>
              <w:spacing w:after="0"/>
              <w:rPr>
                <w:sz w:val="12"/>
                <w:szCs w:val="12"/>
                <w:color w:val="auto"/>
              </w:rPr>
            </w:pPr>
          </w:p>
        </w:tc>
        <w:tc>
          <w:tcPr>
            <w:tcW w:w="1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Total number of</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w:t>
            </w:r>
          </w:p>
        </w:tc>
        <w:tc>
          <w:tcPr>
            <w:tcW w:w="680" w:type="dxa"/>
            <w:vAlign w:val="bottom"/>
          </w:tcPr>
          <w:p>
            <w:pPr>
              <w:spacing w:after="0"/>
              <w:rPr>
                <w:sz w:val="12"/>
                <w:szCs w:val="12"/>
                <w:color w:val="auto"/>
              </w:rPr>
            </w:pPr>
          </w:p>
        </w:tc>
        <w:tc>
          <w:tcPr>
            <w:tcW w:w="1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shares (or units) that may</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 units)</w:t>
            </w:r>
          </w:p>
        </w:tc>
        <w:tc>
          <w:tcPr>
            <w:tcW w:w="68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Average price paid per</w:t>
            </w:r>
          </w:p>
        </w:tc>
        <w:tc>
          <w:tcPr>
            <w:tcW w:w="7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 plans or</w:t>
            </w:r>
          </w:p>
        </w:tc>
        <w:tc>
          <w:tcPr>
            <w:tcW w:w="680" w:type="dxa"/>
            <w:vAlign w:val="bottom"/>
          </w:tcPr>
          <w:p>
            <w:pPr>
              <w:spacing w:after="0"/>
              <w:rPr>
                <w:sz w:val="12"/>
                <w:szCs w:val="12"/>
                <w:color w:val="auto"/>
              </w:rPr>
            </w:pPr>
          </w:p>
        </w:tc>
        <w:tc>
          <w:tcPr>
            <w:tcW w:w="1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yet be purchased under the</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 xml:space="preserve">purchased </w:t>
            </w:r>
            <w:r>
              <w:rPr>
                <w:rFonts w:ascii="Arial" w:cs="Arial" w:eastAsia="Arial" w:hAnsi="Arial"/>
                <w:sz w:val="12"/>
                <w:szCs w:val="12"/>
                <w:b w:val="1"/>
                <w:bCs w:val="1"/>
                <w:color w:val="auto"/>
                <w:w w:val="96"/>
              </w:rPr>
              <w:t>(1)</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share (or unit)</w:t>
            </w:r>
          </w:p>
        </w:tc>
        <w:tc>
          <w:tcPr>
            <w:tcW w:w="7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plans or programs</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Month</w:t>
            </w:r>
          </w:p>
        </w:tc>
        <w:tc>
          <w:tcPr>
            <w:tcW w:w="30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 (July 1 – July 31)</w:t>
            </w:r>
          </w:p>
        </w:tc>
        <w:tc>
          <w:tcPr>
            <w:tcW w:w="10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Month #2 (August 1 – August 31)</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40" w:type="dxa"/>
            <w:vAlign w:val="bottom"/>
          </w:tcPr>
          <w:p>
            <w:pPr>
              <w:ind w:left="13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02"/>
        </w:trPr>
        <w:tc>
          <w:tcPr>
            <w:tcW w:w="3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Month #3 (September 1 –</w:t>
            </w: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 30)</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p>
        </w:tc>
        <w:tc>
          <w:tcPr>
            <w:tcW w:w="16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64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35" w:lineRule="exact"/>
        <w:rPr>
          <w:sz w:val="20"/>
          <w:szCs w:val="20"/>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1500" w:right="620"/>
        <w:spacing w:after="0" w:line="288" w:lineRule="auto"/>
        <w:rPr>
          <w:sz w:val="20"/>
          <w:szCs w:val="20"/>
          <w:color w:val="auto"/>
        </w:rPr>
      </w:pPr>
      <w:r>
        <w:rPr>
          <w:rFonts w:ascii="Arial" w:cs="Arial" w:eastAsia="Arial" w:hAnsi="Arial"/>
          <w:sz w:val="16"/>
          <w:szCs w:val="16"/>
          <w:color w:val="auto"/>
        </w:rPr>
        <w:t>2.1 – Stock Purchase Agreement, by and between Echo, Inc. and Morrisey Holdings, Inc., dated August 8, 2016 (incorporated by reference from Exhibit 2.1 filed with HealthStream, Inc.’s Current Report on Form 8-K filed with the SEC on August 8, 2016) 31.1 – Certification of the Chief Executive Officer Pursuant to Section 302 of the Sarbanes-Oxley Act of 2002</w:t>
      </w:r>
    </w:p>
    <w:p>
      <w:pPr>
        <w:ind w:left="1500"/>
        <w:spacing w:after="0"/>
        <w:rPr>
          <w:sz w:val="20"/>
          <w:szCs w:val="20"/>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32.1 – Certification Pursuant to 18 U.S.C. Section 1350, as Adopted Pursuant to Section 906 of the Sarbanes-Oxley Act of 2002</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32.2 – Certification Pursuant to 18 U.S.C. Section 1350, as Adopted Pursuant to Section 906 of the Sarbanes-Oxley Act of 2002</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101.1 INS – XBRL Instance Document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101.1 SCH – XBRL Taxonomy Extension Schema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101.1 CAL – XBRL Taxonomy Extension Calculation Linkbase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101.1 DEF – XBRL Taxonomy Extension Definition Linkbase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101.1 LAB – XBRL Taxonomy Extension Label Linkbase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101.1 PRE – XBRL Taxonomy Extension Presentation Linkbase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940" w:type="dxa"/>
            <w:vAlign w:val="bottom"/>
            <w:gridSpan w:val="2"/>
          </w:tcPr>
          <w:p>
            <w:pPr>
              <w:ind w:left="2480"/>
              <w:spacing w:after="0"/>
              <w:rPr>
                <w:sz w:val="20"/>
                <w:szCs w:val="20"/>
                <w:color w:val="auto"/>
              </w:rPr>
            </w:pPr>
            <w:r>
              <w:rPr>
                <w:rFonts w:ascii="Arial" w:cs="Arial" w:eastAsia="Arial" w:hAnsi="Arial"/>
                <w:sz w:val="18"/>
                <w:szCs w:val="18"/>
                <w:color w:val="auto"/>
              </w:rPr>
              <w:t>HEALTHSTREAM,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November 2, 2016</w:t>
            </w:r>
          </w:p>
        </w:tc>
        <w:tc>
          <w:tcPr>
            <w:tcW w:w="7940" w:type="dxa"/>
            <w:vAlign w:val="bottom"/>
            <w:gridSpan w:val="2"/>
          </w:tcPr>
          <w:p>
            <w:pPr>
              <w:jc w:val="center"/>
              <w:ind w:right="330"/>
              <w:spacing w:after="0"/>
              <w:rPr>
                <w:sz w:val="20"/>
                <w:szCs w:val="20"/>
                <w:color w:val="auto"/>
              </w:rPr>
            </w:pPr>
            <w:r>
              <w:rPr>
                <w:rFonts w:ascii="Arial" w:cs="Arial" w:eastAsia="Arial" w:hAnsi="Arial"/>
                <w:sz w:val="18"/>
                <w:szCs w:val="18"/>
                <w:color w:val="auto"/>
                <w:w w:val="99"/>
              </w:rPr>
              <w:t>By:  /</w:t>
            </w:r>
            <w:r>
              <w:rPr>
                <w:rFonts w:ascii="Arial" w:cs="Arial" w:eastAsia="Arial" w:hAnsi="Arial"/>
                <w:sz w:val="15"/>
                <w:szCs w:val="15"/>
                <w:color w:val="auto"/>
                <w:w w:val="99"/>
              </w:rPr>
              <w:t>S</w:t>
            </w:r>
            <w:r>
              <w:rPr>
                <w:rFonts w:ascii="Arial" w:cs="Arial" w:eastAsia="Arial" w:hAnsi="Arial"/>
                <w:sz w:val="18"/>
                <w:szCs w:val="18"/>
                <w:color w:val="auto"/>
                <w:w w:val="99"/>
              </w:rPr>
              <w:t>/ G</w:t>
            </w:r>
            <w:r>
              <w:rPr>
                <w:rFonts w:ascii="Arial" w:cs="Arial" w:eastAsia="Arial" w:hAnsi="Arial"/>
                <w:sz w:val="15"/>
                <w:szCs w:val="15"/>
                <w:color w:val="auto"/>
                <w:w w:val="99"/>
              </w:rPr>
              <w:t>ERARD</w:t>
            </w:r>
            <w:r>
              <w:rPr>
                <w:rFonts w:ascii="Arial" w:cs="Arial" w:eastAsia="Arial" w:hAnsi="Arial"/>
                <w:sz w:val="18"/>
                <w:szCs w:val="18"/>
                <w:color w:val="auto"/>
                <w:w w:val="99"/>
              </w:rPr>
              <w:t xml:space="preserve"> M. H</w:t>
            </w:r>
            <w:r>
              <w:rPr>
                <w:rFonts w:ascii="Arial" w:cs="Arial" w:eastAsia="Arial" w:hAnsi="Arial"/>
                <w:sz w:val="15"/>
                <w:szCs w:val="15"/>
                <w:color w:val="auto"/>
                <w:w w:val="99"/>
              </w:rPr>
              <w:t>AYDEN</w:t>
            </w:r>
            <w:r>
              <w:rPr>
                <w:rFonts w:ascii="Arial" w:cs="Arial" w:eastAsia="Arial" w:hAnsi="Arial"/>
                <w:sz w:val="18"/>
                <w:szCs w:val="18"/>
                <w:color w:val="auto"/>
                <w:w w:val="99"/>
              </w:rPr>
              <w:t>, J</w:t>
            </w:r>
            <w:r>
              <w:rPr>
                <w:rFonts w:ascii="Arial" w:cs="Arial" w:eastAsia="Arial" w:hAnsi="Arial"/>
                <w:sz w:val="15"/>
                <w:szCs w:val="15"/>
                <w:color w:val="auto"/>
                <w:w w:val="99"/>
              </w:rPr>
              <w:t>R</w:t>
            </w:r>
            <w:r>
              <w:rPr>
                <w:rFonts w:ascii="Arial" w:cs="Arial" w:eastAsia="Arial" w:hAnsi="Arial"/>
                <w:sz w:val="18"/>
                <w:szCs w:val="18"/>
                <w:color w:val="auto"/>
                <w:w w:val="99"/>
              </w:rPr>
              <w:t>.</w:t>
            </w:r>
          </w:p>
        </w:tc>
      </w:tr>
      <w:tr>
        <w:trPr>
          <w:trHeight w:val="195"/>
        </w:trPr>
        <w:tc>
          <w:tcPr>
            <w:tcW w:w="34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120" w:type="dxa"/>
            <w:vAlign w:val="bottom"/>
            <w:tcBorders>
              <w:top w:val="single" w:sz="8" w:color="auto"/>
            </w:tcBorders>
          </w:tcPr>
          <w:p>
            <w:pPr>
              <w:jc w:val="center"/>
              <w:ind w:right="3210"/>
              <w:spacing w:after="0" w:line="195" w:lineRule="exact"/>
              <w:rPr>
                <w:sz w:val="20"/>
                <w:szCs w:val="20"/>
                <w:color w:val="auto"/>
              </w:rPr>
            </w:pPr>
            <w:r>
              <w:rPr>
                <w:rFonts w:ascii="Arial" w:cs="Arial" w:eastAsia="Arial" w:hAnsi="Arial"/>
                <w:sz w:val="18"/>
                <w:szCs w:val="18"/>
                <w:color w:val="auto"/>
                <w:w w:val="90"/>
              </w:rPr>
              <w:t>Gerard M. Hayden, Jr.</w:t>
            </w:r>
          </w:p>
        </w:tc>
      </w:tr>
      <w:tr>
        <w:trPr>
          <w:trHeight w:val="230"/>
        </w:trPr>
        <w:tc>
          <w:tcPr>
            <w:tcW w:w="34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120" w:type="dxa"/>
            <w:vAlign w:val="bottom"/>
          </w:tcPr>
          <w:p>
            <w:pPr>
              <w:jc w:val="center"/>
              <w:ind w:right="3150"/>
              <w:spacing w:after="0"/>
              <w:rPr>
                <w:sz w:val="20"/>
                <w:szCs w:val="20"/>
                <w:color w:val="auto"/>
              </w:rPr>
            </w:pPr>
            <w:r>
              <w:rPr>
                <w:rFonts w:ascii="Arial" w:cs="Arial" w:eastAsia="Arial" w:hAnsi="Arial"/>
                <w:sz w:val="18"/>
                <w:szCs w:val="18"/>
                <w:color w:val="auto"/>
                <w:w w:val="94"/>
              </w:rPr>
              <w:t>Chief Financial Officer</w:t>
            </w:r>
          </w:p>
        </w:tc>
      </w:tr>
      <w:tr>
        <w:trPr>
          <w:trHeight w:val="365"/>
        </w:trPr>
        <w:tc>
          <w:tcPr>
            <w:tcW w:w="3480" w:type="dxa"/>
            <w:vAlign w:val="bottom"/>
          </w:tcPr>
          <w:p>
            <w:pPr>
              <w:spacing w:after="0"/>
              <w:rPr>
                <w:sz w:val="24"/>
                <w:szCs w:val="24"/>
                <w:color w:val="auto"/>
              </w:rPr>
            </w:pPr>
          </w:p>
        </w:tc>
        <w:tc>
          <w:tcPr>
            <w:tcW w:w="2820" w:type="dxa"/>
            <w:vAlign w:val="bottom"/>
          </w:tcPr>
          <w:p>
            <w:pPr>
              <w:jc w:val="right"/>
              <w:ind w:right="410"/>
              <w:spacing w:after="0"/>
              <w:rPr>
                <w:sz w:val="20"/>
                <w:szCs w:val="20"/>
                <w:color w:val="auto"/>
              </w:rPr>
            </w:pPr>
            <w:r>
              <w:rPr>
                <w:rFonts w:ascii="Arial" w:cs="Arial" w:eastAsia="Arial" w:hAnsi="Arial"/>
                <w:sz w:val="18"/>
                <w:szCs w:val="18"/>
                <w:color w:val="auto"/>
              </w:rPr>
              <w:t>25</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b w:val="1"/>
                <w:bCs w:val="1"/>
                <w:color w:val="0000EE"/>
                <w:w w:val="89"/>
              </w:rPr>
            </w:pPr>
            <w:hyperlink w:anchor="page2">
              <w:r>
                <w:rPr>
                  <w:rFonts w:ascii="Arial" w:cs="Arial" w:eastAsia="Arial" w:hAnsi="Arial"/>
                  <w:sz w:val="18"/>
                  <w:szCs w:val="18"/>
                  <w:b w:val="1"/>
                  <w:bCs w:val="1"/>
                  <w:color w:val="0000EE"/>
                  <w:w w:val="89"/>
                </w:rPr>
                <w:t>Table of Contents</w:t>
              </w:r>
            </w:hyperlink>
          </w:p>
        </w:tc>
        <w:tc>
          <w:tcPr>
            <w:tcW w:w="100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Pr>
          <w:p>
            <w:pPr>
              <w:ind w:left="3340"/>
              <w:spacing w:after="0"/>
              <w:rPr>
                <w:sz w:val="20"/>
                <w:szCs w:val="20"/>
                <w:color w:val="auto"/>
              </w:rPr>
            </w:pPr>
            <w:r>
              <w:rPr>
                <w:rFonts w:ascii="Arial" w:cs="Arial" w:eastAsia="Arial" w:hAnsi="Arial"/>
                <w:sz w:val="18"/>
                <w:szCs w:val="18"/>
                <w:b w:val="1"/>
                <w:bCs w:val="1"/>
                <w:color w:val="auto"/>
              </w:rPr>
              <w:t>HEALTHSTREAM, INC.</w:t>
            </w:r>
          </w:p>
        </w:tc>
      </w:tr>
      <w:tr>
        <w:trPr>
          <w:trHeight w:val="432"/>
        </w:trPr>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553"/>
        </w:trPr>
        <w:tc>
          <w:tcPr>
            <w:tcW w:w="1360" w:type="dxa"/>
            <w:vAlign w:val="bottom"/>
          </w:tcPr>
          <w:p>
            <w:pPr>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w w:val="90"/>
              </w:rPr>
              <w:t>Stock Purchase Agreement, by and between Echo, Inc. and Morrisey Holdings, Inc., dated August 8, 2016 (incorporated by reference from</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Exhibit 2.1 filed with HealthStream, Inc.’s Current Report on Form 8-K filed with the SEC on August 8, 2016)</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INS</w:t>
            </w:r>
          </w:p>
        </w:tc>
        <w:tc>
          <w:tcPr>
            <w:tcW w:w="1002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SCH</w:t>
            </w:r>
          </w:p>
        </w:tc>
        <w:tc>
          <w:tcPr>
            <w:tcW w:w="1002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CAL</w:t>
            </w:r>
          </w:p>
        </w:tc>
        <w:tc>
          <w:tcPr>
            <w:tcW w:w="1002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DEF</w:t>
            </w:r>
          </w:p>
        </w:tc>
        <w:tc>
          <w:tcPr>
            <w:tcW w:w="1002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LAB</w:t>
            </w:r>
          </w:p>
        </w:tc>
        <w:tc>
          <w:tcPr>
            <w:tcW w:w="1002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PRE</w:t>
            </w:r>
          </w:p>
        </w:tc>
        <w:tc>
          <w:tcPr>
            <w:tcW w:w="1002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ectPr>
          <w:pgSz w:w="11900" w:h="16838" w:orient="portrait"/>
          <w:cols w:equalWidth="0" w:num="1">
            <w:col w:w="11400"/>
          </w:cols>
          <w:pgMar w:left="240" w:top="446"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5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52"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November 2, 2016</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OBERT</w:t>
            </w:r>
            <w:r>
              <w:rPr>
                <w:rFonts w:ascii="Arial" w:cs="Arial" w:eastAsia="Arial" w:hAnsi="Arial"/>
                <w:sz w:val="18"/>
                <w:szCs w:val="18"/>
                <w:color w:val="auto"/>
              </w:rPr>
              <w:t xml:space="preserve"> A. F</w:t>
            </w:r>
            <w:r>
              <w:rPr>
                <w:rFonts w:ascii="Arial" w:cs="Arial" w:eastAsia="Arial" w:hAnsi="Arial"/>
                <w:sz w:val="15"/>
                <w:szCs w:val="15"/>
                <w:color w:val="auto"/>
              </w:rPr>
              <w:t>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r>
      <w:tr>
        <w:trPr>
          <w:trHeight w:val="195"/>
        </w:trPr>
        <w:tc>
          <w:tcPr>
            <w:tcW w:w="6180" w:type="dxa"/>
            <w:vAlign w:val="bottom"/>
          </w:tcPr>
          <w:p>
            <w:pPr>
              <w:spacing w:after="0"/>
              <w:rPr>
                <w:sz w:val="16"/>
                <w:szCs w:val="16"/>
                <w:color w:val="auto"/>
              </w:rPr>
            </w:pPr>
          </w:p>
        </w:tc>
        <w:tc>
          <w:tcPr>
            <w:tcW w:w="5240" w:type="dxa"/>
            <w:vAlign w:val="bottom"/>
          </w:tcPr>
          <w:p>
            <w:pPr>
              <w:ind w:left="100"/>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61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2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52"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November 2, 2016</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r>
      <w:tr>
        <w:trPr>
          <w:trHeight w:val="195"/>
        </w:trPr>
        <w:tc>
          <w:tcPr>
            <w:tcW w:w="6180" w:type="dxa"/>
            <w:vAlign w:val="bottom"/>
          </w:tcPr>
          <w:p>
            <w:pPr>
              <w:spacing w:after="0"/>
              <w:rPr>
                <w:sz w:val="16"/>
                <w:szCs w:val="16"/>
                <w:color w:val="auto"/>
              </w:rPr>
            </w:pPr>
          </w:p>
        </w:tc>
        <w:tc>
          <w:tcPr>
            <w:tcW w:w="5240" w:type="dxa"/>
            <w:vAlign w:val="bottom"/>
          </w:tcPr>
          <w:p>
            <w:pPr>
              <w:ind w:left="100"/>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61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u w:val="single" w:color="auto"/>
          <w:color w:val="auto"/>
        </w:rPr>
        <w:t>Exhibit 32.1</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2016,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OBERT</w:t>
      </w:r>
      <w:r>
        <w:rPr>
          <w:rFonts w:ascii="Arial" w:cs="Arial" w:eastAsia="Arial" w:hAnsi="Arial"/>
          <w:sz w:val="18"/>
          <w:szCs w:val="18"/>
          <w:color w:val="auto"/>
        </w:rPr>
        <w:t xml:space="preserve"> A. F</w:t>
      </w:r>
      <w:r>
        <w:rPr>
          <w:rFonts w:ascii="Arial" w:cs="Arial" w:eastAsia="Arial" w:hAnsi="Arial"/>
          <w:sz w:val="15"/>
          <w:szCs w:val="15"/>
          <w:color w:val="auto"/>
        </w:rPr>
        <w:t>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 2016</w:t>
      </w:r>
    </w:p>
    <w:p>
      <w:pPr>
        <w:sectPr>
          <w:pgSz w:w="11900" w:h="16838" w:orient="portrait"/>
          <w:cols w:equalWidth="0" w:num="1">
            <w:col w:w="11380"/>
          </w:cols>
          <w:pgMar w:left="240" w:top="125" w:right="27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u w:val="single" w:color="auto"/>
          <w:color w:val="auto"/>
        </w:rPr>
        <w:t>Exhibit 32.2</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2016,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 2016</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2)"/>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2019-12-29T10:23:47Z</dcterms:created>
  <dcterms:modified xsi:type="dcterms:W3CDTF">2019-12-29T10:23:47Z</dcterms:modified>
</cp:coreProperties>
</file>